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7DC568" w14:textId="70AACB04" w:rsidR="00C37940" w:rsidRDefault="00481F48" w:rsidP="009E1C88">
      <w:pPr>
        <w:pStyle w:val="ItadH1"/>
        <w:spacing w:after="0"/>
      </w:pPr>
      <w:bookmarkStart w:id="0" w:name="_Toc118796320"/>
      <w:bookmarkStart w:id="1" w:name="_Hlk143935393"/>
      <w:r>
        <w:t>Independent Evaluation of the Fleming Fund</w:t>
      </w:r>
      <w:r w:rsidR="003F3DC7">
        <w:t xml:space="preserve"> Grants Programme</w:t>
      </w:r>
      <w:r>
        <w:t>: Executive Summary</w:t>
      </w:r>
      <w:r w:rsidR="003F3DC7">
        <w:t xml:space="preserve"> of the Summative Report</w:t>
      </w:r>
      <w:r>
        <w:t xml:space="preserve"> (accessible version)</w:t>
      </w:r>
    </w:p>
    <w:p w14:paraId="499E969F" w14:textId="7574D6EA" w:rsidR="00481F48" w:rsidRPr="00DD57DD" w:rsidRDefault="003F3DC7" w:rsidP="003F3DC7">
      <w:pPr>
        <w:pStyle w:val="ItadH1Numbered"/>
      </w:pPr>
      <w:r>
        <w:rPr>
          <w:noProof/>
        </w:rPr>
        <w:t>Introduction</w:t>
      </w:r>
    </w:p>
    <w:p w14:paraId="020B14C8" w14:textId="5F48B04F" w:rsidR="00481F48" w:rsidRPr="00FD7A5C" w:rsidRDefault="00C37940" w:rsidP="005E5A56">
      <w:pPr>
        <w:pStyle w:val="ItadNormalText"/>
        <w:spacing w:before="0"/>
        <w:rPr>
          <w:noProof/>
        </w:rPr>
      </w:pPr>
      <w:bookmarkStart w:id="2" w:name="_Hlk128999414"/>
      <w:r w:rsidRPr="00C44D7F">
        <w:rPr>
          <w:noProof/>
        </w:rPr>
        <w:t>The O</w:t>
      </w:r>
      <w:r w:rsidR="00AA6A7B">
        <w:rPr>
          <w:noProof/>
        </w:rPr>
        <w:t>’</w:t>
      </w:r>
      <w:r w:rsidRPr="00C44D7F">
        <w:rPr>
          <w:noProof/>
        </w:rPr>
        <w:t>Neil</w:t>
      </w:r>
      <w:r w:rsidR="00295BAA">
        <w:rPr>
          <w:noProof/>
        </w:rPr>
        <w:t>l</w:t>
      </w:r>
      <w:r w:rsidRPr="00C44D7F">
        <w:rPr>
          <w:noProof/>
        </w:rPr>
        <w:t xml:space="preserve"> report</w:t>
      </w:r>
      <w:bookmarkEnd w:id="2"/>
      <w:r w:rsidR="00481F48">
        <w:rPr>
          <w:rStyle w:val="EndnoteReference"/>
          <w:noProof/>
        </w:rPr>
        <w:endnoteReference w:id="2"/>
      </w:r>
      <w:r w:rsidR="00481F48" w:rsidRPr="00C44D7F">
        <w:rPr>
          <w:noProof/>
        </w:rPr>
        <w:t xml:space="preserve"> estimated that by 2050, drug</w:t>
      </w:r>
      <w:r w:rsidR="00481F48">
        <w:rPr>
          <w:noProof/>
        </w:rPr>
        <w:t>-resistant</w:t>
      </w:r>
      <w:r w:rsidR="00481F48" w:rsidRPr="00C44D7F">
        <w:rPr>
          <w:noProof/>
        </w:rPr>
        <w:t xml:space="preserve"> infections or </w:t>
      </w:r>
      <w:r w:rsidR="00481F48">
        <w:rPr>
          <w:bCs/>
          <w:noProof/>
        </w:rPr>
        <w:t>a</w:t>
      </w:r>
      <w:r w:rsidR="00481F48" w:rsidRPr="00C44D7F">
        <w:rPr>
          <w:bCs/>
          <w:noProof/>
        </w:rPr>
        <w:t>nti</w:t>
      </w:r>
      <w:r w:rsidR="00481F48">
        <w:rPr>
          <w:bCs/>
          <w:noProof/>
        </w:rPr>
        <w:t>microbial</w:t>
      </w:r>
      <w:r w:rsidR="00481F48" w:rsidRPr="00C44D7F">
        <w:rPr>
          <w:bCs/>
          <w:noProof/>
        </w:rPr>
        <w:t xml:space="preserve"> </w:t>
      </w:r>
      <w:r w:rsidR="00481F48">
        <w:rPr>
          <w:bCs/>
          <w:noProof/>
        </w:rPr>
        <w:t>r</w:t>
      </w:r>
      <w:r w:rsidR="00481F48" w:rsidRPr="00C44D7F">
        <w:rPr>
          <w:bCs/>
          <w:noProof/>
        </w:rPr>
        <w:t xml:space="preserve">esistance (AMR) </w:t>
      </w:r>
      <w:r w:rsidR="00481F48" w:rsidRPr="00C44D7F">
        <w:rPr>
          <w:noProof/>
        </w:rPr>
        <w:t xml:space="preserve">could kill 10 million people per year at a potential cost of US$100 trillion in global economic output. </w:t>
      </w:r>
      <w:r w:rsidR="00481F48">
        <w:rPr>
          <w:noProof/>
        </w:rPr>
        <w:t>I</w:t>
      </w:r>
      <w:r w:rsidR="00481F48" w:rsidRPr="00FD7A5C">
        <w:rPr>
          <w:rFonts w:cs="Calibri"/>
          <w:noProof/>
        </w:rPr>
        <w:t>n 2019</w:t>
      </w:r>
      <w:r w:rsidR="00481F48">
        <w:rPr>
          <w:rFonts w:cs="Calibri"/>
          <w:noProof/>
        </w:rPr>
        <w:t xml:space="preserve">, </w:t>
      </w:r>
      <w:r w:rsidR="00481F48" w:rsidRPr="00FD7A5C">
        <w:rPr>
          <w:noProof/>
        </w:rPr>
        <w:t>estimates suggest</w:t>
      </w:r>
      <w:r w:rsidR="00481F48">
        <w:rPr>
          <w:noProof/>
        </w:rPr>
        <w:t>ed</w:t>
      </w:r>
      <w:r w:rsidR="00481F48" w:rsidRPr="00FD7A5C">
        <w:rPr>
          <w:noProof/>
        </w:rPr>
        <w:t xml:space="preserve"> tha</w:t>
      </w:r>
      <w:r w:rsidR="00481F48" w:rsidRPr="00FD7A5C">
        <w:rPr>
          <w:rFonts w:cs="Calibri"/>
          <w:noProof/>
        </w:rPr>
        <w:t>t globally 4.95 million deaths were associated with bacterial AMR, including</w:t>
      </w:r>
      <w:r w:rsidR="00481F48">
        <w:rPr>
          <w:rFonts w:cs="Calibri"/>
          <w:noProof/>
        </w:rPr>
        <w:t xml:space="preserve"> the</w:t>
      </w:r>
      <w:r w:rsidR="00481F48" w:rsidRPr="00FD7A5C">
        <w:rPr>
          <w:rFonts w:cs="Calibri"/>
          <w:noProof/>
        </w:rPr>
        <w:t xml:space="preserve"> 1.27 million deaths directly attributable to such resistance.</w:t>
      </w:r>
    </w:p>
    <w:p w14:paraId="478163FA" w14:textId="202B574F" w:rsidR="00481F48" w:rsidRDefault="00481F48" w:rsidP="00425EEF">
      <w:pPr>
        <w:pStyle w:val="ItadNormalText"/>
        <w:rPr>
          <w:noProof/>
        </w:rPr>
      </w:pPr>
      <w:bookmarkStart w:id="3" w:name="_Hlk128992355"/>
      <w:r w:rsidRPr="00FD7A5C">
        <w:rPr>
          <w:bCs/>
          <w:noProof/>
        </w:rPr>
        <w:t xml:space="preserve">The Fleming Fund was established in 2015 by the </w:t>
      </w:r>
      <w:r w:rsidRPr="00FD7A5C">
        <w:rPr>
          <w:noProof/>
        </w:rPr>
        <w:t>UK Government</w:t>
      </w:r>
      <w:r>
        <w:rPr>
          <w:noProof/>
        </w:rPr>
        <w:t>’</w:t>
      </w:r>
      <w:r w:rsidRPr="00FD7A5C">
        <w:rPr>
          <w:noProof/>
        </w:rPr>
        <w:t xml:space="preserve">s Department of Health and Social Care (DHSC) </w:t>
      </w:r>
      <w:r>
        <w:rPr>
          <w:noProof/>
        </w:rPr>
        <w:t xml:space="preserve">using </w:t>
      </w:r>
      <w:r w:rsidRPr="00F434E1">
        <w:rPr>
          <w:noProof/>
        </w:rPr>
        <w:t xml:space="preserve">Official Development Assistance </w:t>
      </w:r>
      <w:r>
        <w:rPr>
          <w:noProof/>
        </w:rPr>
        <w:t>(ODA) funding</w:t>
      </w:r>
      <w:r w:rsidRPr="00FD7A5C">
        <w:rPr>
          <w:bCs/>
          <w:noProof/>
        </w:rPr>
        <w:t xml:space="preserve"> to tackle the threat of AMR in low</w:t>
      </w:r>
      <w:r>
        <w:rPr>
          <w:bCs/>
          <w:noProof/>
        </w:rPr>
        <w:t xml:space="preserve"> </w:t>
      </w:r>
      <w:r w:rsidRPr="00FD7A5C">
        <w:rPr>
          <w:bCs/>
          <w:noProof/>
        </w:rPr>
        <w:t>and middle-income countries (LMICs)</w:t>
      </w:r>
      <w:r>
        <w:rPr>
          <w:bCs/>
          <w:noProof/>
        </w:rPr>
        <w:t xml:space="preserve"> through </w:t>
      </w:r>
      <w:r w:rsidRPr="00FD7A5C">
        <w:rPr>
          <w:bCs/>
          <w:noProof/>
        </w:rPr>
        <w:t>a One Health</w:t>
      </w:r>
      <w:r w:rsidRPr="00FD7A5C">
        <w:rPr>
          <w:rFonts w:cs="Calibri"/>
          <w:bCs/>
          <w:noProof/>
          <w:sz w:val="21"/>
          <w:szCs w:val="21"/>
          <w:vertAlign w:val="superscript"/>
        </w:rPr>
        <w:endnoteReference w:id="3"/>
      </w:r>
      <w:r w:rsidRPr="00FD7A5C">
        <w:rPr>
          <w:bCs/>
          <w:noProof/>
        </w:rPr>
        <w:t xml:space="preserve"> approach. The initial phase, for £265 million, ran over a </w:t>
      </w:r>
      <w:r>
        <w:rPr>
          <w:bCs/>
          <w:noProof/>
        </w:rPr>
        <w:t>five</w:t>
      </w:r>
      <w:r w:rsidRPr="00FD7A5C">
        <w:rPr>
          <w:bCs/>
          <w:noProof/>
        </w:rPr>
        <w:t>-year period (2016</w:t>
      </w:r>
      <w:r>
        <w:rPr>
          <w:bCs/>
          <w:noProof/>
        </w:rPr>
        <w:t>–</w:t>
      </w:r>
      <w:r w:rsidRPr="00FD7A5C">
        <w:rPr>
          <w:bCs/>
          <w:noProof/>
        </w:rPr>
        <w:t xml:space="preserve">2021) </w:t>
      </w:r>
      <w:r>
        <w:rPr>
          <w:bCs/>
          <w:noProof/>
        </w:rPr>
        <w:t xml:space="preserve">and was </w:t>
      </w:r>
      <w:r w:rsidRPr="00FD7A5C">
        <w:rPr>
          <w:bCs/>
          <w:noProof/>
        </w:rPr>
        <w:t>extended to March 2023. With its focus on improving laboratory capacity and diagnosis as well as data and surveillance of AMR</w:t>
      </w:r>
      <w:r>
        <w:rPr>
          <w:bCs/>
          <w:noProof/>
        </w:rPr>
        <w:t>,</w:t>
      </w:r>
      <w:r w:rsidRPr="00FD7A5C">
        <w:rPr>
          <w:bCs/>
          <w:noProof/>
        </w:rPr>
        <w:t xml:space="preserve"> it contributes directly to one of the five pillars in the </w:t>
      </w:r>
      <w:r w:rsidRPr="00FD7A5C">
        <w:rPr>
          <w:noProof/>
        </w:rPr>
        <w:t>2015 Global Action Plan (GAP) on AMR. Significant impact to address AMR requires progress across all five pillars</w:t>
      </w:r>
      <w:r>
        <w:rPr>
          <w:noProof/>
        </w:rPr>
        <w:t xml:space="preserve"> of the GAP</w:t>
      </w:r>
      <w:r w:rsidRPr="00FD7A5C">
        <w:rPr>
          <w:noProof/>
        </w:rPr>
        <w:t xml:space="preserve"> and while </w:t>
      </w:r>
      <w:r w:rsidRPr="00FD7A5C" w:rsidDel="00052E3D">
        <w:rPr>
          <w:noProof/>
        </w:rPr>
        <w:t xml:space="preserve">the </w:t>
      </w:r>
      <w:r>
        <w:rPr>
          <w:noProof/>
        </w:rPr>
        <w:t>Fleming Fund’</w:t>
      </w:r>
      <w:r w:rsidRPr="00FD7A5C">
        <w:rPr>
          <w:noProof/>
        </w:rPr>
        <w:t xml:space="preserve">s contribution </w:t>
      </w:r>
      <w:r>
        <w:rPr>
          <w:noProof/>
        </w:rPr>
        <w:t>is</w:t>
      </w:r>
      <w:r w:rsidRPr="00FD7A5C">
        <w:rPr>
          <w:noProof/>
        </w:rPr>
        <w:t xml:space="preserve"> necessary, it is</w:t>
      </w:r>
      <w:r>
        <w:rPr>
          <w:noProof/>
        </w:rPr>
        <w:t xml:space="preserve"> </w:t>
      </w:r>
      <w:r w:rsidRPr="00FD7A5C">
        <w:rPr>
          <w:noProof/>
        </w:rPr>
        <w:t>n</w:t>
      </w:r>
      <w:r>
        <w:rPr>
          <w:noProof/>
        </w:rPr>
        <w:t>o</w:t>
      </w:r>
      <w:r w:rsidRPr="00FD7A5C">
        <w:rPr>
          <w:noProof/>
        </w:rPr>
        <w:t xml:space="preserve">t expected to be sufficient on its own. </w:t>
      </w:r>
      <w:r w:rsidRPr="00554A1E">
        <w:rPr>
          <w:noProof/>
        </w:rPr>
        <w:t>Ultimately, achieving the Fleming Fund</w:t>
      </w:r>
      <w:r>
        <w:rPr>
          <w:noProof/>
        </w:rPr>
        <w:t>’</w:t>
      </w:r>
      <w:r w:rsidRPr="00554A1E">
        <w:rPr>
          <w:noProof/>
        </w:rPr>
        <w:t xml:space="preserve">s intended impact relies on other actors too. </w:t>
      </w:r>
      <w:r w:rsidRPr="00C44D7F">
        <w:rPr>
          <w:noProof/>
        </w:rPr>
        <w:t xml:space="preserve">At </w:t>
      </w:r>
      <w:bookmarkStart w:id="4" w:name="_Hlk128993171"/>
      <w:r>
        <w:rPr>
          <w:noProof/>
        </w:rPr>
        <w:t xml:space="preserve">the </w:t>
      </w:r>
      <w:bookmarkEnd w:id="4"/>
      <w:r w:rsidRPr="00C44D7F">
        <w:rPr>
          <w:noProof/>
        </w:rPr>
        <w:t xml:space="preserve">country level, this </w:t>
      </w:r>
      <w:bookmarkEnd w:id="3"/>
      <w:r w:rsidRPr="00425EEF">
        <w:rPr>
          <w:noProof/>
        </w:rPr>
        <w:t>depends on how well One Health AMR National Action Plans (NAPs) are implemented.</w:t>
      </w:r>
    </w:p>
    <w:p w14:paraId="32033B9A" w14:textId="0CD1E2F2" w:rsidR="00481F48" w:rsidRDefault="00481F48" w:rsidP="00425EEF">
      <w:pPr>
        <w:pStyle w:val="ItadNormalText"/>
        <w:rPr>
          <w:noProof/>
        </w:rPr>
      </w:pPr>
      <w:bookmarkStart w:id="5" w:name="_Hlk136420326"/>
      <w:r>
        <w:t xml:space="preserve">In 2016, the </w:t>
      </w:r>
      <w:r w:rsidRPr="007E5774">
        <w:t>DHSC commissioned Itad to provide an independent evaluation function for the Fleming Fund grants programme</w:t>
      </w:r>
      <w:r>
        <w:t>. This is the executive summary of the summative report</w:t>
      </w:r>
      <w:r>
        <w:rPr>
          <w:rStyle w:val="EndnoteReference"/>
        </w:rPr>
        <w:endnoteReference w:id="4"/>
      </w:r>
      <w:r>
        <w:t xml:space="preserve"> on what the Fleming Fund has achieved during its first phase, based on data collected up to July 2022. More detail on the methodology is included at the end of this executive summary.</w:t>
      </w:r>
    </w:p>
    <w:p w14:paraId="018BB14F" w14:textId="294DF841" w:rsidR="00481F48" w:rsidRPr="009B265B" w:rsidRDefault="00481F48" w:rsidP="003F3DC7">
      <w:pPr>
        <w:pStyle w:val="ItadH1Numbered"/>
        <w:rPr>
          <w:noProof/>
          <w:lang w:eastAsia="en-GB"/>
        </w:rPr>
      </w:pPr>
      <w:bookmarkStart w:id="6" w:name="_Toc144049332"/>
      <w:bookmarkStart w:id="7" w:name="_Toc144715792"/>
      <w:bookmarkEnd w:id="5"/>
      <w:r w:rsidRPr="009B265B">
        <w:rPr>
          <w:noProof/>
        </w:rPr>
        <w:t>How has the Fleming Fund been designed</w:t>
      </w:r>
      <w:r>
        <w:rPr>
          <w:noProof/>
        </w:rPr>
        <w:t xml:space="preserve"> </w:t>
      </w:r>
      <w:r w:rsidRPr="009B265B">
        <w:rPr>
          <w:noProof/>
        </w:rPr>
        <w:t xml:space="preserve">and </w:t>
      </w:r>
      <w:r>
        <w:rPr>
          <w:noProof/>
        </w:rPr>
        <w:t xml:space="preserve">what are the </w:t>
      </w:r>
      <w:r w:rsidRPr="009B265B">
        <w:rPr>
          <w:noProof/>
        </w:rPr>
        <w:t xml:space="preserve">implications for </w:t>
      </w:r>
      <w:r>
        <w:rPr>
          <w:noProof/>
        </w:rPr>
        <w:t xml:space="preserve">the </w:t>
      </w:r>
      <w:r w:rsidRPr="009B265B">
        <w:rPr>
          <w:noProof/>
        </w:rPr>
        <w:t>evaluation</w:t>
      </w:r>
      <w:r>
        <w:rPr>
          <w:noProof/>
        </w:rPr>
        <w:t>?</w:t>
      </w:r>
      <w:bookmarkEnd w:id="6"/>
      <w:bookmarkEnd w:id="7"/>
    </w:p>
    <w:p w14:paraId="7E676FEE" w14:textId="015847AF" w:rsidR="00481F48" w:rsidRPr="00FD7A5C" w:rsidRDefault="00481F48" w:rsidP="005E5A56">
      <w:pPr>
        <w:pStyle w:val="ItadNormalText"/>
        <w:spacing w:before="0"/>
        <w:rPr>
          <w:noProof/>
        </w:rPr>
      </w:pPr>
      <w:bookmarkStart w:id="8" w:name="_Hlk128999662"/>
      <w:r>
        <w:rPr>
          <w:noProof/>
        </w:rPr>
        <w:t xml:space="preserve">The Fleming Fund </w:t>
      </w:r>
      <w:r w:rsidRPr="00FD7A5C">
        <w:rPr>
          <w:noProof/>
        </w:rPr>
        <w:t xml:space="preserve">is delivered through grants to a range of partners across four </w:t>
      </w:r>
      <w:r>
        <w:rPr>
          <w:noProof/>
        </w:rPr>
        <w:t>workstream</w:t>
      </w:r>
      <w:r w:rsidRPr="00FD7A5C">
        <w:rPr>
          <w:noProof/>
        </w:rPr>
        <w:t>s.</w:t>
      </w:r>
      <w:r>
        <w:rPr>
          <w:rStyle w:val="EndnoteReference"/>
          <w:noProof/>
        </w:rPr>
        <w:endnoteReference w:id="5"/>
      </w:r>
      <w:r w:rsidRPr="00FD7A5C">
        <w:rPr>
          <w:noProof/>
        </w:rPr>
        <w:t xml:space="preserve"> </w:t>
      </w:r>
      <w:r>
        <w:rPr>
          <w:noProof/>
        </w:rPr>
        <w:t>T</w:t>
      </w:r>
      <w:r w:rsidRPr="00FD7A5C">
        <w:rPr>
          <w:noProof/>
        </w:rPr>
        <w:t xml:space="preserve">wo workstreams </w:t>
      </w:r>
      <w:r>
        <w:rPr>
          <w:noProof/>
        </w:rPr>
        <w:t>aim</w:t>
      </w:r>
      <w:r w:rsidRPr="00FD7A5C">
        <w:rPr>
          <w:noProof/>
        </w:rPr>
        <w:t xml:space="preserve"> to </w:t>
      </w:r>
      <w:r>
        <w:rPr>
          <w:noProof/>
        </w:rPr>
        <w:t xml:space="preserve">(a) </w:t>
      </w:r>
      <w:r w:rsidRPr="00FD7A5C">
        <w:rPr>
          <w:noProof/>
        </w:rPr>
        <w:t>focus international attention on the need for AMR surveillance</w:t>
      </w:r>
      <w:r>
        <w:rPr>
          <w:noProof/>
        </w:rPr>
        <w:t xml:space="preserve">; (b) </w:t>
      </w:r>
      <w:r w:rsidRPr="00FD7A5C">
        <w:rPr>
          <w:noProof/>
        </w:rPr>
        <w:t>develop and implement guidance and protocols for the standardised collection of data so it can be shared nationally and internationally</w:t>
      </w:r>
      <w:r>
        <w:rPr>
          <w:noProof/>
        </w:rPr>
        <w:t>;</w:t>
      </w:r>
      <w:r w:rsidRPr="00FD7A5C">
        <w:rPr>
          <w:noProof/>
        </w:rPr>
        <w:t xml:space="preserve"> and </w:t>
      </w:r>
      <w:r>
        <w:rPr>
          <w:noProof/>
        </w:rPr>
        <w:t xml:space="preserve">c) </w:t>
      </w:r>
      <w:r w:rsidRPr="00FD7A5C">
        <w:rPr>
          <w:noProof/>
        </w:rPr>
        <w:t xml:space="preserve">support the development of One Health AMR </w:t>
      </w:r>
      <w:r>
        <w:rPr>
          <w:noProof/>
        </w:rPr>
        <w:t>NAPs</w:t>
      </w:r>
      <w:r w:rsidRPr="00FD7A5C">
        <w:rPr>
          <w:noProof/>
        </w:rPr>
        <w:t>. Much of this work has been delivered by The Food and Agriculture Organization of the United Nations (FAO), the World Organisation for Animal Health (WOAH) and the World Health Organization (WHO).</w:t>
      </w:r>
    </w:p>
    <w:p w14:paraId="613E0BD3" w14:textId="5DCC1A6C" w:rsidR="00481F48" w:rsidRPr="00FD7A5C" w:rsidRDefault="00481F48" w:rsidP="00D31F22">
      <w:pPr>
        <w:pStyle w:val="ItadNormalText"/>
        <w:rPr>
          <w:noProof/>
        </w:rPr>
      </w:pPr>
      <w:r w:rsidRPr="00FD7A5C">
        <w:rPr>
          <w:noProof/>
        </w:rPr>
        <w:t xml:space="preserve">The other two workstreams aim to support the generation and analysis of data in a range of LMICs. For these workstreams, </w:t>
      </w:r>
      <w:r>
        <w:rPr>
          <w:noProof/>
        </w:rPr>
        <w:t xml:space="preserve">the </w:t>
      </w:r>
      <w:r w:rsidRPr="00FD7A5C">
        <w:rPr>
          <w:noProof/>
        </w:rPr>
        <w:t xml:space="preserve">DHSC contracted </w:t>
      </w:r>
      <w:r w:rsidRPr="004E39BF">
        <w:rPr>
          <w:noProof/>
        </w:rPr>
        <w:t>Mott MacDonald</w:t>
      </w:r>
      <w:r w:rsidRPr="00FD7A5C">
        <w:rPr>
          <w:noProof/>
        </w:rPr>
        <w:t xml:space="preserve"> as the Fleming Fund Management Agent (MA)</w:t>
      </w:r>
      <w:r w:rsidRPr="00FD7A5C">
        <w:rPr>
          <w:i/>
          <w:iCs/>
          <w:noProof/>
        </w:rPr>
        <w:t xml:space="preserve">. </w:t>
      </w:r>
      <w:r w:rsidRPr="00FD7A5C">
        <w:rPr>
          <w:noProof/>
        </w:rPr>
        <w:t>The MA designed a range of grants, based on detailed country needs assessments, to support country priorities for AMR</w:t>
      </w:r>
      <w:r>
        <w:rPr>
          <w:noProof/>
        </w:rPr>
        <w:t xml:space="preserve"> and </w:t>
      </w:r>
      <w:r w:rsidRPr="00290E6E">
        <w:rPr>
          <w:noProof/>
        </w:rPr>
        <w:t>antimicrobial consumption/use (AMC/U)</w:t>
      </w:r>
      <w:r w:rsidRPr="00FD7A5C">
        <w:rPr>
          <w:noProof/>
        </w:rPr>
        <w:t xml:space="preserve"> surveillance as set out in </w:t>
      </w:r>
      <w:r>
        <w:rPr>
          <w:noProof/>
        </w:rPr>
        <w:t xml:space="preserve">the </w:t>
      </w:r>
      <w:r w:rsidRPr="00FD7A5C">
        <w:rPr>
          <w:noProof/>
        </w:rPr>
        <w:t xml:space="preserve">AMR </w:t>
      </w:r>
      <w:r>
        <w:rPr>
          <w:noProof/>
        </w:rPr>
        <w:t>NAPs</w:t>
      </w:r>
      <w:r w:rsidRPr="00FD7A5C">
        <w:rPr>
          <w:noProof/>
        </w:rPr>
        <w:t xml:space="preserve">. </w:t>
      </w:r>
      <w:r>
        <w:rPr>
          <w:noProof/>
        </w:rPr>
        <w:t>The d</w:t>
      </w:r>
      <w:r w:rsidRPr="00FD7A5C">
        <w:rPr>
          <w:noProof/>
        </w:rPr>
        <w:t>elivery of these grants was tendered by the MA using a competitive process. As of late 2022, grant support ha</w:t>
      </w:r>
      <w:r>
        <w:rPr>
          <w:noProof/>
        </w:rPr>
        <w:t>d</w:t>
      </w:r>
      <w:r w:rsidRPr="00FD7A5C">
        <w:rPr>
          <w:noProof/>
        </w:rPr>
        <w:t xml:space="preserve"> been delivered in 23 focus countries</w:t>
      </w:r>
      <w:r>
        <w:rPr>
          <w:noProof/>
        </w:rPr>
        <w:t>.</w:t>
      </w:r>
      <w:r>
        <w:rPr>
          <w:rStyle w:val="EndnoteReference"/>
          <w:noProof/>
        </w:rPr>
        <w:endnoteReference w:id="6"/>
      </w:r>
      <w:r w:rsidRPr="00FD7A5C">
        <w:rPr>
          <w:noProof/>
        </w:rPr>
        <w:t xml:space="preserve"> </w:t>
      </w:r>
      <w:r w:rsidRPr="00FD7A5C">
        <w:t>Across the</w:t>
      </w:r>
      <w:r>
        <w:t>se</w:t>
      </w:r>
      <w:r w:rsidRPr="00FD7A5C">
        <w:t xml:space="preserve"> </w:t>
      </w:r>
      <w:r>
        <w:t xml:space="preserve">focus </w:t>
      </w:r>
      <w:r w:rsidRPr="00FD7A5C">
        <w:t xml:space="preserve">countries, </w:t>
      </w:r>
      <w:r>
        <w:t>81</w:t>
      </w:r>
      <w:r w:rsidRPr="00FD7A5C">
        <w:t xml:space="preserve"> grants </w:t>
      </w:r>
      <w:r>
        <w:t>delivered</w:t>
      </w:r>
      <w:r w:rsidRPr="00FD7A5C">
        <w:t xml:space="preserve"> relevant outputs.</w:t>
      </w:r>
    </w:p>
    <w:p w14:paraId="16E534EF" w14:textId="04FE336A" w:rsidR="00481F48" w:rsidRPr="009B265B" w:rsidRDefault="00481F48" w:rsidP="003F3DC7">
      <w:pPr>
        <w:pStyle w:val="ItadH1Numbered"/>
        <w:rPr>
          <w:noProof/>
        </w:rPr>
      </w:pPr>
      <w:bookmarkStart w:id="9" w:name="_Toc144049333"/>
      <w:bookmarkStart w:id="10" w:name="_Toc144715793"/>
      <w:bookmarkEnd w:id="8"/>
      <w:r>
        <w:rPr>
          <w:noProof/>
        </w:rPr>
        <w:t>Key findings by evaluation question</w:t>
      </w:r>
      <w:bookmarkEnd w:id="9"/>
      <w:bookmarkEnd w:id="10"/>
    </w:p>
    <w:p w14:paraId="19341079" w14:textId="270715DE" w:rsidR="00481F48" w:rsidRPr="00504E64" w:rsidRDefault="00481F48" w:rsidP="00504E64">
      <w:pPr>
        <w:pStyle w:val="ItadNormalText"/>
        <w:pBdr>
          <w:top w:val="single" w:sz="4" w:space="1" w:color="auto"/>
          <w:left w:val="single" w:sz="4" w:space="4" w:color="auto"/>
          <w:bottom w:val="single" w:sz="4" w:space="1" w:color="auto"/>
          <w:right w:val="single" w:sz="4" w:space="4" w:color="auto"/>
        </w:pBdr>
        <w:shd w:val="clear" w:color="auto" w:fill="E7F4D9" w:themeFill="accent6" w:themeFillTint="33"/>
        <w:rPr>
          <w:b/>
          <w:bCs/>
          <w:noProof/>
        </w:rPr>
      </w:pPr>
      <w:bookmarkStart w:id="11" w:name="_Hlk128999748"/>
      <w:r w:rsidRPr="00504E64">
        <w:rPr>
          <w:b/>
          <w:bCs/>
          <w:noProof/>
        </w:rPr>
        <w:t xml:space="preserve">Even in a challenging context, the Fleming Fund has delivered significant outputs </w:t>
      </w:r>
      <w:r w:rsidRPr="0048523F">
        <w:rPr>
          <w:b/>
          <w:bCs/>
          <w:noProof/>
        </w:rPr>
        <w:t>to</w:t>
      </w:r>
      <w:r w:rsidRPr="00504E64">
        <w:rPr>
          <w:b/>
          <w:bCs/>
          <w:noProof/>
        </w:rPr>
        <w:t xml:space="preserve"> develop </w:t>
      </w:r>
      <w:bookmarkStart w:id="12" w:name="_Hlk120811230"/>
      <w:r w:rsidRPr="00504E64">
        <w:rPr>
          <w:b/>
          <w:bCs/>
          <w:noProof/>
        </w:rPr>
        <w:t>laboratory capacity and enhanc</w:t>
      </w:r>
      <w:r w:rsidRPr="0048523F">
        <w:rPr>
          <w:b/>
          <w:bCs/>
          <w:noProof/>
        </w:rPr>
        <w:t>e</w:t>
      </w:r>
      <w:r w:rsidRPr="00504E64">
        <w:rPr>
          <w:b/>
          <w:bCs/>
          <w:noProof/>
        </w:rPr>
        <w:t xml:space="preserve"> surveillance systems across the 23 countries</w:t>
      </w:r>
      <w:bookmarkEnd w:id="12"/>
      <w:r w:rsidRPr="00504E64">
        <w:rPr>
          <w:b/>
          <w:bCs/>
          <w:noProof/>
        </w:rPr>
        <w:t>. These outputs have contributed to str</w:t>
      </w:r>
      <w:r w:rsidRPr="0048523F">
        <w:rPr>
          <w:b/>
          <w:bCs/>
          <w:noProof/>
        </w:rPr>
        <w:t xml:space="preserve">onger </w:t>
      </w:r>
      <w:r w:rsidRPr="00504E64">
        <w:rPr>
          <w:b/>
          <w:bCs/>
          <w:noProof/>
        </w:rPr>
        <w:t>laborator</w:t>
      </w:r>
      <w:r w:rsidRPr="0048523F">
        <w:rPr>
          <w:b/>
          <w:bCs/>
          <w:noProof/>
        </w:rPr>
        <w:t>ies</w:t>
      </w:r>
      <w:r w:rsidRPr="00504E64">
        <w:rPr>
          <w:b/>
          <w:bCs/>
          <w:noProof/>
        </w:rPr>
        <w:t xml:space="preserve"> and workforce</w:t>
      </w:r>
      <w:r w:rsidRPr="0048523F">
        <w:rPr>
          <w:b/>
          <w:bCs/>
          <w:noProof/>
        </w:rPr>
        <w:t>s</w:t>
      </w:r>
      <w:r w:rsidRPr="00504E64">
        <w:rPr>
          <w:b/>
          <w:bCs/>
          <w:noProof/>
        </w:rPr>
        <w:t xml:space="preserve"> to a varying degree across all of our focus countries.</w:t>
      </w:r>
      <w:r w:rsidRPr="0048523F">
        <w:rPr>
          <w:b/>
          <w:bCs/>
          <w:noProof/>
        </w:rPr>
        <w:t xml:space="preserve"> This</w:t>
      </w:r>
      <w:r w:rsidRPr="00504E64">
        <w:rPr>
          <w:b/>
          <w:bCs/>
          <w:noProof/>
        </w:rPr>
        <w:t xml:space="preserve"> first phase of Fleming Fund support </w:t>
      </w:r>
      <w:r w:rsidRPr="0048523F">
        <w:rPr>
          <w:b/>
          <w:bCs/>
          <w:noProof/>
        </w:rPr>
        <w:t xml:space="preserve">aimed </w:t>
      </w:r>
      <w:r w:rsidRPr="00504E64">
        <w:rPr>
          <w:b/>
          <w:bCs/>
          <w:noProof/>
        </w:rPr>
        <w:t>to build the foundations for AMR surveillance</w:t>
      </w:r>
      <w:r w:rsidRPr="0048523F">
        <w:rPr>
          <w:b/>
          <w:bCs/>
          <w:noProof/>
        </w:rPr>
        <w:t>, which is an incremental process</w:t>
      </w:r>
      <w:r>
        <w:rPr>
          <w:b/>
          <w:bCs/>
          <w:noProof/>
        </w:rPr>
        <w:t xml:space="preserve"> and takes time</w:t>
      </w:r>
      <w:r w:rsidRPr="00504E64">
        <w:rPr>
          <w:b/>
          <w:bCs/>
          <w:noProof/>
        </w:rPr>
        <w:t>.</w:t>
      </w:r>
      <w:r w:rsidRPr="00504E64" w:rsidDel="00AB12BF">
        <w:rPr>
          <w:b/>
          <w:bCs/>
          <w:noProof/>
        </w:rPr>
        <w:t xml:space="preserve"> </w:t>
      </w:r>
      <w:r w:rsidRPr="0048523F">
        <w:rPr>
          <w:b/>
          <w:bCs/>
          <w:noProof/>
        </w:rPr>
        <w:t>A</w:t>
      </w:r>
      <w:r w:rsidRPr="00504E64">
        <w:rPr>
          <w:b/>
          <w:bCs/>
          <w:noProof/>
        </w:rPr>
        <w:t>chiev</w:t>
      </w:r>
      <w:r w:rsidRPr="0048523F">
        <w:rPr>
          <w:b/>
          <w:bCs/>
          <w:noProof/>
        </w:rPr>
        <w:t>ing</w:t>
      </w:r>
      <w:r w:rsidRPr="00504E64">
        <w:rPr>
          <w:b/>
          <w:bCs/>
          <w:noProof/>
        </w:rPr>
        <w:t xml:space="preserve"> strategic outcomes, such as significant use of AMR data and analysis to drive or inform anticipated policy, regulatory and behavioural change was expected to be the focus of subsequent phases of support.</w:t>
      </w:r>
    </w:p>
    <w:p w14:paraId="2C42F314" w14:textId="51BC3494" w:rsidR="00481F48" w:rsidRDefault="00481F48" w:rsidP="00712FF1">
      <w:pPr>
        <w:pStyle w:val="ItadNormalText"/>
        <w:rPr>
          <w:noProof/>
        </w:rPr>
      </w:pPr>
      <w:r>
        <w:rPr>
          <w:noProof/>
        </w:rPr>
        <w:lastRenderedPageBreak/>
        <w:t>We present below headline findings for each of our evaluation questions (</w:t>
      </w:r>
      <w:r w:rsidRPr="00260A19">
        <w:rPr>
          <w:noProof/>
        </w:rPr>
        <w:t>EQs</w:t>
      </w:r>
      <w:r>
        <w:rPr>
          <w:noProof/>
        </w:rPr>
        <w:t xml:space="preserve">). These </w:t>
      </w:r>
      <w:r w:rsidRPr="00260A19">
        <w:rPr>
          <w:noProof/>
        </w:rPr>
        <w:t xml:space="preserve">focus on the outcomes </w:t>
      </w:r>
      <w:r>
        <w:rPr>
          <w:noProof/>
        </w:rPr>
        <w:t>to which the</w:t>
      </w:r>
      <w:r w:rsidRPr="00260A19">
        <w:rPr>
          <w:noProof/>
        </w:rPr>
        <w:t xml:space="preserve"> </w:t>
      </w:r>
      <w:r>
        <w:rPr>
          <w:noProof/>
        </w:rPr>
        <w:t xml:space="preserve">Fleming Fund-supported </w:t>
      </w:r>
      <w:r w:rsidRPr="00260A19">
        <w:rPr>
          <w:noProof/>
        </w:rPr>
        <w:t>capacity contribute</w:t>
      </w:r>
      <w:r>
        <w:rPr>
          <w:noProof/>
        </w:rPr>
        <w:t>d,</w:t>
      </w:r>
      <w:r w:rsidRPr="00260A19">
        <w:rPr>
          <w:noProof/>
        </w:rPr>
        <w:t xml:space="preserve"> in terms of changes in quantity, quality and use of AMR surveillance data.</w:t>
      </w:r>
      <w:r>
        <w:rPr>
          <w:noProof/>
        </w:rPr>
        <w:t xml:space="preserve"> </w:t>
      </w:r>
      <w:r w:rsidRPr="00FD7A5C">
        <w:rPr>
          <w:noProof/>
        </w:rPr>
        <w:t xml:space="preserve">When assessing results across these 23 countries, </w:t>
      </w:r>
      <w:r>
        <w:rPr>
          <w:noProof/>
        </w:rPr>
        <w:t xml:space="preserve">the following </w:t>
      </w:r>
      <w:r w:rsidRPr="00FD7A5C">
        <w:rPr>
          <w:noProof/>
        </w:rPr>
        <w:t>things are important to note</w:t>
      </w:r>
      <w:r>
        <w:rPr>
          <w:noProof/>
        </w:rPr>
        <w:t>:</w:t>
      </w:r>
    </w:p>
    <w:p w14:paraId="1F7419D0" w14:textId="33DBF637" w:rsidR="00481F48" w:rsidRDefault="00481F48" w:rsidP="002E67FF">
      <w:pPr>
        <w:pStyle w:val="ItadBullets"/>
        <w:rPr>
          <w:noProof/>
        </w:rPr>
      </w:pPr>
      <w:bookmarkStart w:id="13" w:name="_Hlk136423082"/>
      <w:r>
        <w:rPr>
          <w:noProof/>
        </w:rPr>
        <w:t>T</w:t>
      </w:r>
      <w:r w:rsidRPr="000A6313">
        <w:rPr>
          <w:noProof/>
        </w:rPr>
        <w:t>here was substantial variation in the status of</w:t>
      </w:r>
      <w:r>
        <w:rPr>
          <w:noProof/>
        </w:rPr>
        <w:t xml:space="preserve"> the</w:t>
      </w:r>
      <w:r w:rsidRPr="000A6313">
        <w:rPr>
          <w:noProof/>
        </w:rPr>
        <w:t xml:space="preserve"> laboratories that the Fleming Fund was due to support. For example, sites in some countries </w:t>
      </w:r>
      <w:r>
        <w:rPr>
          <w:noProof/>
        </w:rPr>
        <w:t>did not have</w:t>
      </w:r>
      <w:r w:rsidRPr="000A6313">
        <w:rPr>
          <w:noProof/>
        </w:rPr>
        <w:t xml:space="preserve"> reliable water and electricity supplies</w:t>
      </w:r>
      <w:r>
        <w:rPr>
          <w:noProof/>
        </w:rPr>
        <w:t>,</w:t>
      </w:r>
      <w:r w:rsidRPr="000A6313">
        <w:rPr>
          <w:noProof/>
        </w:rPr>
        <w:t xml:space="preserve"> </w:t>
      </w:r>
      <w:r>
        <w:rPr>
          <w:noProof/>
        </w:rPr>
        <w:t>which</w:t>
      </w:r>
      <w:r w:rsidRPr="000A6313">
        <w:rPr>
          <w:noProof/>
        </w:rPr>
        <w:t xml:space="preserve"> are fundamental </w:t>
      </w:r>
      <w:r>
        <w:rPr>
          <w:noProof/>
        </w:rPr>
        <w:t>for</w:t>
      </w:r>
      <w:r w:rsidRPr="000A6313">
        <w:rPr>
          <w:noProof/>
        </w:rPr>
        <w:t xml:space="preserve"> AMR testing</w:t>
      </w:r>
      <w:r>
        <w:rPr>
          <w:noProof/>
        </w:rPr>
        <w:t xml:space="preserve"> whereas in some others, laboratories were much more sophisticated</w:t>
      </w:r>
      <w:r w:rsidRPr="000A6313">
        <w:rPr>
          <w:noProof/>
        </w:rPr>
        <w:t>.</w:t>
      </w:r>
    </w:p>
    <w:bookmarkEnd w:id="13"/>
    <w:p w14:paraId="440F0858" w14:textId="2257E943" w:rsidR="00481F48" w:rsidRDefault="00481F48" w:rsidP="002E67FF">
      <w:pPr>
        <w:pStyle w:val="ItadBullets"/>
        <w:rPr>
          <w:noProof/>
        </w:rPr>
      </w:pPr>
      <w:r>
        <w:rPr>
          <w:noProof/>
        </w:rPr>
        <w:t>G</w:t>
      </w:r>
      <w:r w:rsidRPr="00FD7A5C">
        <w:rPr>
          <w:noProof/>
        </w:rPr>
        <w:t xml:space="preserve">rant start dates were staggered across countries so </w:t>
      </w:r>
      <w:r>
        <w:rPr>
          <w:noProof/>
        </w:rPr>
        <w:t xml:space="preserve">that </w:t>
      </w:r>
      <w:r w:rsidRPr="00FD7A5C">
        <w:rPr>
          <w:noProof/>
        </w:rPr>
        <w:t>the duration and level</w:t>
      </w:r>
      <w:r w:rsidRPr="00FD7A5C" w:rsidDel="00045217">
        <w:rPr>
          <w:noProof/>
        </w:rPr>
        <w:t xml:space="preserve"> </w:t>
      </w:r>
      <w:r w:rsidRPr="00FD7A5C">
        <w:rPr>
          <w:noProof/>
        </w:rPr>
        <w:t xml:space="preserve">of overall support from </w:t>
      </w:r>
      <w:r w:rsidRPr="00FD7A5C" w:rsidDel="00052E3D">
        <w:rPr>
          <w:noProof/>
        </w:rPr>
        <w:t xml:space="preserve">the </w:t>
      </w:r>
      <w:r>
        <w:rPr>
          <w:noProof/>
        </w:rPr>
        <w:t>Fleming Fund</w:t>
      </w:r>
      <w:r w:rsidRPr="00FD7A5C">
        <w:rPr>
          <w:noProof/>
        </w:rPr>
        <w:t xml:space="preserve"> varied across countries.</w:t>
      </w:r>
    </w:p>
    <w:p w14:paraId="0FBFF243" w14:textId="660D5335" w:rsidR="00481F48" w:rsidRDefault="00481F48" w:rsidP="002E67FF">
      <w:pPr>
        <w:pStyle w:val="ItadBullets"/>
        <w:rPr>
          <w:noProof/>
        </w:rPr>
      </w:pPr>
      <w:r w:rsidRPr="00FD7A5C">
        <w:rPr>
          <w:noProof/>
        </w:rPr>
        <w:t>The pace of implement</w:t>
      </w:r>
      <w:r>
        <w:rPr>
          <w:noProof/>
        </w:rPr>
        <w:t>ing</w:t>
      </w:r>
      <w:r w:rsidRPr="00FD7A5C">
        <w:rPr>
          <w:noProof/>
        </w:rPr>
        <w:t xml:space="preserve"> many grants was affected by COVID-19 restrictions.</w:t>
      </w:r>
    </w:p>
    <w:p w14:paraId="51BDA318" w14:textId="75762EF2" w:rsidR="00481F48" w:rsidRDefault="00481F48" w:rsidP="002E67FF">
      <w:pPr>
        <w:pStyle w:val="ItadBullets"/>
        <w:rPr>
          <w:noProof/>
        </w:rPr>
      </w:pPr>
      <w:r>
        <w:rPr>
          <w:noProof/>
        </w:rPr>
        <w:t>T</w:t>
      </w:r>
      <w:r w:rsidRPr="00FD7A5C">
        <w:rPr>
          <w:noProof/>
        </w:rPr>
        <w:t>he process of building a surveillance system is incremental and results</w:t>
      </w:r>
      <w:r>
        <w:rPr>
          <w:noProof/>
        </w:rPr>
        <w:t>,</w:t>
      </w:r>
      <w:r w:rsidRPr="00FD7A5C">
        <w:rPr>
          <w:noProof/>
        </w:rPr>
        <w:t xml:space="preserve"> in terms of data generation</w:t>
      </w:r>
      <w:r>
        <w:rPr>
          <w:noProof/>
        </w:rPr>
        <w:t>,</w:t>
      </w:r>
      <w:r w:rsidRPr="00FD7A5C">
        <w:rPr>
          <w:noProof/>
        </w:rPr>
        <w:t xml:space="preserve"> were not expected before 36 months</w:t>
      </w:r>
      <w:r>
        <w:rPr>
          <w:noProof/>
        </w:rPr>
        <w:t>’</w:t>
      </w:r>
      <w:r w:rsidRPr="00FD7A5C">
        <w:rPr>
          <w:noProof/>
        </w:rPr>
        <w:t xml:space="preserve"> support. By </w:t>
      </w:r>
      <w:r>
        <w:rPr>
          <w:noProof/>
        </w:rPr>
        <w:t xml:space="preserve">the </w:t>
      </w:r>
      <w:r w:rsidRPr="00FD7A5C">
        <w:rPr>
          <w:noProof/>
        </w:rPr>
        <w:t>end of June 2022,</w:t>
      </w:r>
      <w:r w:rsidRPr="00FD7A5C" w:rsidDel="00DA34CE">
        <w:rPr>
          <w:noProof/>
        </w:rPr>
        <w:t xml:space="preserve"> </w:t>
      </w:r>
      <w:r w:rsidRPr="00FD7A5C">
        <w:rPr>
          <w:noProof/>
        </w:rPr>
        <w:t xml:space="preserve">16 of the 23 countries </w:t>
      </w:r>
      <w:r>
        <w:rPr>
          <w:noProof/>
        </w:rPr>
        <w:t>had</w:t>
      </w:r>
      <w:r w:rsidRPr="00FD7A5C">
        <w:rPr>
          <w:noProof/>
        </w:rPr>
        <w:t xml:space="preserve"> received 36 or more months</w:t>
      </w:r>
      <w:r>
        <w:rPr>
          <w:noProof/>
        </w:rPr>
        <w:t>’</w:t>
      </w:r>
      <w:r w:rsidRPr="00FD7A5C">
        <w:rPr>
          <w:noProof/>
        </w:rPr>
        <w:t xml:space="preserve"> support, with another </w:t>
      </w:r>
      <w:r>
        <w:rPr>
          <w:noProof/>
        </w:rPr>
        <w:t>seven</w:t>
      </w:r>
      <w:r w:rsidRPr="00FD7A5C">
        <w:rPr>
          <w:noProof/>
        </w:rPr>
        <w:t xml:space="preserve"> receiving between 24 and 36 months</w:t>
      </w:r>
      <w:r>
        <w:rPr>
          <w:noProof/>
        </w:rPr>
        <w:t>’</w:t>
      </w:r>
      <w:r w:rsidRPr="00FD7A5C">
        <w:rPr>
          <w:noProof/>
        </w:rPr>
        <w:t xml:space="preserve"> support.</w:t>
      </w:r>
    </w:p>
    <w:p w14:paraId="7326B6BE" w14:textId="754A4E2E" w:rsidR="00481F48" w:rsidRPr="00FD7A5C" w:rsidRDefault="00481F48" w:rsidP="002E67FF">
      <w:pPr>
        <w:pStyle w:val="ItadBullets"/>
        <w:rPr>
          <w:noProof/>
        </w:rPr>
      </w:pPr>
      <w:r>
        <w:rPr>
          <w:noProof/>
        </w:rPr>
        <w:t>T</w:t>
      </w:r>
      <w:r w:rsidRPr="00FD7A5C">
        <w:rPr>
          <w:noProof/>
        </w:rPr>
        <w:t>his first phase of Fleming Fund support was mainly intended to build the foundations for AMR surveillance.</w:t>
      </w:r>
      <w:r w:rsidRPr="00FD7A5C" w:rsidDel="00AB12BF">
        <w:rPr>
          <w:noProof/>
        </w:rPr>
        <w:t xml:space="preserve"> </w:t>
      </w:r>
      <w:r w:rsidRPr="00FD7A5C">
        <w:rPr>
          <w:noProof/>
        </w:rPr>
        <w:t xml:space="preserve">Achievement of </w:t>
      </w:r>
      <w:r w:rsidRPr="00FD7A5C" w:rsidDel="00052E3D">
        <w:rPr>
          <w:noProof/>
        </w:rPr>
        <w:t>the</w:t>
      </w:r>
      <w:r>
        <w:rPr>
          <w:noProof/>
        </w:rPr>
        <w:t xml:space="preserve"> Fleming Fund’</w:t>
      </w:r>
      <w:r w:rsidRPr="00FD7A5C">
        <w:rPr>
          <w:noProof/>
        </w:rPr>
        <w:t xml:space="preserve">s strategic outcomes, such as significant use of AMR data and analysis to drive or inform anticipated policy, regulatory and behavioural change was expected </w:t>
      </w:r>
      <w:r>
        <w:rPr>
          <w:noProof/>
        </w:rPr>
        <w:t xml:space="preserve">to </w:t>
      </w:r>
      <w:r w:rsidRPr="00FD7A5C">
        <w:rPr>
          <w:noProof/>
        </w:rPr>
        <w:t>be the focus of subsequent phases of support.</w:t>
      </w:r>
    </w:p>
    <w:p w14:paraId="2D621B5E" w14:textId="70E605CE" w:rsidR="00481F48" w:rsidRPr="00C26878" w:rsidRDefault="00481F48" w:rsidP="003F3DC7">
      <w:pPr>
        <w:pStyle w:val="ItadH2Numbered"/>
      </w:pPr>
      <w:bookmarkStart w:id="14" w:name="_Hlk152274319"/>
      <w:bookmarkEnd w:id="11"/>
      <w:r w:rsidRPr="00C26878">
        <w:t>(EQ1) What has been the increase in the quantity and/or quality of data on AMR at country level and to what extent has the Fleming Fund contributed to this increase?</w:t>
      </w:r>
    </w:p>
    <w:p w14:paraId="26220C0A" w14:textId="1D632A5B" w:rsidR="00481F48" w:rsidRDefault="00481F48" w:rsidP="00CF3D84">
      <w:pPr>
        <w:pStyle w:val="ItadNormalText"/>
      </w:pPr>
      <w:bookmarkStart w:id="15" w:name="_Hlk128999921"/>
      <w:bookmarkEnd w:id="14"/>
      <w:r w:rsidRPr="00CF3D84">
        <w:rPr>
          <w:b/>
          <w:bCs/>
        </w:rPr>
        <w:t>The MA achieved the stated aims for data generation as set out in the implementation plan, albeit the targets were neither ambitious nor sector specific.</w:t>
      </w:r>
      <w:r w:rsidRPr="00123259">
        <w:t xml:space="preserve"> </w:t>
      </w:r>
      <w:r>
        <w:t>By</w:t>
      </w:r>
      <w:r w:rsidRPr="00A87745">
        <w:t xml:space="preserve"> mid-2022, there was evidence of increases in the quantity of</w:t>
      </w:r>
      <w:r w:rsidRPr="00A87745" w:rsidDel="00372896">
        <w:t xml:space="preserve"> </w:t>
      </w:r>
      <w:r w:rsidRPr="00A87745">
        <w:t xml:space="preserve">human health (HH) AMR surveillance data in 11 out of 16 (69%) of our focus countries, although the extent of change varied; and of increases in quantity of other types of </w:t>
      </w:r>
      <w:r w:rsidRPr="008F13E5">
        <w:t>HH data beyond AMR</w:t>
      </w:r>
      <w:r>
        <w:t>.</w:t>
      </w:r>
      <w:r>
        <w:rPr>
          <w:rStyle w:val="EndnoteReference"/>
          <w:rFonts w:eastAsia="Calibri"/>
        </w:rPr>
        <w:endnoteReference w:id="7"/>
      </w:r>
      <w:r w:rsidRPr="000F4FCF">
        <w:t xml:space="preserve"> There was evidence of increases in the quantity</w:t>
      </w:r>
      <w:r w:rsidRPr="00123259">
        <w:t xml:space="preserve"> of animal health (AH) AMR surveillance data in 12 out of 16 countries (75%), </w:t>
      </w:r>
      <w:r>
        <w:t>in which</w:t>
      </w:r>
      <w:r w:rsidRPr="00123259">
        <w:t xml:space="preserve"> the extent of change also varied.</w:t>
      </w:r>
    </w:p>
    <w:p w14:paraId="291839D3" w14:textId="27E35A86" w:rsidR="00481F48" w:rsidRPr="00965EC6" w:rsidRDefault="00481F48" w:rsidP="00CF3D84">
      <w:pPr>
        <w:pStyle w:val="ItadNormalText"/>
      </w:pPr>
      <w:r w:rsidRPr="00965EC6">
        <w:rPr>
          <w:b/>
          <w:bCs/>
        </w:rPr>
        <w:t xml:space="preserve">Improvements in internal systems ensuring the quality of AMR testing were seen in HH and AH in </w:t>
      </w:r>
      <w:proofErr w:type="gramStart"/>
      <w:r w:rsidRPr="00965EC6">
        <w:rPr>
          <w:b/>
          <w:bCs/>
        </w:rPr>
        <w:t>a majority of</w:t>
      </w:r>
      <w:proofErr w:type="gramEnd"/>
      <w:r w:rsidRPr="00965EC6">
        <w:rPr>
          <w:b/>
          <w:bCs/>
        </w:rPr>
        <w:t xml:space="preserve"> countries, but progress was mixed.</w:t>
      </w:r>
      <w:r w:rsidRPr="00965EC6" w:rsidDel="00771A88">
        <w:rPr>
          <w:b/>
          <w:bCs/>
        </w:rPr>
        <w:t xml:space="preserve"> </w:t>
      </w:r>
      <w:r w:rsidRPr="00965EC6">
        <w:t>However, quality improvements have varied on a site-by-site basis, and it is not clear whether the MA’s aims have been consistently achieved (given the limited delineation of quality goals at the start of phase 1).</w:t>
      </w:r>
    </w:p>
    <w:p w14:paraId="216F1BF6" w14:textId="4A69286A" w:rsidR="00481F48" w:rsidRPr="0028018A" w:rsidRDefault="00481F48" w:rsidP="00CF3D84">
      <w:pPr>
        <w:pStyle w:val="ItadNormalText"/>
      </w:pPr>
      <w:r w:rsidRPr="00965EC6">
        <w:t>Major drivers of increases in quantity and quality were identified as</w:t>
      </w:r>
      <w:r>
        <w:t>:</w:t>
      </w:r>
      <w:r w:rsidRPr="00965EC6">
        <w:t xml:space="preserve"> renovation of sites and provision of equipment, training of the laboratory workforce, supporting laboratory quality management systems, and AMR governance. Overall, </w:t>
      </w:r>
      <w:r w:rsidRPr="00965EC6">
        <w:rPr>
          <w:b/>
          <w:bCs/>
        </w:rPr>
        <w:t>the Fleming Fund has made a vital or important</w:t>
      </w:r>
      <w:r w:rsidRPr="00965EC6">
        <w:rPr>
          <w:rStyle w:val="EndnoteReference"/>
          <w:rFonts w:eastAsia="Calibri"/>
          <w:b/>
          <w:bCs/>
        </w:rPr>
        <w:endnoteReference w:id="8"/>
      </w:r>
      <w:r w:rsidRPr="00965EC6">
        <w:rPr>
          <w:b/>
          <w:bCs/>
        </w:rPr>
        <w:t xml:space="preserve"> contribution to most key drivers of increased</w:t>
      </w:r>
      <w:r w:rsidRPr="0028018A">
        <w:rPr>
          <w:b/>
          <w:bCs/>
        </w:rPr>
        <w:t xml:space="preserve"> quantity and quality in both HH and AH AMR data, albeit to variable extents.</w:t>
      </w:r>
    </w:p>
    <w:p w14:paraId="3E906AB5" w14:textId="071B5832" w:rsidR="00481F48" w:rsidRPr="00C26878" w:rsidRDefault="00481F48" w:rsidP="003F3DC7">
      <w:pPr>
        <w:pStyle w:val="ItadH2Numbered"/>
      </w:pPr>
      <w:bookmarkStart w:id="16" w:name="_Hlk152274301"/>
      <w:bookmarkEnd w:id="15"/>
      <w:r w:rsidRPr="00C26878">
        <w:t>(EQ5) What has been the increase in quality of data shared and reported internationally and has the Fleming Fund contributed to this?</w:t>
      </w:r>
    </w:p>
    <w:p w14:paraId="455A8063" w14:textId="4E1B3DF5" w:rsidR="00481F48" w:rsidRPr="00EA3045" w:rsidRDefault="00481F48" w:rsidP="00CF3D84">
      <w:pPr>
        <w:pStyle w:val="ItadNormalText"/>
      </w:pPr>
      <w:bookmarkStart w:id="17" w:name="_Hlk129001411"/>
      <w:bookmarkEnd w:id="16"/>
      <w:r w:rsidRPr="00EA3045">
        <w:rPr>
          <w:b/>
          <w:bCs/>
        </w:rPr>
        <w:t>There is evidence of sharing at</w:t>
      </w:r>
      <w:r>
        <w:rPr>
          <w:b/>
          <w:bCs/>
        </w:rPr>
        <w:t xml:space="preserve"> the</w:t>
      </w:r>
      <w:r w:rsidRPr="00EA3045">
        <w:rPr>
          <w:b/>
          <w:bCs/>
        </w:rPr>
        <w:t xml:space="preserve"> international level, and emergent examples of use at </w:t>
      </w:r>
      <w:r>
        <w:rPr>
          <w:b/>
          <w:bCs/>
        </w:rPr>
        <w:t xml:space="preserve">the </w:t>
      </w:r>
      <w:r w:rsidRPr="00EA3045">
        <w:rPr>
          <w:b/>
          <w:bCs/>
        </w:rPr>
        <w:t xml:space="preserve">facility level. </w:t>
      </w:r>
      <w:r w:rsidRPr="00EA3045">
        <w:t xml:space="preserve">At the </w:t>
      </w:r>
      <w:r w:rsidRPr="00EA3045">
        <w:rPr>
          <w:i/>
          <w:iCs/>
        </w:rPr>
        <w:t>international level</w:t>
      </w:r>
      <w:r w:rsidRPr="00EA3045">
        <w:t xml:space="preserve">, for HH more AMR data has been made available, with </w:t>
      </w:r>
      <w:proofErr w:type="gramStart"/>
      <w:r w:rsidRPr="002C73D6">
        <w:rPr>
          <w:rFonts w:cs="Calibri"/>
        </w:rPr>
        <w:t>the majority of</w:t>
      </w:r>
      <w:proofErr w:type="gramEnd"/>
      <w:r w:rsidRPr="002C73D6">
        <w:rPr>
          <w:rFonts w:cs="Calibri"/>
        </w:rPr>
        <w:t xml:space="preserve"> evaluation</w:t>
      </w:r>
      <w:r w:rsidRPr="00EA3045">
        <w:t xml:space="preserve"> focus countries (</w:t>
      </w:r>
      <w:r>
        <w:t xml:space="preserve">13 out of </w:t>
      </w:r>
      <w:r w:rsidRPr="00EA3045">
        <w:t>16) sharing data to the Global Antimicrobial Resistance Surveillance System (GLASS) since 2018 (</w:t>
      </w:r>
      <w:r w:rsidRPr="00EA3045">
        <w:rPr>
          <w:rFonts w:cs="Calibri"/>
        </w:rPr>
        <w:t>of which seven had not previously done so)</w:t>
      </w:r>
      <w:r>
        <w:rPr>
          <w:rFonts w:cs="Calibri"/>
        </w:rPr>
        <w:t xml:space="preserve"> </w:t>
      </w:r>
      <w:r w:rsidRPr="006703E1">
        <w:rPr>
          <w:rFonts w:cs="Calibri"/>
        </w:rPr>
        <w:t>and a further four across other Fleming Fund countries</w:t>
      </w:r>
      <w:r w:rsidRPr="00EA3045">
        <w:t>. In the AH sector, more data on AMC/U has been reported to WOAH</w:t>
      </w:r>
      <w:r>
        <w:t>; b</w:t>
      </w:r>
      <w:r w:rsidRPr="008343D7">
        <w:rPr>
          <w:rFonts w:cs="Calibri"/>
        </w:rPr>
        <w:t xml:space="preserve">y May 2022, 14 out of 16 </w:t>
      </w:r>
      <w:r>
        <w:rPr>
          <w:rFonts w:cs="Calibri"/>
        </w:rPr>
        <w:t xml:space="preserve">of the evaluation focus </w:t>
      </w:r>
      <w:r w:rsidRPr="008343D7">
        <w:rPr>
          <w:rFonts w:cs="Calibri"/>
        </w:rPr>
        <w:t xml:space="preserve">countries (88%) reported to WOAH, with a </w:t>
      </w:r>
      <w:r w:rsidRPr="008343D7">
        <w:rPr>
          <w:rFonts w:cs="Calibri"/>
        </w:rPr>
        <w:lastRenderedPageBreak/>
        <w:t>reduction in the number reporting the most basic level of data and an increase in the number providing more sophisticated data</w:t>
      </w:r>
      <w:r>
        <w:rPr>
          <w:rFonts w:cs="Calibri"/>
        </w:rPr>
        <w:t>.</w:t>
      </w:r>
    </w:p>
    <w:p w14:paraId="3BFC3F9D" w14:textId="60C36016" w:rsidR="00481F48" w:rsidRPr="00C26878" w:rsidRDefault="00481F48" w:rsidP="003F3DC7">
      <w:pPr>
        <w:pStyle w:val="ItadH2Numbered"/>
      </w:pPr>
      <w:bookmarkStart w:id="18" w:name="_Hlk152274284"/>
      <w:bookmarkEnd w:id="17"/>
      <w:r w:rsidRPr="00C26878">
        <w:t>(EQ4) Has, or is it likely that, the increase in AMR data influenced: (a</w:t>
      </w:r>
      <w:r w:rsidRPr="00C26878" w:rsidDel="008F7A53">
        <w:t>)</w:t>
      </w:r>
      <w:r w:rsidRPr="00C26878">
        <w:t xml:space="preserve"> changes in national policies/regulations? and/or (b) changes in practice and attitudes in-country?</w:t>
      </w:r>
    </w:p>
    <w:p w14:paraId="57214838" w14:textId="755C58DE" w:rsidR="00481F48" w:rsidRPr="00EA3045" w:rsidRDefault="00481F48" w:rsidP="00CF3D84">
      <w:pPr>
        <w:pStyle w:val="ItadNormalText"/>
      </w:pPr>
      <w:bookmarkStart w:id="19" w:name="_Hlk129002735"/>
      <w:bookmarkEnd w:id="18"/>
      <w:r w:rsidRPr="00CF3D84">
        <w:rPr>
          <w:b/>
          <w:bCs/>
        </w:rPr>
        <w:t xml:space="preserve">There are initial indications that data from AMR surveillance systems are starting to be collated and shared at the </w:t>
      </w:r>
      <w:r w:rsidRPr="00CF3D84">
        <w:rPr>
          <w:b/>
          <w:bCs/>
          <w:i/>
          <w:iCs/>
        </w:rPr>
        <w:t>national level</w:t>
      </w:r>
      <w:r w:rsidRPr="00CF3D84">
        <w:rPr>
          <w:b/>
          <w:bCs/>
        </w:rPr>
        <w:t>, but AMR data is not prominent in decisions on AMR action.</w:t>
      </w:r>
      <w:r w:rsidRPr="00EA3045">
        <w:t xml:space="preserve"> Progress </w:t>
      </w:r>
      <w:r>
        <w:t>on</w:t>
      </w:r>
      <w:r w:rsidRPr="00EA3045">
        <w:t xml:space="preserve"> </w:t>
      </w:r>
      <w:r>
        <w:t xml:space="preserve">the </w:t>
      </w:r>
      <w:r w:rsidRPr="00EA3045">
        <w:t>use of data has been slower and more difficult than anticipated</w:t>
      </w:r>
      <w:r>
        <w:t xml:space="preserve"> in the MA’s implementation plan</w:t>
      </w:r>
      <w:r w:rsidRPr="00EA3045">
        <w:t xml:space="preserve">, especially at national level. </w:t>
      </w:r>
      <w:r w:rsidRPr="00EA3045">
        <w:rPr>
          <w:i/>
          <w:iCs/>
        </w:rPr>
        <w:t>At the national level</w:t>
      </w:r>
      <w:r w:rsidRPr="00EA3045">
        <w:t>, data sharing with relevant committees is happening in six out of 16 focus countries.</w:t>
      </w:r>
      <w:r w:rsidRPr="00EA3045">
        <w:rPr>
          <w:rFonts w:cs="Calibri"/>
          <w:sz w:val="21"/>
          <w:szCs w:val="21"/>
          <w:vertAlign w:val="superscript"/>
        </w:rPr>
        <w:endnoteReference w:id="9"/>
      </w:r>
      <w:r w:rsidRPr="00EA3045">
        <w:t xml:space="preserve"> Even where AMR/C/U data is not yet being shared with relevant committees on a routine basis, some progress towards this goal has been realised in most countries. Despite progress </w:t>
      </w:r>
      <w:r>
        <w:t>on</w:t>
      </w:r>
      <w:r w:rsidRPr="00EA3045">
        <w:t xml:space="preserve"> sharing, AMR surveillance data collated from laboratory antimicrobial susceptibility testing (AST) is</w:t>
      </w:r>
      <w:r w:rsidRPr="00EA3045" w:rsidDel="00D3449C">
        <w:t xml:space="preserve"> yet </w:t>
      </w:r>
      <w:r w:rsidRPr="00EA3045">
        <w:t xml:space="preserve">to play a prominent role in relevant </w:t>
      </w:r>
      <w:r w:rsidRPr="00EA3045" w:rsidDel="00C8382F">
        <w:t>decision</w:t>
      </w:r>
      <w:r>
        <w:t>-making</w:t>
      </w:r>
      <w:r w:rsidRPr="00EA3045">
        <w:t xml:space="preserve"> about action on AMR. Over half of </w:t>
      </w:r>
      <w:r>
        <w:t xml:space="preserve">the </w:t>
      </w:r>
      <w:r w:rsidRPr="00EA3045">
        <w:t>focus countries have nevertheless initiated significant policy and regulatory action on AMR</w:t>
      </w:r>
      <w:r w:rsidRPr="00EA3045">
        <w:rPr>
          <w:i/>
          <w:iCs/>
        </w:rPr>
        <w:t xml:space="preserve"> at the national level </w:t>
      </w:r>
      <w:r w:rsidRPr="00EA3045">
        <w:t>since 2018.</w:t>
      </w:r>
    </w:p>
    <w:p w14:paraId="32DC728C" w14:textId="3CCC3645" w:rsidR="00481F48" w:rsidRPr="00EA3045" w:rsidRDefault="00481F48" w:rsidP="00CF3D84">
      <w:pPr>
        <w:pStyle w:val="ItadNormalText"/>
      </w:pPr>
      <w:r w:rsidRPr="00CF3D84">
        <w:rPr>
          <w:b/>
          <w:bCs/>
        </w:rPr>
        <w:t>At the local/facility level, there is emergent evidence that Fleming Fund interventions are stimulating positive changes to practices and attitudes</w:t>
      </w:r>
      <w:r w:rsidRPr="00EA3045">
        <w:t xml:space="preserve"> as clinicians and other stakeholders start to interact differently with improved laboratories</w:t>
      </w:r>
      <w:r>
        <w:t>. H</w:t>
      </w:r>
      <w:r w:rsidRPr="00EA3045">
        <w:t>owever, these are not yet representative of wider system changes within countries.</w:t>
      </w:r>
    </w:p>
    <w:p w14:paraId="4E233568" w14:textId="355D83C4" w:rsidR="00481F48" w:rsidRPr="00EA3045" w:rsidRDefault="00481F48" w:rsidP="00CF3D84">
      <w:pPr>
        <w:pStyle w:val="ItadNormalText"/>
      </w:pPr>
      <w:r w:rsidRPr="00EA3045">
        <w:rPr>
          <w:b/>
        </w:rPr>
        <w:t xml:space="preserve">The Fleming Fund has made very substantial contributions to the main drivers of </w:t>
      </w:r>
      <w:r w:rsidRPr="00965EC6">
        <w:rPr>
          <w:b/>
          <w:i/>
          <w:iCs/>
        </w:rPr>
        <w:t>data sharing</w:t>
      </w:r>
      <w:r w:rsidRPr="00EA3045">
        <w:rPr>
          <w:b/>
        </w:rPr>
        <w:t xml:space="preserve"> at the national level</w:t>
      </w:r>
      <w:r w:rsidRPr="00EA3045">
        <w:rPr>
          <w:b/>
          <w:bCs/>
        </w:rPr>
        <w:t xml:space="preserve">. </w:t>
      </w:r>
      <w:r w:rsidRPr="00EA3045">
        <w:t xml:space="preserve">So far this has been primarily through Country Grants (CGs). It remains to be seen to what extent </w:t>
      </w:r>
      <w:r>
        <w:t>p</w:t>
      </w:r>
      <w:r w:rsidRPr="00EA3045">
        <w:t xml:space="preserve">olicy </w:t>
      </w:r>
      <w:r>
        <w:t>f</w:t>
      </w:r>
      <w:r w:rsidRPr="00EA3045">
        <w:t xml:space="preserve">ellowships and other interventions focused on data use will contribute to the intended outcome-level results. </w:t>
      </w:r>
      <w:r>
        <w:t xml:space="preserve">The </w:t>
      </w:r>
      <w:r w:rsidRPr="00EA3045">
        <w:t>Fleming Fund has also contributed strongly to the drivers of data sharing at the international level, especially sharing with GLASS.</w:t>
      </w:r>
    </w:p>
    <w:p w14:paraId="37C4BABD" w14:textId="71393FF6" w:rsidR="00481F48" w:rsidRPr="00C26878" w:rsidRDefault="00481F48" w:rsidP="003F3DC7">
      <w:pPr>
        <w:pStyle w:val="ItadH2Numbered"/>
      </w:pPr>
      <w:bookmarkStart w:id="20" w:name="_Hlk152274270"/>
      <w:bookmarkEnd w:id="19"/>
      <w:r w:rsidRPr="00C26878">
        <w:t>(EQ3) How likely are the Fleming Fund’s country-level results to be sustained?</w:t>
      </w:r>
    </w:p>
    <w:p w14:paraId="113CA3FA" w14:textId="61087BF4" w:rsidR="00481F48" w:rsidRPr="00853D7E" w:rsidRDefault="00481F48" w:rsidP="00CF3D84">
      <w:pPr>
        <w:pStyle w:val="ItadNormalText"/>
      </w:pPr>
      <w:bookmarkStart w:id="21" w:name="_Hlk129003380"/>
      <w:bookmarkEnd w:id="20"/>
      <w:r w:rsidRPr="00CF3D84">
        <w:rPr>
          <w:b/>
          <w:bCs/>
        </w:rPr>
        <w:t>Based on action to date and current</w:t>
      </w:r>
      <w:r w:rsidRPr="00CF3D84" w:rsidDel="00714E38">
        <w:rPr>
          <w:b/>
          <w:bCs/>
        </w:rPr>
        <w:t xml:space="preserve"> </w:t>
      </w:r>
      <w:r w:rsidRPr="00CF3D84">
        <w:rPr>
          <w:b/>
          <w:bCs/>
        </w:rPr>
        <w:t>country-level conditions, there are limited prospects for sustaining Fleming Fund results at present.</w:t>
      </w:r>
      <w:r w:rsidRPr="00EA3045">
        <w:rPr>
          <w:rFonts w:ascii="Segoe UI" w:hAnsi="Segoe UI" w:cs="Segoe UI"/>
        </w:rPr>
        <w:t xml:space="preserve"> </w:t>
      </w:r>
      <w:r w:rsidRPr="00EA3045">
        <w:t xml:space="preserve">This is linked to a lack of progress in establishing key conditions (resources, capacity, motivation, planning) as identified in published literature. The MA has been clear that prospects for achieving sustainability during </w:t>
      </w:r>
      <w:r>
        <w:t>phase 1</w:t>
      </w:r>
      <w:r w:rsidRPr="00EA3045">
        <w:t xml:space="preserve"> were limited</w:t>
      </w:r>
      <w:r>
        <w:t xml:space="preserve"> </w:t>
      </w:r>
      <w:r w:rsidRPr="00016A96">
        <w:t>given the starting points in most countries and limited implementation time of some grants</w:t>
      </w:r>
      <w:r w:rsidRPr="00EA3045">
        <w:t xml:space="preserve"> (</w:t>
      </w:r>
      <w:r w:rsidRPr="00DD0D7A">
        <w:t xml:space="preserve">and this is backed up by broader evidence </w:t>
      </w:r>
      <w:r w:rsidRPr="00016A96">
        <w:t>which underlines that sustainability is hard to achieve and takes time</w:t>
      </w:r>
      <w:r w:rsidRPr="00EA3045">
        <w:t>).</w:t>
      </w:r>
      <w:r w:rsidRPr="00016A96">
        <w:t xml:space="preserve"> </w:t>
      </w:r>
      <w:r>
        <w:t>The MA’</w:t>
      </w:r>
      <w:r w:rsidRPr="00EA3045">
        <w:t xml:space="preserve">s approach to sustainability has focused on </w:t>
      </w:r>
      <w:r>
        <w:t>(</w:t>
      </w:r>
      <w:r w:rsidRPr="00EA3045">
        <w:t xml:space="preserve">a) hardwiring sustainability </w:t>
      </w:r>
      <w:r w:rsidRPr="00853D7E">
        <w:t>prospects in grant design</w:t>
      </w:r>
      <w:r>
        <w:t>;</w:t>
      </w:r>
      <w:r w:rsidRPr="00853D7E">
        <w:t xml:space="preserve"> </w:t>
      </w:r>
      <w:r>
        <w:t>(</w:t>
      </w:r>
      <w:r w:rsidRPr="00853D7E">
        <w:t>b) delivering success in Fleming Fund 1</w:t>
      </w:r>
      <w:r>
        <w:t>;</w:t>
      </w:r>
      <w:r w:rsidRPr="00853D7E">
        <w:t xml:space="preserve"> </w:t>
      </w:r>
      <w:r>
        <w:t>and (</w:t>
      </w:r>
      <w:r w:rsidRPr="00853D7E">
        <w:t xml:space="preserve">c) increasing focus on sustainability in second CGs. </w:t>
      </w:r>
      <w:r>
        <w:t xml:space="preserve">The MA’s sustainability assessments </w:t>
      </w:r>
      <w:r w:rsidRPr="00853D7E">
        <w:t xml:space="preserve">indicate what will be </w:t>
      </w:r>
      <w:r>
        <w:t>‘</w:t>
      </w:r>
      <w:r w:rsidRPr="00853D7E">
        <w:t>left behind</w:t>
      </w:r>
      <w:r>
        <w:t>’</w:t>
      </w:r>
      <w:r w:rsidRPr="00853D7E">
        <w:t xml:space="preserve"> but </w:t>
      </w:r>
      <w:r>
        <w:t xml:space="preserve">do </w:t>
      </w:r>
      <w:r w:rsidRPr="00853D7E">
        <w:t>no</w:t>
      </w:r>
      <w:r>
        <w:t>t set out an</w:t>
      </w:r>
      <w:r w:rsidRPr="00853D7E">
        <w:t xml:space="preserve"> explicit strategy or plan for achieving this</w:t>
      </w:r>
      <w:r>
        <w:t xml:space="preserve">. Overall, this </w:t>
      </w:r>
      <w:r w:rsidRPr="00853D7E">
        <w:t>has limited the extent to which realistic expectations and plans have been established with DHSC</w:t>
      </w:r>
      <w:r>
        <w:t xml:space="preserve"> or </w:t>
      </w:r>
      <w:r w:rsidRPr="00853D7E">
        <w:t xml:space="preserve">key </w:t>
      </w:r>
      <w:r>
        <w:t xml:space="preserve">country </w:t>
      </w:r>
      <w:r w:rsidRPr="00853D7E">
        <w:t xml:space="preserve">counterparts </w:t>
      </w:r>
      <w:r>
        <w:t>(</w:t>
      </w:r>
      <w:r w:rsidRPr="00853D7E">
        <w:t>although lack of clarity on future Fleming Fund funding hindered dialogue on sustainability</w:t>
      </w:r>
      <w:r>
        <w:t>)</w:t>
      </w:r>
      <w:r w:rsidRPr="00853D7E">
        <w:t xml:space="preserve">. </w:t>
      </w:r>
      <w:r>
        <w:t>Sustainability is a shared responsibility between the DHSC, MA team and recipient governments.</w:t>
      </w:r>
    </w:p>
    <w:p w14:paraId="5E6B73F4" w14:textId="5571FD71" w:rsidR="00481F48" w:rsidRPr="00C26878" w:rsidRDefault="00481F48" w:rsidP="003F3DC7">
      <w:pPr>
        <w:pStyle w:val="ItadH2Numbered"/>
      </w:pPr>
      <w:bookmarkStart w:id="22" w:name="_Hlk152274258"/>
      <w:bookmarkEnd w:id="21"/>
      <w:r w:rsidRPr="00C26878">
        <w:t>(EQ2) To what extent have the Fleming Fund’s investments been aligned and coherent with other relevant investments at country level?</w:t>
      </w:r>
    </w:p>
    <w:p w14:paraId="5B4C3214" w14:textId="2697F466" w:rsidR="00481F48" w:rsidRPr="00044F29" w:rsidRDefault="00481F48" w:rsidP="00CF3D84">
      <w:pPr>
        <w:pStyle w:val="ItadNormalText"/>
      </w:pPr>
      <w:bookmarkStart w:id="23" w:name="_Hlk129003861"/>
      <w:bookmarkEnd w:id="22"/>
      <w:r w:rsidRPr="00CF3D84">
        <w:rPr>
          <w:b/>
          <w:bCs/>
        </w:rPr>
        <w:t xml:space="preserve">The model has created challenges in terms of delivering internal coherence between </w:t>
      </w:r>
      <w:r>
        <w:rPr>
          <w:b/>
          <w:bCs/>
        </w:rPr>
        <w:t>CGs</w:t>
      </w:r>
      <w:r w:rsidRPr="00CF3D84">
        <w:rPr>
          <w:b/>
          <w:bCs/>
        </w:rPr>
        <w:t xml:space="preserve">, RGs and </w:t>
      </w:r>
      <w:r>
        <w:rPr>
          <w:b/>
          <w:bCs/>
        </w:rPr>
        <w:t>Fellowships</w:t>
      </w:r>
      <w:r w:rsidRPr="00CF3D84">
        <w:rPr>
          <w:b/>
          <w:bCs/>
        </w:rPr>
        <w:t>,</w:t>
      </w:r>
      <w:r w:rsidRPr="00044F29">
        <w:t xml:space="preserve"> compounded by </w:t>
      </w:r>
      <w:r>
        <w:t>several</w:t>
      </w:r>
      <w:r w:rsidRPr="00044F29">
        <w:t xml:space="preserve"> design, </w:t>
      </w:r>
      <w:proofErr w:type="gramStart"/>
      <w:r w:rsidRPr="00044F29" w:rsidDel="00E2480D">
        <w:t>management</w:t>
      </w:r>
      <w:proofErr w:type="gramEnd"/>
      <w:r w:rsidRPr="00044F29">
        <w:t xml:space="preserve"> and contextual factors. Over the years, efforts have been made by the DHSC and the MA to increase coherence and coordination among the various partners and funding streams. However, the bases for true coordination and collaboration are </w:t>
      </w:r>
      <w:r w:rsidRPr="00044F29">
        <w:lastRenderedPageBreak/>
        <w:t xml:space="preserve">still missing. </w:t>
      </w:r>
      <w:bookmarkStart w:id="24" w:name="_Hlk136424400"/>
      <w:r w:rsidRPr="00044F29">
        <w:t>This has likely led to some missed opportunities (in terms of linkages to other relevant agendas) and synergies</w:t>
      </w:r>
      <w:r>
        <w:t>,</w:t>
      </w:r>
      <w:r w:rsidRPr="00044F29">
        <w:t xml:space="preserve"> and increased transaction costs for country stakeholders.</w:t>
      </w:r>
    </w:p>
    <w:bookmarkEnd w:id="24"/>
    <w:p w14:paraId="738CD166" w14:textId="4DB3F115" w:rsidR="00481F48" w:rsidRPr="00044F29" w:rsidRDefault="00481F48" w:rsidP="003E0620">
      <w:pPr>
        <w:pStyle w:val="ItadNormalText"/>
      </w:pPr>
      <w:r w:rsidRPr="008343D7">
        <w:rPr>
          <w:b/>
          <w:bCs/>
        </w:rPr>
        <w:t>The MA-managed Fleming Fund investments have generally been well</w:t>
      </w:r>
      <w:r>
        <w:rPr>
          <w:b/>
          <w:bCs/>
        </w:rPr>
        <w:t xml:space="preserve"> </w:t>
      </w:r>
      <w:r w:rsidRPr="008343D7">
        <w:rPr>
          <w:b/>
          <w:bCs/>
        </w:rPr>
        <w:t xml:space="preserve">aligned with national priorities. </w:t>
      </w:r>
      <w:r w:rsidRPr="00F4019A">
        <w:t>On some occasions, however, alignment with government systems and long-term needs could have been stronger.</w:t>
      </w:r>
      <w:r w:rsidRPr="008343D7">
        <w:t xml:space="preserve"> </w:t>
      </w:r>
      <w:r w:rsidRPr="00D7066A">
        <w:t xml:space="preserve">External coherence between all Fleming Fund grants and other delivery partners’ (DPs) interventions was found to be strong in </w:t>
      </w:r>
      <w:proofErr w:type="gramStart"/>
      <w:r w:rsidRPr="00D7066A">
        <w:t>a majority of</w:t>
      </w:r>
      <w:proofErr w:type="gramEnd"/>
      <w:r w:rsidRPr="00D7066A">
        <w:t xml:space="preserve"> the focus countries.</w:t>
      </w:r>
      <w:r w:rsidRPr="00044F29">
        <w:t xml:space="preserve"> External coherence and coordination </w:t>
      </w:r>
      <w:proofErr w:type="gramStart"/>
      <w:r>
        <w:t>is</w:t>
      </w:r>
      <w:proofErr w:type="gramEnd"/>
      <w:r w:rsidRPr="00044F29">
        <w:t xml:space="preserve"> </w:t>
      </w:r>
      <w:r>
        <w:t xml:space="preserve">difficult </w:t>
      </w:r>
      <w:r w:rsidRPr="00044F29">
        <w:t>to achieve</w:t>
      </w:r>
      <w:r>
        <w:t xml:space="preserve">, depending on </w:t>
      </w:r>
      <w:r w:rsidRPr="008343D7">
        <w:t>many factors outside of the control of one programme</w:t>
      </w:r>
      <w:r>
        <w:t xml:space="preserve"> and u</w:t>
      </w:r>
      <w:r w:rsidRPr="008343D7">
        <w:t>ltimately</w:t>
      </w:r>
      <w:r>
        <w:t xml:space="preserve"> </w:t>
      </w:r>
      <w:r w:rsidRPr="008343D7">
        <w:t xml:space="preserve">the responsibility of a strong </w:t>
      </w:r>
      <w:r w:rsidRPr="00876B24">
        <w:t>Antimicrobial Resistance Coordinating Committee</w:t>
      </w:r>
      <w:r>
        <w:t xml:space="preserve"> (</w:t>
      </w:r>
      <w:r w:rsidRPr="008343D7">
        <w:t>AMRCC</w:t>
      </w:r>
      <w:r>
        <w:t>)</w:t>
      </w:r>
      <w:r w:rsidRPr="008343D7">
        <w:t>, although experience suggests this is not always a realistic assumption</w:t>
      </w:r>
      <w:r w:rsidRPr="008343D7">
        <w:rPr>
          <w:sz w:val="20"/>
          <w:szCs w:val="20"/>
          <w:vertAlign w:val="superscript"/>
        </w:rPr>
        <w:endnoteReference w:id="10"/>
      </w:r>
      <w:r w:rsidRPr="008343D7">
        <w:t>.</w:t>
      </w:r>
    </w:p>
    <w:p w14:paraId="09278494" w14:textId="3BD41EB5" w:rsidR="00481F48" w:rsidRPr="00C26878" w:rsidRDefault="00481F48" w:rsidP="003F3DC7">
      <w:pPr>
        <w:pStyle w:val="ItadH2Numbered"/>
      </w:pPr>
      <w:bookmarkStart w:id="25" w:name="_Hlk152274245"/>
      <w:bookmarkEnd w:id="23"/>
      <w:r w:rsidRPr="00C26878">
        <w:t>(EQ6) Did the Fleming Fund’s investments at country level offer value for money?</w:t>
      </w:r>
    </w:p>
    <w:p w14:paraId="4C15CCA0" w14:textId="4AAF4234" w:rsidR="00481F48" w:rsidRPr="00853D7E" w:rsidRDefault="00481F48" w:rsidP="00CF3D84">
      <w:pPr>
        <w:pStyle w:val="ItadNormalText"/>
      </w:pPr>
      <w:bookmarkStart w:id="26" w:name="_Hlk129004533"/>
      <w:bookmarkEnd w:id="25"/>
      <w:r w:rsidRPr="00CF3D84">
        <w:rPr>
          <w:b/>
          <w:bCs/>
        </w:rPr>
        <w:t>The Fleming Fund’s experience in delivering value for money (VfM) generally aligns with the Foreign, Commonwealth and Development Office (FCDO) and the Independent Commission for Aid Impact (ICAI) guidance. Overall, there are strong systems in place to manage economy and efficiency. However, the Fleming Fund has been weaker at establishing systems to manage for effectiveness.</w:t>
      </w:r>
      <w:r w:rsidRPr="00853D7E">
        <w:t xml:space="preserve"> </w:t>
      </w:r>
      <w:bookmarkStart w:id="27" w:name="_Hlk136424554"/>
      <w:proofErr w:type="gramStart"/>
      <w:r w:rsidRPr="00853D7E">
        <w:t>In spite of</w:t>
      </w:r>
      <w:proofErr w:type="gramEnd"/>
      <w:r w:rsidRPr="00853D7E">
        <w:t xml:space="preserve"> some existing and planned adaptations to strengthen this area</w:t>
      </w:r>
      <w:r>
        <w:t xml:space="preserve"> (</w:t>
      </w:r>
      <w:r w:rsidRPr="00853D7E">
        <w:t xml:space="preserve">and </w:t>
      </w:r>
      <w:r>
        <w:t xml:space="preserve">the </w:t>
      </w:r>
      <w:r w:rsidRPr="00853D7E">
        <w:t>Fleming Fund experience is not uncommon compared with other equivalent programmes</w:t>
      </w:r>
      <w:r>
        <w:t>),</w:t>
      </w:r>
      <w:r w:rsidRPr="00853D7E">
        <w:t xml:space="preserve"> this is a key strategic requirement for </w:t>
      </w:r>
      <w:r>
        <w:t>phase 2</w:t>
      </w:r>
      <w:r w:rsidRPr="00853D7E">
        <w:t>.</w:t>
      </w:r>
    </w:p>
    <w:bookmarkEnd w:id="27"/>
    <w:p w14:paraId="7B57EC11" w14:textId="35BE1577" w:rsidR="00481F48" w:rsidRPr="00853D7E" w:rsidRDefault="00481F48" w:rsidP="00CF3D84">
      <w:pPr>
        <w:pStyle w:val="ItadNormalText"/>
        <w:rPr>
          <w:rFonts w:cs="Calibri"/>
          <w:i/>
          <w:iCs/>
        </w:rPr>
      </w:pPr>
      <w:r w:rsidRPr="00CF3D84">
        <w:rPr>
          <w:b/>
          <w:bCs/>
        </w:rPr>
        <w:t xml:space="preserve">In narrow terms (economy, efficiency) there is evidence of VfM having been delivered. But in terms of effectiveness (as defined by </w:t>
      </w:r>
      <w:r>
        <w:rPr>
          <w:b/>
          <w:bCs/>
        </w:rPr>
        <w:t xml:space="preserve">the </w:t>
      </w:r>
      <w:r w:rsidRPr="00CF3D84">
        <w:rPr>
          <w:b/>
          <w:bCs/>
        </w:rPr>
        <w:t>Organisation for Economic Co-operation and Development (OECD)) the case is less clear.</w:t>
      </w:r>
      <w:r w:rsidRPr="00853D7E">
        <w:t xml:space="preserve"> There is evidence of significant cost savings (economy) delivered by the MA, underpinned by strong systems to manage budgets and expenditure</w:t>
      </w:r>
      <w:r>
        <w:t>s</w:t>
      </w:r>
      <w:r w:rsidRPr="00853D7E">
        <w:t xml:space="preserve">; performance is comparable to similar programmes. There is some evidence that the value of leveraged resources is reasonably significant in some grants </w:t>
      </w:r>
      <w:r w:rsidRPr="0097524E">
        <w:t xml:space="preserve">(&gt;5% of grant value in Timor-Leste and Laos People’s Democratic Republic). </w:t>
      </w:r>
      <w:r w:rsidRPr="00853D7E">
        <w:t>However, this indicator has not been reported or consistently tracked across all grants</w:t>
      </w:r>
      <w:r w:rsidRPr="00853D7E" w:rsidDel="00BC01BA">
        <w:t>.</w:t>
      </w:r>
      <w:r w:rsidRPr="00853D7E">
        <w:t xml:space="preserve"> The alignment between Fleming Fund expenditure, </w:t>
      </w:r>
      <w:proofErr w:type="gramStart"/>
      <w:r w:rsidRPr="00853D7E">
        <w:t>contribution</w:t>
      </w:r>
      <w:proofErr w:type="gramEnd"/>
      <w:r w:rsidRPr="00853D7E">
        <w:t xml:space="preserve"> and progress in generating quality AMR data is likely to be high, suggesting </w:t>
      </w:r>
      <w:r>
        <w:t>one</w:t>
      </w:r>
      <w:r w:rsidRPr="00853D7E">
        <w:t xml:space="preserve"> positive outcome in terms of VfM.</w:t>
      </w:r>
    </w:p>
    <w:p w14:paraId="77082F20" w14:textId="5AE9C480" w:rsidR="00481F48" w:rsidRDefault="00481F48" w:rsidP="003F3DC7">
      <w:pPr>
        <w:pStyle w:val="ItadH1Numbered"/>
        <w:rPr>
          <w:noProof/>
        </w:rPr>
      </w:pPr>
      <w:bookmarkStart w:id="28" w:name="_Toc144049334"/>
      <w:bookmarkStart w:id="29" w:name="_Toc144715794"/>
      <w:bookmarkEnd w:id="26"/>
      <w:r>
        <w:rPr>
          <w:noProof/>
        </w:rPr>
        <w:t>Conclusions</w:t>
      </w:r>
      <w:bookmarkEnd w:id="28"/>
      <w:bookmarkEnd w:id="29"/>
    </w:p>
    <w:p w14:paraId="6A35CF12" w14:textId="77777777" w:rsidR="00481F48" w:rsidRPr="00235501" w:rsidRDefault="00481F48" w:rsidP="00444B77">
      <w:pPr>
        <w:pStyle w:val="ItadNormalText"/>
        <w:rPr>
          <w:rFonts w:cs="Calibri"/>
          <w:i/>
          <w:iCs/>
          <w:lang w:eastAsia="en-GB"/>
        </w:rPr>
      </w:pPr>
      <w:r w:rsidRPr="007753B6">
        <w:rPr>
          <w:lang w:eastAsia="en-GB"/>
        </w:rPr>
        <w:t>The focus of phase 1 of the Fleming Fund was mainly to build the foundations for AMR surveillance. Achievement of the Fleming Fund</w:t>
      </w:r>
      <w:r>
        <w:rPr>
          <w:lang w:eastAsia="en-GB"/>
        </w:rPr>
        <w:t>’</w:t>
      </w:r>
      <w:r w:rsidRPr="007753B6">
        <w:rPr>
          <w:lang w:eastAsia="en-GB"/>
        </w:rPr>
        <w:t>s strategic outcomes, such as significant use of AMR data and analysis to drive or inform anticipated policy, regulatory and behavioural change was expected to be the focus of subsequent phases of support.</w:t>
      </w:r>
      <w:r>
        <w:rPr>
          <w:lang w:eastAsia="en-GB"/>
        </w:rPr>
        <w:t xml:space="preserve"> </w:t>
      </w:r>
      <w:r w:rsidRPr="00235501">
        <w:rPr>
          <w:lang w:eastAsia="en-GB"/>
        </w:rPr>
        <w:t xml:space="preserve">Our conclusions therefore significantly focus on the strengths and weaknesses of </w:t>
      </w:r>
      <w:r w:rsidRPr="00235501">
        <w:rPr>
          <w:noProof/>
          <w:lang w:eastAsia="en-GB"/>
        </w:rPr>
        <w:t>phase 1</w:t>
      </w:r>
      <w:r w:rsidRPr="00235501">
        <w:rPr>
          <w:lang w:eastAsia="en-GB"/>
        </w:rPr>
        <w:t xml:space="preserve"> in terms of maximising the contribution to the outcomes and what needs to change in </w:t>
      </w:r>
      <w:r w:rsidRPr="00235501">
        <w:rPr>
          <w:noProof/>
          <w:lang w:eastAsia="en-GB"/>
        </w:rPr>
        <w:t>phase 2</w:t>
      </w:r>
      <w:r w:rsidRPr="00235501">
        <w:rPr>
          <w:lang w:eastAsia="en-GB"/>
        </w:rPr>
        <w:t>.</w:t>
      </w:r>
    </w:p>
    <w:p w14:paraId="2D55DEED" w14:textId="2666A5BF" w:rsidR="00481F48" w:rsidRPr="00CF3D84" w:rsidRDefault="00481F48" w:rsidP="003F3DC7">
      <w:pPr>
        <w:pStyle w:val="ItadH2Numbered"/>
      </w:pPr>
      <w:bookmarkStart w:id="30" w:name="_Toc144049335"/>
      <w:bookmarkStart w:id="31" w:name="_Toc144715795"/>
      <w:r w:rsidRPr="00336339">
        <w:t>Strengths and weaknesses of the current programme design in terms of supporting LMIC</w:t>
      </w:r>
      <w:r>
        <w:t>s</w:t>
      </w:r>
      <w:r w:rsidRPr="00336339">
        <w:t xml:space="preserve"> to develop and sustain national programmes for surveillance of AMR and AMU</w:t>
      </w:r>
      <w:bookmarkEnd w:id="30"/>
      <w:bookmarkEnd w:id="31"/>
    </w:p>
    <w:p w14:paraId="5255E777" w14:textId="77777777" w:rsidR="00481F48" w:rsidRPr="008A5F96" w:rsidRDefault="00481F48" w:rsidP="00444B77">
      <w:pPr>
        <w:pStyle w:val="ItadH4"/>
      </w:pPr>
      <w:r w:rsidRPr="008A5F96">
        <w:t>Progress towards strategic goals</w:t>
      </w:r>
    </w:p>
    <w:p w14:paraId="449D9101" w14:textId="77777777" w:rsidR="00481F48" w:rsidRPr="008A5F96" w:rsidRDefault="00481F48" w:rsidP="00444B77">
      <w:pPr>
        <w:pStyle w:val="ItadNormalText"/>
        <w:rPr>
          <w:rFonts w:eastAsia="Calibri"/>
          <w:sz w:val="24"/>
          <w:szCs w:val="24"/>
        </w:rPr>
      </w:pPr>
      <w:bookmarkStart w:id="32" w:name="_Hlk129012610"/>
      <w:r w:rsidRPr="00CF3D84">
        <w:rPr>
          <w:b/>
          <w:bCs/>
        </w:rPr>
        <w:t xml:space="preserve">Conclusion 1: During phase 1, the Fleming Fund has made </w:t>
      </w:r>
      <w:r>
        <w:rPr>
          <w:b/>
          <w:bCs/>
        </w:rPr>
        <w:t>significant</w:t>
      </w:r>
      <w:r w:rsidRPr="00CF3D84">
        <w:rPr>
          <w:b/>
          <w:bCs/>
        </w:rPr>
        <w:t xml:space="preserve"> progress </w:t>
      </w:r>
      <w:r w:rsidRPr="00CF3D84">
        <w:rPr>
          <w:b/>
          <w:bCs/>
          <w:noProof/>
          <w:lang w:eastAsia="en-GB"/>
        </w:rPr>
        <w:t>in supporting countries to develop foundations for national AMR and AMU surveillance programmes.</w:t>
      </w:r>
      <w:r w:rsidRPr="00235501">
        <w:rPr>
          <w:lang w:eastAsia="en-GB"/>
        </w:rPr>
        <w:t xml:space="preserve"> </w:t>
      </w:r>
      <w:r w:rsidRPr="00235501">
        <w:rPr>
          <w:noProof/>
        </w:rPr>
        <w:t xml:space="preserve">Laboratory functions have been strengthened compared </w:t>
      </w:r>
      <w:r>
        <w:rPr>
          <w:noProof/>
        </w:rPr>
        <w:t>to</w:t>
      </w:r>
      <w:r w:rsidRPr="00235501">
        <w:rPr>
          <w:noProof/>
        </w:rPr>
        <w:t xml:space="preserve"> international norms, </w:t>
      </w:r>
      <w:r>
        <w:rPr>
          <w:noProof/>
        </w:rPr>
        <w:t xml:space="preserve">the </w:t>
      </w:r>
      <w:r w:rsidRPr="00235501">
        <w:rPr>
          <w:noProof/>
        </w:rPr>
        <w:t xml:space="preserve">capacities of key members of the laboratory workforce have been </w:t>
      </w:r>
      <w:r>
        <w:rPr>
          <w:noProof/>
        </w:rPr>
        <w:t>increased</w:t>
      </w:r>
      <w:r w:rsidRPr="00235501">
        <w:rPr>
          <w:noProof/>
        </w:rPr>
        <w:t xml:space="preserve">, and surveillance functions have been established in some countries. </w:t>
      </w:r>
      <w:r w:rsidRPr="00235501">
        <w:rPr>
          <w:rFonts w:eastAsia="Calibri"/>
        </w:rPr>
        <w:t xml:space="preserve">Broadly, within this narrow focus </w:t>
      </w:r>
      <w:r>
        <w:rPr>
          <w:rFonts w:eastAsia="Calibri"/>
        </w:rPr>
        <w:t>on</w:t>
      </w:r>
      <w:r w:rsidRPr="00235501">
        <w:rPr>
          <w:rFonts w:eastAsia="Calibri"/>
        </w:rPr>
        <w:t xml:space="preserve"> building foundations, phase 1 has achieved what was agreed</w:t>
      </w:r>
      <w:r>
        <w:rPr>
          <w:rFonts w:eastAsia="Calibri"/>
        </w:rPr>
        <w:t xml:space="preserve"> upon</w:t>
      </w:r>
      <w:r w:rsidRPr="00235501">
        <w:rPr>
          <w:rFonts w:eastAsia="Calibri"/>
        </w:rPr>
        <w:t xml:space="preserve"> between the MA and the DHSC.</w:t>
      </w:r>
    </w:p>
    <w:p w14:paraId="6BD0A5DB" w14:textId="7CB70A6C" w:rsidR="00481F48" w:rsidRPr="00235501" w:rsidRDefault="00481F48" w:rsidP="00444B77">
      <w:pPr>
        <w:pStyle w:val="ItadNormalText"/>
      </w:pPr>
      <w:r w:rsidRPr="00CF3D84">
        <w:rPr>
          <w:rFonts w:eastAsia="Times New Roman"/>
          <w:b/>
          <w:bCs/>
        </w:rPr>
        <w:t xml:space="preserve">Conclusion 2: </w:t>
      </w:r>
      <w:r w:rsidRPr="00CF3D84">
        <w:rPr>
          <w:b/>
          <w:bCs/>
        </w:rPr>
        <w:t xml:space="preserve">Building on these necessary foundations, it is reasonable to expect that the Fleming Fund will be able to make progress towards achieving its higher-level goals for phase 2 (in terms of </w:t>
      </w:r>
      <w:r w:rsidRPr="00CF3D84">
        <w:rPr>
          <w:b/>
          <w:bCs/>
        </w:rPr>
        <w:lastRenderedPageBreak/>
        <w:t xml:space="preserve">the use of data for clinical improvement, </w:t>
      </w:r>
      <w:proofErr w:type="gramStart"/>
      <w:r w:rsidRPr="00CF3D84">
        <w:rPr>
          <w:b/>
          <w:bCs/>
        </w:rPr>
        <w:t>policy</w:t>
      </w:r>
      <w:proofErr w:type="gramEnd"/>
      <w:r w:rsidRPr="00CF3D84">
        <w:rPr>
          <w:b/>
          <w:bCs/>
        </w:rPr>
        <w:t xml:space="preserve"> and behaviour change), </w:t>
      </w:r>
      <w:r w:rsidRPr="00CF3D84">
        <w:rPr>
          <w:rFonts w:eastAsia="Times New Roman"/>
          <w:b/>
          <w:bCs/>
          <w:noProof/>
        </w:rPr>
        <w:t>providing there is a stronger focus on understanding the needs and priorities of decision</w:t>
      </w:r>
      <w:r>
        <w:rPr>
          <w:rFonts w:eastAsia="Times New Roman"/>
          <w:b/>
          <w:bCs/>
          <w:noProof/>
        </w:rPr>
        <w:t>-</w:t>
      </w:r>
      <w:r w:rsidRPr="00CF3D84">
        <w:rPr>
          <w:rFonts w:eastAsia="Times New Roman"/>
          <w:b/>
          <w:bCs/>
          <w:noProof/>
        </w:rPr>
        <w:t>makers</w:t>
      </w:r>
      <w:r w:rsidRPr="00CF3D84">
        <w:rPr>
          <w:b/>
          <w:bCs/>
        </w:rPr>
        <w:t>.</w:t>
      </w:r>
      <w:r w:rsidRPr="008A5F96">
        <w:t xml:space="preserve"> </w:t>
      </w:r>
      <w:r w:rsidRPr="00235501">
        <w:t>However, processes to achieve these goals are inherently political, complex, unpredictable and will take time to work through. In phase 1, the AMR NAPs developed by country governments neither identified prioritised outcomes nor provided a strong framework within which the Fleming Fund could easily engage with key national stakeholders. It cannot be assumed that this will change without support to strengthen NAPs and</w:t>
      </w:r>
      <w:r>
        <w:t xml:space="preserve"> AMRCCs</w:t>
      </w:r>
      <w:r w:rsidRPr="00235501">
        <w:t>.</w:t>
      </w:r>
    </w:p>
    <w:bookmarkEnd w:id="32"/>
    <w:p w14:paraId="3E77C23D" w14:textId="77777777" w:rsidR="00481F48" w:rsidRPr="008A5F96" w:rsidRDefault="00481F48" w:rsidP="00444B77">
      <w:pPr>
        <w:pStyle w:val="ItadH4"/>
      </w:pPr>
      <w:r w:rsidRPr="008A5F96">
        <w:t>Observations on programme design</w:t>
      </w:r>
    </w:p>
    <w:p w14:paraId="1363656C" w14:textId="77777777" w:rsidR="00481F48" w:rsidRPr="00D40FD0" w:rsidRDefault="00481F48" w:rsidP="00444B77">
      <w:pPr>
        <w:pStyle w:val="ItadNormalText"/>
      </w:pPr>
      <w:bookmarkStart w:id="33" w:name="_Hlk129013016"/>
      <w:r w:rsidRPr="00CF3D84">
        <w:rPr>
          <w:b/>
          <w:bCs/>
        </w:rPr>
        <w:t>Conclusion 3:</w:t>
      </w:r>
      <w:r w:rsidRPr="00CF3D84" w:rsidDel="007D2E99">
        <w:rPr>
          <w:b/>
          <w:bCs/>
        </w:rPr>
        <w:t xml:space="preserve"> </w:t>
      </w:r>
      <w:r w:rsidRPr="00CF3D84">
        <w:rPr>
          <w:b/>
          <w:bCs/>
        </w:rPr>
        <w:t>The programme has operated within a challenging context, which will continue into phase 2. However, the Fleming Fund has proven flexible enough to respond effectively, even though some features of the programme design made responding more challenging.</w:t>
      </w:r>
      <w:r w:rsidRPr="00D40FD0">
        <w:t xml:space="preserve"> </w:t>
      </w:r>
      <w:bookmarkStart w:id="34" w:name="_Hlk136426267"/>
      <w:proofErr w:type="gramStart"/>
      <w:r w:rsidRPr="00D40FD0">
        <w:t>Looking forward, the political and economic impacts of COVID-19 and other global factors</w:t>
      </w:r>
      <w:proofErr w:type="gramEnd"/>
      <w:r w:rsidRPr="00D40FD0">
        <w:t xml:space="preserve"> are still </w:t>
      </w:r>
      <w:r w:rsidRPr="00D40FD0" w:rsidDel="0099582F">
        <w:t>emerging</w:t>
      </w:r>
      <w:r>
        <w:t>.</w:t>
      </w:r>
      <w:r w:rsidRPr="00D40FD0">
        <w:t xml:space="preserve"> </w:t>
      </w:r>
      <w:r>
        <w:t>These</w:t>
      </w:r>
      <w:r w:rsidRPr="00D40FD0">
        <w:t xml:space="preserve"> include economic disruption (global recession and inflation), supply chain issues, high LMIC indebtedness, high-income country budgetary issues, the impacts of climate and environment change</w:t>
      </w:r>
      <w:r>
        <w:t>,</w:t>
      </w:r>
      <w:r w:rsidRPr="00D40FD0">
        <w:t xml:space="preserve"> and the introduction of new technologies. </w:t>
      </w:r>
      <w:bookmarkEnd w:id="34"/>
      <w:r w:rsidRPr="00D40FD0">
        <w:t>A</w:t>
      </w:r>
      <w:r w:rsidRPr="00D40FD0" w:rsidDel="00086594">
        <w:t xml:space="preserve"> </w:t>
      </w:r>
      <w:r w:rsidRPr="00D40FD0">
        <w:t>recent analysis by the World Bank</w:t>
      </w:r>
      <w:r>
        <w:rPr>
          <w:rStyle w:val="EndnoteReference"/>
          <w:rFonts w:eastAsia="Calibri"/>
        </w:rPr>
        <w:endnoteReference w:id="11"/>
      </w:r>
      <w:r w:rsidRPr="00D40FD0">
        <w:t xml:space="preserve"> suggests that per capita government health spending will decline annually in many LMICs, remaining lower than 2019 expenditures each year to 2027. The social environment for vaccines is also problematic, with the emergence of strong anti-vaccination movements (vaccines being a comparatively low-cost but effective response to AMR). All will </w:t>
      </w:r>
      <w:r>
        <w:t>generate</w:t>
      </w:r>
      <w:r w:rsidRPr="00D40FD0">
        <w:t xml:space="preserve"> significant headwinds for governments seeking to make rapid progress against AMR.</w:t>
      </w:r>
      <w:r>
        <w:t xml:space="preserve"> </w:t>
      </w:r>
      <w:r w:rsidRPr="00502530">
        <w:t>The Fleming Fund made a range of changes in response to COVID-19, such as refocusing and extending grants. However, having key</w:t>
      </w:r>
      <w:r>
        <w:t xml:space="preserve"> MA</w:t>
      </w:r>
      <w:r w:rsidRPr="00502530">
        <w:t xml:space="preserve"> management and delivery capacity located </w:t>
      </w:r>
      <w:r>
        <w:t xml:space="preserve">in </w:t>
      </w:r>
      <w:r w:rsidRPr="00502530">
        <w:t xml:space="preserve">regional </w:t>
      </w:r>
      <w:r>
        <w:t xml:space="preserve">hubs </w:t>
      </w:r>
      <w:r w:rsidRPr="00502530">
        <w:t xml:space="preserve">rather than </w:t>
      </w:r>
      <w:r>
        <w:t xml:space="preserve">at the </w:t>
      </w:r>
      <w:r w:rsidRPr="00502530">
        <w:t>country level meant that it was not possible to implement important activities as originally planned.</w:t>
      </w:r>
    </w:p>
    <w:p w14:paraId="673689BE" w14:textId="0CDEC05E" w:rsidR="00481F48" w:rsidRPr="00621AEE" w:rsidRDefault="00481F48" w:rsidP="00444B77">
      <w:pPr>
        <w:pStyle w:val="ItadNormalText"/>
        <w:rPr>
          <w:rFonts w:eastAsia="Times New Roman"/>
        </w:rPr>
      </w:pPr>
      <w:r w:rsidRPr="00CF3D84">
        <w:rPr>
          <w:b/>
          <w:bCs/>
        </w:rPr>
        <w:t>Conclusion 4:</w:t>
      </w:r>
      <w:r w:rsidRPr="00CF3D84" w:rsidDel="007D2E99">
        <w:rPr>
          <w:b/>
          <w:bCs/>
        </w:rPr>
        <w:t xml:space="preserve"> </w:t>
      </w:r>
      <w:r w:rsidRPr="00CF3D84">
        <w:rPr>
          <w:b/>
          <w:bCs/>
        </w:rPr>
        <w:t>The MA has successfully operationalised strong and effective procedures to manage economy and efficiency at the activity level.</w:t>
      </w:r>
      <w:r w:rsidRPr="00CF3D84" w:rsidDel="000D33B8">
        <w:rPr>
          <w:b/>
          <w:bCs/>
        </w:rPr>
        <w:t xml:space="preserve"> </w:t>
      </w:r>
      <w:r w:rsidRPr="00CF3D84">
        <w:rPr>
          <w:b/>
          <w:bCs/>
        </w:rPr>
        <w:t>With</w:t>
      </w:r>
      <w:r w:rsidRPr="00CF3D84" w:rsidDel="008F2233">
        <w:rPr>
          <w:b/>
          <w:bCs/>
        </w:rPr>
        <w:t xml:space="preserve"> </w:t>
      </w:r>
      <w:r w:rsidRPr="00CF3D84">
        <w:rPr>
          <w:b/>
          <w:bCs/>
        </w:rPr>
        <w:t>further use of the laboratory capacity established during phase 1, the overall VfM of the programme will be enhanced.</w:t>
      </w:r>
      <w:r w:rsidRPr="00621AEE" w:rsidDel="008B2AAA">
        <w:t xml:space="preserve"> </w:t>
      </w:r>
      <w:r w:rsidRPr="008343D7">
        <w:rPr>
          <w:rFonts w:eastAsia="Times New Roman"/>
          <w:lang w:eastAsia="en-GB"/>
        </w:rPr>
        <w:t>Delivering efficiently</w:t>
      </w:r>
      <w:r>
        <w:rPr>
          <w:rFonts w:eastAsia="Times New Roman"/>
          <w:lang w:eastAsia="en-GB"/>
        </w:rPr>
        <w:t xml:space="preserve"> in this context</w:t>
      </w:r>
      <w:r w:rsidRPr="008343D7">
        <w:rPr>
          <w:rFonts w:eastAsia="Times New Roman"/>
          <w:lang w:eastAsia="en-GB"/>
        </w:rPr>
        <w:t xml:space="preserve"> has been </w:t>
      </w:r>
      <w:r w:rsidRPr="00C72420">
        <w:rPr>
          <w:rFonts w:eastAsia="Times New Roman"/>
          <w:lang w:eastAsia="en-GB"/>
        </w:rPr>
        <w:t>challenging, and the operational model that has been chosen affects VfM in terms of internal and external coherence, as well as management overheads.</w:t>
      </w:r>
      <w:r w:rsidRPr="00C72420">
        <w:t xml:space="preserve"> </w:t>
      </w:r>
      <w:r>
        <w:t xml:space="preserve">It </w:t>
      </w:r>
      <w:r w:rsidRPr="00C72420">
        <w:rPr>
          <w:rFonts w:eastAsia="Times New Roman"/>
          <w:lang w:eastAsia="en-GB"/>
        </w:rPr>
        <w:t xml:space="preserve">has also been challenging to track </w:t>
      </w:r>
      <w:r>
        <w:rPr>
          <w:rFonts w:eastAsia="Times New Roman"/>
          <w:lang w:eastAsia="en-GB"/>
        </w:rPr>
        <w:t xml:space="preserve">efficiency </w:t>
      </w:r>
      <w:r w:rsidRPr="00C72420">
        <w:rPr>
          <w:rFonts w:eastAsia="Times New Roman"/>
          <w:lang w:eastAsia="en-GB"/>
        </w:rPr>
        <w:t xml:space="preserve">given the focus on reporting implementation rates and the lack of a link between financial reporting and outputs; this seems to be driven by systems and culture within the DHSC. </w:t>
      </w:r>
      <w:r w:rsidRPr="00621AEE">
        <w:t xml:space="preserve">Notwithstanding these challenges, the evidence suggests the delivery of efficiency and economy. The fact that laboratory functions have been strengthened compared to international norms, and the capacities of key members of the laboratory workforce have been </w:t>
      </w:r>
      <w:r>
        <w:t>built up</w:t>
      </w:r>
      <w:r w:rsidRPr="00621AEE">
        <w:t xml:space="preserve"> means that effectiveness has also been delivered, albeit limited to lower-level or intermediate outcomes at this stage. The effectiveness of outputs delivered under </w:t>
      </w:r>
      <w:r>
        <w:t>phase 1</w:t>
      </w:r>
      <w:r w:rsidRPr="00621AEE">
        <w:t xml:space="preserve"> will be highly contingent on the success of </w:t>
      </w:r>
      <w:r>
        <w:t>phase 2</w:t>
      </w:r>
      <w:r w:rsidRPr="00621AEE">
        <w:t xml:space="preserve"> when the priority shifts to the use of AMR evidence.</w:t>
      </w:r>
    </w:p>
    <w:p w14:paraId="324F2FFE" w14:textId="77777777" w:rsidR="00481F48" w:rsidRPr="00BF3D3A" w:rsidRDefault="00481F48" w:rsidP="00444B77">
      <w:pPr>
        <w:pStyle w:val="ItadNormalTextBold"/>
      </w:pPr>
      <w:r w:rsidRPr="00BF3D3A">
        <w:rPr>
          <w:rFonts w:eastAsia="Calibri"/>
        </w:rPr>
        <w:t xml:space="preserve">Conclusion </w:t>
      </w:r>
      <w:r>
        <w:rPr>
          <w:rFonts w:eastAsia="Calibri"/>
        </w:rPr>
        <w:t>5</w:t>
      </w:r>
      <w:r w:rsidRPr="00BF3D3A">
        <w:rPr>
          <w:rFonts w:eastAsia="Calibri"/>
        </w:rPr>
        <w:t>:</w:t>
      </w:r>
      <w:r w:rsidRPr="00BF3D3A" w:rsidDel="007D2E99">
        <w:rPr>
          <w:rFonts w:eastAsia="Calibri"/>
        </w:rPr>
        <w:t xml:space="preserve"> </w:t>
      </w:r>
      <w:r w:rsidRPr="00BF3D3A">
        <w:t xml:space="preserve">Experience from </w:t>
      </w:r>
      <w:r>
        <w:rPr>
          <w:noProof/>
        </w:rPr>
        <w:t>phase 1</w:t>
      </w:r>
      <w:r w:rsidRPr="00BF3D3A">
        <w:t xml:space="preserve"> suggests some specific areas in which </w:t>
      </w:r>
      <w:r w:rsidRPr="00BF3D3A" w:rsidDel="00052E3D">
        <w:t xml:space="preserve">the </w:t>
      </w:r>
      <w:r w:rsidRPr="00BF3D3A">
        <w:t>Fleming Fund can strengthen its approach through further reflection</w:t>
      </w:r>
      <w:r>
        <w:t>;</w:t>
      </w:r>
      <w:r w:rsidRPr="00BF3D3A">
        <w:t xml:space="preserve"> in terms of using a stronger </w:t>
      </w:r>
      <w:r>
        <w:t xml:space="preserve">and prioritised </w:t>
      </w:r>
      <w:r w:rsidRPr="00BF3D3A">
        <w:t xml:space="preserve">sustainability lens </w:t>
      </w:r>
      <w:r>
        <w:t xml:space="preserve">from the start </w:t>
      </w:r>
      <w:r w:rsidRPr="00BF3D3A">
        <w:t>in deciding what support to provide to laboratories, working at the organisational level to sustain capacity</w:t>
      </w:r>
      <w:r>
        <w:t>-building</w:t>
      </w:r>
      <w:r w:rsidRPr="00BF3D3A">
        <w:t xml:space="preserve"> results, focusing on other data types as well as AMR, and differentiating more strongly between support provided to AH and HH. Specific areas include:</w:t>
      </w:r>
    </w:p>
    <w:p w14:paraId="22F0E151" w14:textId="77777777" w:rsidR="00481F48" w:rsidRPr="00BF3D3A" w:rsidRDefault="00481F48" w:rsidP="00444B77">
      <w:pPr>
        <w:pStyle w:val="ItadBullets"/>
      </w:pPr>
      <w:r w:rsidRPr="00BF3D3A">
        <w:rPr>
          <w:i/>
          <w:iCs/>
        </w:rPr>
        <w:t>Laboratory infrastructure enhancement</w:t>
      </w:r>
      <w:r w:rsidRPr="00BF3D3A">
        <w:t>. Specific choices about the nature of support provided and rationale for this</w:t>
      </w:r>
      <w:r>
        <w:t>,</w:t>
      </w:r>
      <w:r w:rsidRPr="00BF3D3A">
        <w:t xml:space="preserve"> </w:t>
      </w:r>
      <w:r>
        <w:t>for example</w:t>
      </w:r>
      <w:r w:rsidRPr="00BF3D3A">
        <w:t xml:space="preserve"> in terms of the sustainability implications of automating laboratory </w:t>
      </w:r>
      <w:r w:rsidRPr="00BF3D3A">
        <w:rPr>
          <w:noProof/>
        </w:rPr>
        <w:t>processes</w:t>
      </w:r>
      <w:r w:rsidRPr="00BF3D3A">
        <w:t xml:space="preserve"> through the supply of sophisticated and expensive equipment, and the supply of consumables and reagents.</w:t>
      </w:r>
    </w:p>
    <w:p w14:paraId="0E00A331" w14:textId="77777777" w:rsidR="00481F48" w:rsidRPr="00BF3D3A" w:rsidRDefault="00481F48" w:rsidP="00444B77">
      <w:pPr>
        <w:pStyle w:val="ItadBullets"/>
      </w:pPr>
      <w:r w:rsidRPr="00BF3D3A">
        <w:rPr>
          <w:i/>
          <w:iCs/>
        </w:rPr>
        <w:t>Human resource strengthening and workforce reforms</w:t>
      </w:r>
      <w:r w:rsidRPr="00BF3D3A">
        <w:t>. Working at the organisational/</w:t>
      </w:r>
      <w:r>
        <w:t xml:space="preserve"> </w:t>
      </w:r>
      <w:r w:rsidRPr="00BF3D3A">
        <w:t>institutional (rather than individual) level to strengthen the sustainability of capacity building (health workforce training) efforts.</w:t>
      </w:r>
    </w:p>
    <w:p w14:paraId="49813C35" w14:textId="77777777" w:rsidR="00481F48" w:rsidRPr="00BF3D3A" w:rsidRDefault="00481F48" w:rsidP="00444B77">
      <w:pPr>
        <w:pStyle w:val="ItadBullets"/>
        <w:rPr>
          <w:rFonts w:eastAsia="Calibri" w:cs="Calibri"/>
        </w:rPr>
      </w:pPr>
      <w:r w:rsidRPr="00F136A6">
        <w:rPr>
          <w:rFonts w:eastAsia="Calibri"/>
          <w:i/>
          <w:iCs/>
        </w:rPr>
        <w:t xml:space="preserve">Focus on AMC/U and other types of data. </w:t>
      </w:r>
      <w:r>
        <w:t xml:space="preserve">A </w:t>
      </w:r>
      <w:r w:rsidRPr="00BF3D3A">
        <w:t xml:space="preserve">central </w:t>
      </w:r>
      <w:r>
        <w:t xml:space="preserve">assumption </w:t>
      </w:r>
      <w:r w:rsidRPr="00BF3D3A">
        <w:t xml:space="preserve">of the Fleming Fund </w:t>
      </w:r>
      <w:r>
        <w:t xml:space="preserve">is </w:t>
      </w:r>
      <w:r w:rsidRPr="00BF3D3A">
        <w:t>that</w:t>
      </w:r>
      <w:r>
        <w:t xml:space="preserve"> </w:t>
      </w:r>
      <w:r w:rsidRPr="00BF3D3A">
        <w:t>to</w:t>
      </w:r>
      <w:r w:rsidRPr="00BF3D3A">
        <w:rPr>
          <w:i/>
          <w:iCs/>
        </w:rPr>
        <w:t xml:space="preserve"> </w:t>
      </w:r>
      <w:r w:rsidRPr="00BF3D3A">
        <w:t>ensure AMR is prioritised, key national and local stakeholders need to have evidence of both the trends of resistance and the impact that this is having on the health of their populations</w:t>
      </w:r>
      <w:r w:rsidRPr="00BF3D3A">
        <w:rPr>
          <w:i/>
          <w:iCs/>
        </w:rPr>
        <w:t>.</w:t>
      </w:r>
      <w:r>
        <w:rPr>
          <w:i/>
          <w:iCs/>
        </w:rPr>
        <w:t xml:space="preserve"> </w:t>
      </w:r>
      <w:r w:rsidRPr="00FF7173">
        <w:t>However</w:t>
      </w:r>
      <w:r>
        <w:rPr>
          <w:i/>
          <w:iCs/>
        </w:rPr>
        <w:t xml:space="preserve">, </w:t>
      </w:r>
      <w:r>
        <w:t xml:space="preserve">since 2018, </w:t>
      </w:r>
      <w:r>
        <w:lastRenderedPageBreak/>
        <w:t>o</w:t>
      </w:r>
      <w:r w:rsidRPr="00BF3D3A">
        <w:t xml:space="preserve">ver half the focus countries have initiated </w:t>
      </w:r>
      <w:r>
        <w:t>important</w:t>
      </w:r>
      <w:r w:rsidRPr="00BF3D3A">
        <w:t xml:space="preserve"> policy and regulatory action on AMR at the national level without </w:t>
      </w:r>
      <w:r>
        <w:t xml:space="preserve">using </w:t>
      </w:r>
      <w:r w:rsidRPr="00BF3D3A">
        <w:t xml:space="preserve">significant analysis from </w:t>
      </w:r>
      <w:r>
        <w:t xml:space="preserve">Fleming </w:t>
      </w:r>
      <w:r w:rsidRPr="00BF3D3A">
        <w:t>Fund investments</w:t>
      </w:r>
      <w:r>
        <w:t>.</w:t>
      </w:r>
      <w:r w:rsidRPr="00BF3D3A">
        <w:t xml:space="preserve"> </w:t>
      </w:r>
      <w:r>
        <w:t xml:space="preserve">This experience </w:t>
      </w:r>
      <w:r w:rsidRPr="00BF3D3A">
        <w:t xml:space="preserve">suggests that change at country level can have other drivers and, if identified, </w:t>
      </w:r>
      <w:r>
        <w:t xml:space="preserve">presents </w:t>
      </w:r>
      <w:r w:rsidRPr="00BF3D3A">
        <w:t>a wider range of opportunities for the Fleming Fund to contribute to its higher-level objectives.</w:t>
      </w:r>
    </w:p>
    <w:p w14:paraId="7DEF99F0" w14:textId="4EEABF02" w:rsidR="00481F48" w:rsidRPr="00300891" w:rsidRDefault="00481F48" w:rsidP="00444B77">
      <w:pPr>
        <w:pStyle w:val="ItadBullets"/>
        <w:rPr>
          <w:rFonts w:eastAsia="Calibri"/>
          <w:bCs/>
        </w:rPr>
      </w:pPr>
      <w:r w:rsidRPr="00853D7E">
        <w:rPr>
          <w:rFonts w:eastAsia="Times New Roman"/>
          <w:i/>
          <w:iCs/>
        </w:rPr>
        <w:t>Give greater priority to sustainability from the start</w:t>
      </w:r>
      <w:r w:rsidRPr="00651501">
        <w:rPr>
          <w:rFonts w:eastAsia="Times New Roman"/>
          <w:b/>
          <w:bCs/>
        </w:rPr>
        <w:t xml:space="preserve">. </w:t>
      </w:r>
      <w:r w:rsidRPr="00651501">
        <w:rPr>
          <w:rFonts w:eastAsia="Times New Roman"/>
        </w:rPr>
        <w:t>Whil</w:t>
      </w:r>
      <w:r>
        <w:rPr>
          <w:rFonts w:eastAsia="Times New Roman"/>
        </w:rPr>
        <w:t>e</w:t>
      </w:r>
      <w:r w:rsidRPr="00651501">
        <w:rPr>
          <w:rFonts w:eastAsia="Times New Roman"/>
        </w:rPr>
        <w:t xml:space="preserve"> p</w:t>
      </w:r>
      <w:r w:rsidRPr="00651501">
        <w:t xml:space="preserve">hase 2 appears set to address some of the challenges noted in </w:t>
      </w:r>
      <w:r>
        <w:t>the summative report</w:t>
      </w:r>
      <w:r>
        <w:rPr>
          <w:rStyle w:val="EndnoteReference"/>
        </w:rPr>
        <w:endnoteReference w:id="12"/>
      </w:r>
      <w:r w:rsidRPr="00651501">
        <w:t>, the detail on how this will happen remains unclear to the evaluation team. Sustainability is a shared responsibility between the DHSC, the MA team and recipient governments. During phase 1, d</w:t>
      </w:r>
      <w:r w:rsidRPr="00651501">
        <w:rPr>
          <w:rFonts w:eastAsia="Times New Roman"/>
        </w:rPr>
        <w:t>evelopin</w:t>
      </w:r>
      <w:r w:rsidRPr="00300891">
        <w:rPr>
          <w:rFonts w:eastAsia="Times New Roman"/>
        </w:rPr>
        <w:t xml:space="preserve">g an approach to sustainability that might be effective has been constrained by a lack of consensus on what needs to be sustained. </w:t>
      </w:r>
      <w:r w:rsidRPr="00300891">
        <w:rPr>
          <w:rFonts w:eastAsia="Times New Roman"/>
          <w:noProof/>
        </w:rPr>
        <w:t>At the surveillance</w:t>
      </w:r>
      <w:r w:rsidRPr="00300891">
        <w:rPr>
          <w:rFonts w:eastAsia="Times New Roman"/>
        </w:rPr>
        <w:t xml:space="preserve"> system level, the extent to which it is feasible and realistic to expect governments to allocate scar</w:t>
      </w:r>
      <w:r>
        <w:rPr>
          <w:rFonts w:eastAsia="Times New Roman"/>
        </w:rPr>
        <w:t>c</w:t>
      </w:r>
      <w:r w:rsidRPr="00300891">
        <w:rPr>
          <w:rFonts w:eastAsia="Times New Roman"/>
        </w:rPr>
        <w:t>e domestic resources to AMR surveillance functions, particularly where the investment case is not clear</w:t>
      </w:r>
      <w:r>
        <w:rPr>
          <w:rFonts w:eastAsia="Times New Roman"/>
        </w:rPr>
        <w:t>,</w:t>
      </w:r>
      <w:r w:rsidRPr="00300891">
        <w:rPr>
          <w:rFonts w:eastAsia="Times New Roman"/>
        </w:rPr>
        <w:t xml:space="preserve"> needs to be carefully considered, alongside the question of whether some aspects need to be funded as a global public good.</w:t>
      </w:r>
      <w:r w:rsidRPr="00300891" w:rsidDel="007D2E99">
        <w:rPr>
          <w:rFonts w:eastAsia="Times New Roman"/>
        </w:rPr>
        <w:t xml:space="preserve"> </w:t>
      </w:r>
      <w:r w:rsidRPr="00300891">
        <w:rPr>
          <w:rFonts w:eastAsia="Times New Roman"/>
        </w:rPr>
        <w:t>De</w:t>
      </w:r>
      <w:r w:rsidRPr="00300891">
        <w:t xml:space="preserve">veloping plans and strategies for sustainability </w:t>
      </w:r>
      <w:r>
        <w:t>should</w:t>
      </w:r>
      <w:r w:rsidRPr="00300891">
        <w:t xml:space="preserve"> be done based on detailed, context-specific, politically informed analysis</w:t>
      </w:r>
      <w:r>
        <w:rPr>
          <w:rStyle w:val="EndnoteReference"/>
        </w:rPr>
        <w:endnoteReference w:id="13"/>
      </w:r>
      <w:r>
        <w:t>.</w:t>
      </w:r>
    </w:p>
    <w:p w14:paraId="6BF18079" w14:textId="73F58113" w:rsidR="00481F48" w:rsidRPr="00E557EA" w:rsidRDefault="00481F48" w:rsidP="00444B77">
      <w:pPr>
        <w:pStyle w:val="ItadBullets"/>
      </w:pPr>
      <w:r w:rsidRPr="00BF3D3A">
        <w:rPr>
          <w:i/>
          <w:iCs/>
        </w:rPr>
        <w:t>Differentiation</w:t>
      </w:r>
      <w:r w:rsidRPr="008A5F96">
        <w:rPr>
          <w:i/>
          <w:iCs/>
        </w:rPr>
        <w:t xml:space="preserve"> </w:t>
      </w:r>
      <w:r w:rsidRPr="00E557EA">
        <w:t>could be strengthened by giving more thought to the A</w:t>
      </w:r>
      <w:r>
        <w:t>–</w:t>
      </w:r>
      <w:r w:rsidRPr="00E557EA">
        <w:t>D categorisation</w:t>
      </w:r>
      <w:r>
        <w:rPr>
          <w:rStyle w:val="EndnoteReference"/>
        </w:rPr>
        <w:endnoteReference w:id="14"/>
      </w:r>
      <w:r>
        <w:t xml:space="preserve"> </w:t>
      </w:r>
      <w:r w:rsidRPr="00E557EA">
        <w:t xml:space="preserve">that the MA presented in </w:t>
      </w:r>
      <w:r w:rsidRPr="008A5F96">
        <w:t>phase 1</w:t>
      </w:r>
      <w:r w:rsidRPr="00E557EA">
        <w:t xml:space="preserve"> but which has not been central to targeting change.</w:t>
      </w:r>
    </w:p>
    <w:p w14:paraId="2ADA9E90" w14:textId="77777777" w:rsidR="00481F48" w:rsidRPr="0002497A" w:rsidRDefault="00481F48" w:rsidP="00444B77">
      <w:pPr>
        <w:pStyle w:val="ItadNormalText"/>
      </w:pPr>
      <w:r w:rsidRPr="00CF3D84">
        <w:rPr>
          <w:b/>
          <w:bCs/>
        </w:rPr>
        <w:t xml:space="preserve">Conclusion 6: The Fleming Fund deserves recognition for prioritising One Health and for convening cross-sectoral dialogues. The </w:t>
      </w:r>
      <w:r w:rsidRPr="00CF3D84">
        <w:rPr>
          <w:b/>
          <w:bCs/>
          <w:noProof/>
        </w:rPr>
        <w:t>lack</w:t>
      </w:r>
      <w:r w:rsidRPr="00CF3D84">
        <w:rPr>
          <w:b/>
          <w:bCs/>
        </w:rPr>
        <w:t xml:space="preserve"> of models</w:t>
      </w:r>
      <w:r w:rsidRPr="00CF3D84">
        <w:rPr>
          <w:b/>
          <w:bCs/>
          <w:sz w:val="20"/>
          <w:szCs w:val="20"/>
          <w:vertAlign w:val="superscript"/>
        </w:rPr>
        <w:endnoteReference w:id="15"/>
      </w:r>
      <w:r w:rsidRPr="00CF3D84">
        <w:rPr>
          <w:b/>
          <w:bCs/>
        </w:rPr>
        <w:t xml:space="preserve"> on how this can be operationalised at a national scale has impacted the design of the Fleming Fund’s One Health approach. Experience from the joint research aspects of the Fellowship programme, which echoes wider experience in One Health, may help</w:t>
      </w:r>
      <w:r w:rsidRPr="00CF3D84" w:rsidDel="00641B20">
        <w:rPr>
          <w:b/>
          <w:bCs/>
        </w:rPr>
        <w:t xml:space="preserve"> </w:t>
      </w:r>
      <w:r w:rsidRPr="00CF3D84">
        <w:rPr>
          <w:b/>
          <w:bCs/>
        </w:rPr>
        <w:t xml:space="preserve">identify informal mechanisms to replicate during </w:t>
      </w:r>
      <w:r w:rsidRPr="00CF3D84">
        <w:rPr>
          <w:b/>
          <w:bCs/>
          <w:noProof/>
        </w:rPr>
        <w:t>phase 2</w:t>
      </w:r>
      <w:r w:rsidRPr="00CF3D84">
        <w:rPr>
          <w:b/>
          <w:bCs/>
        </w:rPr>
        <w:t>.</w:t>
      </w:r>
      <w:r w:rsidRPr="0002497A" w:rsidDel="00DC0A9A">
        <w:t xml:space="preserve"> </w:t>
      </w:r>
      <w:r w:rsidRPr="0002497A">
        <w:rPr>
          <w:rFonts w:eastAsia="Yu Mincho"/>
        </w:rPr>
        <w:t>When the</w:t>
      </w:r>
      <w:r w:rsidRPr="0002497A">
        <w:t xml:space="preserve"> Fleming Fund started, it relied on limited practical guidance around how to successfully operationalise One Health in different country contexts. This is something that the international agencies have only now started to address, as demonstrated in the objectives of the recent World Health Assembly resolution on One Health</w:t>
      </w:r>
      <w:r w:rsidRPr="0002497A">
        <w:rPr>
          <w:vertAlign w:val="superscript"/>
        </w:rPr>
        <w:endnoteReference w:id="16"/>
      </w:r>
      <w:r w:rsidRPr="0002497A">
        <w:t xml:space="preserve"> and with the development of a more structured approach to implementing One Health.</w:t>
      </w:r>
      <w:r w:rsidRPr="0002497A">
        <w:rPr>
          <w:vertAlign w:val="superscript"/>
        </w:rPr>
        <w:endnoteReference w:id="17"/>
      </w:r>
      <w:r w:rsidRPr="0002497A">
        <w:t xml:space="preserve"> However, there are few examples of effective One Health approach implementation </w:t>
      </w:r>
      <w:r>
        <w:t>on</w:t>
      </w:r>
      <w:r w:rsidRPr="0002497A">
        <w:t xml:space="preserve"> a national scale. During this evaluation, we found that One Health partnerships can assume different forms across different countries, including varying levels of formality</w:t>
      </w:r>
      <w:r>
        <w:t>,</w:t>
      </w:r>
      <w:r w:rsidRPr="0002497A">
        <w:t xml:space="preserve"> and that formal and informal modes of partnerships often work together. Working with different degrees of formality/informality in One Health structures across Fleming Fund</w:t>
      </w:r>
      <w:r>
        <w:t>-</w:t>
      </w:r>
      <w:r w:rsidRPr="0002497A">
        <w:t xml:space="preserve">supported countries is likely to be key during </w:t>
      </w:r>
      <w:r>
        <w:t>phase 2</w:t>
      </w:r>
      <w:r w:rsidRPr="0002497A">
        <w:t>, and there is potential to draw on the Fleming Fellows</w:t>
      </w:r>
      <w:r>
        <w:t>’</w:t>
      </w:r>
      <w:r w:rsidRPr="0002497A">
        <w:t xml:space="preserve"> joint research projects to learn lessons about supporting multisector collaboration.</w:t>
      </w:r>
    </w:p>
    <w:bookmarkEnd w:id="33"/>
    <w:p w14:paraId="2001D6DA" w14:textId="77777777" w:rsidR="00481F48" w:rsidRPr="008A5F96" w:rsidRDefault="00481F48" w:rsidP="00444B77">
      <w:pPr>
        <w:pStyle w:val="ItadH4"/>
      </w:pPr>
      <w:r w:rsidRPr="008A5F96">
        <w:t>Observations on programme management and implementation</w:t>
      </w:r>
    </w:p>
    <w:p w14:paraId="019C2930" w14:textId="77777777" w:rsidR="00481F48" w:rsidRPr="00DB59D5" w:rsidRDefault="00481F48" w:rsidP="00444B77">
      <w:pPr>
        <w:pStyle w:val="ItadNormalText"/>
      </w:pPr>
      <w:bookmarkStart w:id="35" w:name="_Hlk129017163"/>
      <w:r w:rsidRPr="00CF3D84">
        <w:rPr>
          <w:b/>
          <w:bCs/>
        </w:rPr>
        <w:t>Conclusion 7:</w:t>
      </w:r>
      <w:r w:rsidRPr="00CF3D84" w:rsidDel="007D2E99">
        <w:rPr>
          <w:b/>
          <w:bCs/>
        </w:rPr>
        <w:t xml:space="preserve"> </w:t>
      </w:r>
      <w:r w:rsidRPr="00CF3D84">
        <w:rPr>
          <w:b/>
          <w:bCs/>
        </w:rPr>
        <w:t xml:space="preserve">During phase 1, planning by both the MA and DHSC was over-optimistic in terms of the time taken for design and approval and then delivery. It is not clear </w:t>
      </w:r>
      <w:r>
        <w:rPr>
          <w:b/>
          <w:bCs/>
        </w:rPr>
        <w:t>whether</w:t>
      </w:r>
      <w:r w:rsidRPr="00CF3D84">
        <w:rPr>
          <w:b/>
          <w:bCs/>
        </w:rPr>
        <w:t xml:space="preserve"> this has been fully addressed for phase 2.</w:t>
      </w:r>
      <w:r w:rsidRPr="00DB59D5" w:rsidDel="00E95D2D">
        <w:rPr>
          <w:rFonts w:cs="Calibri"/>
        </w:rPr>
        <w:t xml:space="preserve"> </w:t>
      </w:r>
      <w:bookmarkStart w:id="36" w:name="_Hlk136428371"/>
      <w:r>
        <w:rPr>
          <w:rFonts w:asciiTheme="minorHAnsi" w:hAnsiTheme="minorHAnsi" w:cstheme="minorHAnsi"/>
        </w:rPr>
        <w:t>I</w:t>
      </w:r>
      <w:r w:rsidRPr="00DB59D5">
        <w:rPr>
          <w:rFonts w:asciiTheme="minorHAnsi" w:hAnsiTheme="minorHAnsi" w:cstheme="minorHAnsi"/>
        </w:rPr>
        <w:t xml:space="preserve">mplementation has </w:t>
      </w:r>
      <w:r>
        <w:rPr>
          <w:rFonts w:asciiTheme="minorHAnsi" w:hAnsiTheme="minorHAnsi" w:cstheme="minorHAnsi"/>
        </w:rPr>
        <w:t>not met</w:t>
      </w:r>
      <w:r w:rsidRPr="00DB59D5">
        <w:rPr>
          <w:rFonts w:asciiTheme="minorHAnsi" w:hAnsiTheme="minorHAnsi" w:cstheme="minorHAnsi"/>
        </w:rPr>
        <w:t xml:space="preserve"> expect</w:t>
      </w:r>
      <w:r>
        <w:rPr>
          <w:rFonts w:asciiTheme="minorHAnsi" w:hAnsiTheme="minorHAnsi" w:cstheme="minorHAnsi"/>
        </w:rPr>
        <w:t>ations</w:t>
      </w:r>
      <w:r w:rsidRPr="00DB59D5">
        <w:rPr>
          <w:rFonts w:asciiTheme="minorHAnsi" w:hAnsiTheme="minorHAnsi" w:cstheme="minorHAnsi"/>
        </w:rPr>
        <w:t xml:space="preserve"> due to a range of factors (some of which were outside MA and the DHSC control) including</w:t>
      </w:r>
      <w:r>
        <w:rPr>
          <w:rFonts w:asciiTheme="minorHAnsi" w:hAnsiTheme="minorHAnsi" w:cstheme="minorHAnsi"/>
        </w:rPr>
        <w:t>:</w:t>
      </w:r>
      <w:r w:rsidRPr="00DB59D5">
        <w:rPr>
          <w:rFonts w:asciiTheme="minorHAnsi" w:hAnsiTheme="minorHAnsi" w:cstheme="minorHAnsi"/>
        </w:rPr>
        <w:t xml:space="preserve"> two civil service </w:t>
      </w:r>
      <w:r w:rsidRPr="00483FC0">
        <w:rPr>
          <w:rFonts w:asciiTheme="minorHAnsi" w:hAnsiTheme="minorHAnsi" w:cstheme="minorHAnsi"/>
        </w:rPr>
        <w:t>purdahs</w:t>
      </w:r>
      <w:r>
        <w:rPr>
          <w:rFonts w:asciiTheme="minorHAnsi" w:hAnsiTheme="minorHAnsi" w:cstheme="minorHAnsi"/>
        </w:rPr>
        <w:t>;</w:t>
      </w:r>
      <w:r>
        <w:rPr>
          <w:rStyle w:val="EndnoteReference"/>
        </w:rPr>
        <w:endnoteReference w:id="18"/>
      </w:r>
      <w:r w:rsidRPr="00DB59D5">
        <w:rPr>
          <w:rFonts w:asciiTheme="minorHAnsi" w:hAnsiTheme="minorHAnsi" w:cstheme="minorHAnsi"/>
        </w:rPr>
        <w:t xml:space="preserve"> delays in contracting the MA</w:t>
      </w:r>
      <w:r w:rsidRPr="00DB59D5">
        <w:rPr>
          <w:rFonts w:cstheme="minorHAnsi"/>
        </w:rPr>
        <w:t xml:space="preserve"> </w:t>
      </w:r>
      <w:r w:rsidRPr="00DB59D5">
        <w:rPr>
          <w:rFonts w:asciiTheme="minorHAnsi" w:hAnsiTheme="minorHAnsi" w:cstheme="minorHAnsi"/>
        </w:rPr>
        <w:t>and sign-off on the MA</w:t>
      </w:r>
      <w:r>
        <w:rPr>
          <w:rFonts w:asciiTheme="minorHAnsi" w:hAnsiTheme="minorHAnsi" w:cstheme="minorHAnsi"/>
        </w:rPr>
        <w:t>’</w:t>
      </w:r>
      <w:r w:rsidRPr="00DB59D5">
        <w:rPr>
          <w:rFonts w:asciiTheme="minorHAnsi" w:hAnsiTheme="minorHAnsi" w:cstheme="minorHAnsi"/>
        </w:rPr>
        <w:t>s implementation plan (which was extended from eight to 17 months)</w:t>
      </w:r>
      <w:r>
        <w:rPr>
          <w:rFonts w:asciiTheme="minorHAnsi" w:hAnsiTheme="minorHAnsi" w:cstheme="minorHAnsi"/>
        </w:rPr>
        <w:t>;</w:t>
      </w:r>
      <w:r w:rsidRPr="00DB59D5">
        <w:rPr>
          <w:rFonts w:asciiTheme="minorHAnsi" w:hAnsiTheme="minorHAnsi" w:cstheme="minorHAnsi"/>
        </w:rPr>
        <w:t xml:space="preserve"> country positioning and competitive tendering taking longer than expected (including the approval of key documentation by DHSC)</w:t>
      </w:r>
      <w:r w:rsidRPr="00DB59D5">
        <w:rPr>
          <w:rFonts w:cstheme="minorHAnsi"/>
        </w:rPr>
        <w:t xml:space="preserve"> </w:t>
      </w:r>
      <w:r>
        <w:rPr>
          <w:rFonts w:asciiTheme="minorHAnsi" w:hAnsiTheme="minorHAnsi" w:cstheme="minorHAnsi"/>
          <w:color w:val="3B3B3C" w:themeColor="text1"/>
        </w:rPr>
        <w:t xml:space="preserve">due to COVID-19, </w:t>
      </w:r>
      <w:r w:rsidRPr="00DB59D5">
        <w:rPr>
          <w:rFonts w:asciiTheme="minorHAnsi" w:hAnsiTheme="minorHAnsi" w:cstheme="minorHAnsi"/>
        </w:rPr>
        <w:t>and</w:t>
      </w:r>
      <w:r>
        <w:rPr>
          <w:rFonts w:asciiTheme="minorHAnsi" w:hAnsiTheme="minorHAnsi" w:cstheme="minorHAnsi"/>
        </w:rPr>
        <w:t xml:space="preserve"> due to</w:t>
      </w:r>
      <w:r w:rsidRPr="00DB59D5">
        <w:rPr>
          <w:rFonts w:asciiTheme="minorHAnsi" w:hAnsiTheme="minorHAnsi" w:cstheme="minorHAnsi"/>
        </w:rPr>
        <w:t xml:space="preserve"> the challenges of working in specific country contexts.</w:t>
      </w:r>
      <w:bookmarkEnd w:id="36"/>
      <w:r w:rsidRPr="00DB59D5">
        <w:rPr>
          <w:rFonts w:asciiTheme="minorHAnsi" w:hAnsiTheme="minorHAnsi" w:cstheme="minorHAnsi"/>
        </w:rPr>
        <w:t xml:space="preserve"> </w:t>
      </w:r>
      <w:r w:rsidRPr="00DB59D5">
        <w:rPr>
          <w:rFonts w:cs="Calibri"/>
        </w:rPr>
        <w:t>The competitive tender process required by His Majesty</w:t>
      </w:r>
      <w:r>
        <w:rPr>
          <w:rFonts w:cs="Calibri"/>
        </w:rPr>
        <w:t>’</w:t>
      </w:r>
      <w:r w:rsidRPr="00DB59D5">
        <w:rPr>
          <w:rFonts w:cs="Calibri"/>
        </w:rPr>
        <w:t xml:space="preserve">s Government (HMG) procurement rules was of limited relevance in the context of a highly technical intervention where the pool of qualified suppliers is small. </w:t>
      </w:r>
      <w:r>
        <w:rPr>
          <w:rFonts w:cs="Calibri"/>
        </w:rPr>
        <w:t>CG</w:t>
      </w:r>
      <w:r w:rsidRPr="00DB59D5">
        <w:t xml:space="preserve"> implementation, therefore, began two years after the start </w:t>
      </w:r>
      <w:r w:rsidRPr="00DB59D5" w:rsidDel="00AA7B25">
        <w:t>of</w:t>
      </w:r>
      <w:r w:rsidRPr="00DB59D5">
        <w:t xml:space="preserve"> the programme, and </w:t>
      </w:r>
      <w:r w:rsidRPr="00DB59D5" w:rsidDel="00052E3D">
        <w:t xml:space="preserve">the </w:t>
      </w:r>
      <w:r w:rsidRPr="00DB59D5">
        <w:t>Fleming Fund has been catching up since. Whil</w:t>
      </w:r>
      <w:r>
        <w:t>e</w:t>
      </w:r>
      <w:r w:rsidRPr="00DB59D5">
        <w:t xml:space="preserve"> these issues are well known by the MA and the DHSC, there is an understandable risk that ambition and realism are not well balanced in setting expectations for what can be delivered in </w:t>
      </w:r>
      <w:r>
        <w:rPr>
          <w:noProof/>
        </w:rPr>
        <w:t>phase 2</w:t>
      </w:r>
      <w:r w:rsidRPr="00DB59D5">
        <w:t>.</w:t>
      </w:r>
    </w:p>
    <w:p w14:paraId="5EE4CE8F" w14:textId="4F93971B" w:rsidR="00481F48" w:rsidRPr="00BF2830" w:rsidRDefault="00481F48" w:rsidP="00444B77">
      <w:pPr>
        <w:pStyle w:val="ItadNormalText"/>
      </w:pPr>
      <w:bookmarkStart w:id="37" w:name="_Hlk129017480"/>
      <w:bookmarkEnd w:id="35"/>
      <w:r w:rsidRPr="00CF3D84">
        <w:rPr>
          <w:b/>
          <w:bCs/>
        </w:rPr>
        <w:t xml:space="preserve">Conclusion 8: The complexity of the programme, with multiple Fund grantees operating at the country level, has made it challenging to deliver coherence across </w:t>
      </w:r>
      <w:r w:rsidRPr="00CF3D84" w:rsidDel="00052E3D">
        <w:rPr>
          <w:b/>
          <w:bCs/>
        </w:rPr>
        <w:t xml:space="preserve">the </w:t>
      </w:r>
      <w:r w:rsidRPr="00CF3D84">
        <w:rPr>
          <w:b/>
          <w:bCs/>
        </w:rPr>
        <w:t xml:space="preserve">Fleming Fund’s investments. This has been exacerbated by the DHSC’s decision to expand the number of grantees. The challenge was recognised, and progress was made but focused mainly on avoiding duplication. Less progress has been made in enhancing synergy and greater overall effectiveness. Evidence of external </w:t>
      </w:r>
      <w:r w:rsidRPr="00CF3D84">
        <w:rPr>
          <w:b/>
          <w:bCs/>
        </w:rPr>
        <w:lastRenderedPageBreak/>
        <w:t xml:space="preserve">coherence with external partners is strong within limits but reflects the lack of working formal government coordination mechanisms: ultimately, external coherence should be the remit of </w:t>
      </w:r>
      <w:proofErr w:type="gramStart"/>
      <w:r w:rsidRPr="00CF3D84">
        <w:rPr>
          <w:b/>
          <w:bCs/>
        </w:rPr>
        <w:t>AMRCCs</w:t>
      </w:r>
      <w:proofErr w:type="gramEnd"/>
      <w:r w:rsidRPr="00CF3D84">
        <w:rPr>
          <w:b/>
          <w:bCs/>
        </w:rPr>
        <w:t xml:space="preserve"> but these are not always fully functional and do not always include all relevant non-government stakeholders.</w:t>
      </w:r>
      <w:r w:rsidRPr="00BF2830">
        <w:t xml:space="preserve"> </w:t>
      </w:r>
      <w:r w:rsidRPr="00504E64">
        <w:t>Nevertheless,</w:t>
      </w:r>
      <w:r>
        <w:t xml:space="preserve"> </w:t>
      </w:r>
      <w:r w:rsidRPr="00BF2830">
        <w:t xml:space="preserve">the basic mechanisms to deliver internal coordination are now in place, but their remit remains focused on information sharing. </w:t>
      </w:r>
      <w:r>
        <w:t xml:space="preserve">Therefore, </w:t>
      </w:r>
      <w:r w:rsidRPr="00BF2830">
        <w:t>widening their remit</w:t>
      </w:r>
      <w:r>
        <w:t xml:space="preserve"> presents</w:t>
      </w:r>
      <w:r w:rsidRPr="00BF2830">
        <w:t xml:space="preserve"> an opportunity to enhance internal coherence.</w:t>
      </w:r>
      <w:r w:rsidRPr="00BF2830" w:rsidDel="003F3A17">
        <w:t xml:space="preserve"> </w:t>
      </w:r>
      <w:r w:rsidRPr="00BF2830">
        <w:t>Whil</w:t>
      </w:r>
      <w:r>
        <w:t>e</w:t>
      </w:r>
      <w:r w:rsidRPr="00BF2830">
        <w:t xml:space="preserve"> </w:t>
      </w:r>
      <w:r w:rsidRPr="0097524E">
        <w:t>external coherence between all Fleming Fund grants and other DPs</w:t>
      </w:r>
      <w:r>
        <w:t>’</w:t>
      </w:r>
      <w:r w:rsidRPr="0097524E">
        <w:t xml:space="preserve"> interventions was found to be strong in </w:t>
      </w:r>
      <w:proofErr w:type="gramStart"/>
      <w:r w:rsidRPr="0097524E">
        <w:t>a majority of</w:t>
      </w:r>
      <w:proofErr w:type="gramEnd"/>
      <w:r w:rsidRPr="0097524E">
        <w:t xml:space="preserve"> the focus countries, </w:t>
      </w:r>
      <w:r w:rsidRPr="0097524E" w:rsidDel="001D5C91">
        <w:t xml:space="preserve">this </w:t>
      </w:r>
      <w:r w:rsidRPr="0097524E">
        <w:t xml:space="preserve">does not focus on linkages to wider (non-surveillance) aspects of the AMR response. </w:t>
      </w:r>
      <w:r w:rsidRPr="00BF2830">
        <w:t xml:space="preserve">Progress on addressing external coherence may be key given the aspirations in </w:t>
      </w:r>
      <w:r>
        <w:t>phase 2</w:t>
      </w:r>
      <w:r w:rsidRPr="00BF2830">
        <w:t xml:space="preserve"> but the experience of </w:t>
      </w:r>
      <w:r>
        <w:rPr>
          <w:noProof/>
        </w:rPr>
        <w:t>phase 1</w:t>
      </w:r>
      <w:r w:rsidRPr="00BF2830">
        <w:t xml:space="preserve"> suggests that several of the contextual conditions that would have facilitated achieving external coherence (in terms of effective AMRCCs) are missing and a feasible solution has not been identified. The assumption is that AMR NAPs identify prioritised actions through a functional multisectoral coordinating mechanism (AMRCC) with clear terms of reference (ToR),</w:t>
      </w:r>
      <w:r>
        <w:t xml:space="preserve"> a</w:t>
      </w:r>
      <w:r w:rsidRPr="00BF2830">
        <w:t xml:space="preserve"> budget, and an accountability framework. </w:t>
      </w:r>
      <w:r>
        <w:t>The phase 1</w:t>
      </w:r>
      <w:r w:rsidRPr="00BF2830">
        <w:t xml:space="preserve"> experience is that AMR NAPs and AMRCCs have limitations in providing,</w:t>
      </w:r>
      <w:r w:rsidRPr="00BF2830" w:rsidDel="00DD0AC3">
        <w:t xml:space="preserve"> </w:t>
      </w:r>
      <w:r w:rsidRPr="00BF2830">
        <w:t>organising, and driving the framework for action and external coordination.</w:t>
      </w:r>
      <w:r w:rsidRPr="00BF2830" w:rsidDel="00DD0AC3">
        <w:t xml:space="preserve"> </w:t>
      </w:r>
      <w:r w:rsidRPr="00BF2830">
        <w:t xml:space="preserve">This </w:t>
      </w:r>
      <w:r w:rsidRPr="00BF2830">
        <w:rPr>
          <w:rFonts w:eastAsia="Times New Roman"/>
          <w:lang w:eastAsia="en-GB"/>
        </w:rPr>
        <w:t xml:space="preserve">links to the challenge of ensuring external coherence with other donors that our </w:t>
      </w:r>
      <w:r>
        <w:rPr>
          <w:rFonts w:eastAsia="Times New Roman"/>
          <w:lang w:eastAsia="en-GB"/>
        </w:rPr>
        <w:t>key informant interviews (</w:t>
      </w:r>
      <w:r w:rsidRPr="00BF2830">
        <w:rPr>
          <w:rFonts w:eastAsia="Times New Roman"/>
          <w:lang w:eastAsia="en-GB"/>
        </w:rPr>
        <w:t>KIIs</w:t>
      </w:r>
      <w:r>
        <w:rPr>
          <w:rFonts w:eastAsia="Times New Roman"/>
          <w:lang w:eastAsia="en-GB"/>
        </w:rPr>
        <w:t>)</w:t>
      </w:r>
      <w:r w:rsidRPr="00BF2830">
        <w:rPr>
          <w:rFonts w:eastAsia="Times New Roman"/>
          <w:lang w:eastAsia="en-GB"/>
        </w:rPr>
        <w:t xml:space="preserve"> suggest are investing in the </w:t>
      </w:r>
      <w:r w:rsidRPr="00BF2830">
        <w:rPr>
          <w:rFonts w:eastAsia="Times New Roman"/>
          <w:noProof/>
          <w:lang w:eastAsia="en-GB"/>
        </w:rPr>
        <w:t>HH</w:t>
      </w:r>
      <w:r w:rsidRPr="00BF2830">
        <w:rPr>
          <w:rFonts w:eastAsia="Times New Roman"/>
          <w:lang w:eastAsia="en-GB"/>
        </w:rPr>
        <w:t xml:space="preserve"> AMR sphere</w:t>
      </w:r>
      <w:r w:rsidRPr="00BF2830">
        <w:t>. Evidence suggests that, in the absence of prioritisation through AMRCCs, this coordination is happening to some degree in some countries, but ad hoc and based on existing relationships of grantees at the country level.</w:t>
      </w:r>
    </w:p>
    <w:p w14:paraId="0AD51FAB" w14:textId="77777777" w:rsidR="00481F48" w:rsidRPr="00FD7A5C" w:rsidRDefault="00481F48" w:rsidP="003F3DC7">
      <w:pPr>
        <w:pStyle w:val="ItadH2Numbered"/>
      </w:pPr>
      <w:bookmarkStart w:id="38" w:name="_Toc144049336"/>
      <w:bookmarkStart w:id="39" w:name="_Toc144715796"/>
      <w:r w:rsidRPr="00FD7A5C">
        <w:t xml:space="preserve">Strengths and weaknesses of the current programme design in terms of contributing to the overall longer-term objectives of the Fleming Fund as articulated in the Business Case for </w:t>
      </w:r>
      <w:r>
        <w:t>phase 2</w:t>
      </w:r>
      <w:r w:rsidRPr="00FD7A5C">
        <w:t>.</w:t>
      </w:r>
      <w:bookmarkEnd w:id="38"/>
      <w:bookmarkEnd w:id="39"/>
    </w:p>
    <w:p w14:paraId="2D2C8849" w14:textId="77777777" w:rsidR="00481F48" w:rsidRPr="002A3A5D" w:rsidRDefault="00481F48" w:rsidP="00444B77">
      <w:pPr>
        <w:pStyle w:val="ItadNormalText"/>
        <w:rPr>
          <w:lang w:eastAsia="en-GB"/>
        </w:rPr>
      </w:pPr>
      <w:r w:rsidRPr="002A3A5D">
        <w:rPr>
          <w:lang w:eastAsia="en-GB"/>
        </w:rPr>
        <w:t xml:space="preserve">The previous conclusions include </w:t>
      </w:r>
      <w:proofErr w:type="gramStart"/>
      <w:r w:rsidRPr="002A3A5D">
        <w:rPr>
          <w:lang w:eastAsia="en-GB"/>
        </w:rPr>
        <w:t>a number of</w:t>
      </w:r>
      <w:proofErr w:type="gramEnd"/>
      <w:r w:rsidRPr="002A3A5D">
        <w:rPr>
          <w:lang w:eastAsia="en-GB"/>
        </w:rPr>
        <w:t xml:space="preserve"> strengths in the </w:t>
      </w:r>
      <w:r>
        <w:rPr>
          <w:lang w:eastAsia="en-GB"/>
        </w:rPr>
        <w:t>phase 1</w:t>
      </w:r>
      <w:r w:rsidRPr="002A3A5D">
        <w:rPr>
          <w:lang w:eastAsia="en-GB"/>
        </w:rPr>
        <w:t xml:space="preserve"> approach that the Fleming Fund should build upon. Below we highlight a key conclusion that is critical for </w:t>
      </w:r>
      <w:r w:rsidRPr="002A3A5D" w:rsidDel="00052E3D">
        <w:rPr>
          <w:lang w:eastAsia="en-GB"/>
        </w:rPr>
        <w:t xml:space="preserve">the </w:t>
      </w:r>
      <w:r w:rsidRPr="002A3A5D">
        <w:rPr>
          <w:lang w:eastAsia="en-GB"/>
        </w:rPr>
        <w:t xml:space="preserve">Fleming Fund to address, given the evolving context and focus on contributing to the ultimate objectives of </w:t>
      </w:r>
      <w:r w:rsidRPr="002A3A5D" w:rsidDel="00052E3D">
        <w:rPr>
          <w:lang w:eastAsia="en-GB"/>
        </w:rPr>
        <w:t xml:space="preserve">the </w:t>
      </w:r>
      <w:r w:rsidRPr="002A3A5D">
        <w:rPr>
          <w:lang w:eastAsia="en-GB"/>
        </w:rPr>
        <w:t>Fleming Fund.</w:t>
      </w:r>
    </w:p>
    <w:bookmarkEnd w:id="37"/>
    <w:p w14:paraId="207535F5" w14:textId="34428645" w:rsidR="00481F48" w:rsidRPr="0057770E" w:rsidRDefault="00481F48" w:rsidP="00444B77">
      <w:pPr>
        <w:pStyle w:val="ItadNormalText"/>
      </w:pPr>
      <w:r w:rsidRPr="002A3A5D">
        <w:rPr>
          <w:rFonts w:eastAsia="Calibri" w:cs="Calibri"/>
          <w:b/>
          <w:bCs/>
        </w:rPr>
        <w:t xml:space="preserve">Conclusion </w:t>
      </w:r>
      <w:r>
        <w:rPr>
          <w:rFonts w:eastAsia="Calibri" w:cs="Calibri"/>
          <w:b/>
          <w:bCs/>
        </w:rPr>
        <w:t>9</w:t>
      </w:r>
      <w:r w:rsidRPr="002A3A5D">
        <w:rPr>
          <w:rFonts w:eastAsia="Calibri" w:cs="Calibri"/>
          <w:b/>
          <w:bCs/>
        </w:rPr>
        <w:t>:</w:t>
      </w:r>
      <w:r w:rsidRPr="002A3A5D" w:rsidDel="007D2E99">
        <w:rPr>
          <w:rFonts w:eastAsia="Calibri" w:cs="Calibri"/>
          <w:b/>
          <w:bCs/>
        </w:rPr>
        <w:t xml:space="preserve"> </w:t>
      </w:r>
      <w:r w:rsidRPr="002A3A5D">
        <w:rPr>
          <w:rFonts w:eastAsia="Calibri" w:cs="Calibri"/>
          <w:b/>
          <w:bCs/>
        </w:rPr>
        <w:t xml:space="preserve">The Fleming Fund approach to managing for effectiveness </w:t>
      </w:r>
      <w:r>
        <w:rPr>
          <w:rFonts w:eastAsia="Calibri" w:cs="Calibri"/>
          <w:b/>
          <w:bCs/>
        </w:rPr>
        <w:t xml:space="preserve">could be strengthened </w:t>
      </w:r>
      <w:r w:rsidRPr="002A3A5D">
        <w:rPr>
          <w:rFonts w:eastAsia="Calibri" w:cs="Calibri"/>
          <w:b/>
          <w:bCs/>
        </w:rPr>
        <w:t xml:space="preserve">at the country and portfolio levels. There has been progress in this regard </w:t>
      </w:r>
      <w:r w:rsidRPr="002A3A5D" w:rsidDel="009274A6">
        <w:rPr>
          <w:rFonts w:eastAsia="Calibri" w:cs="Calibri"/>
          <w:b/>
          <w:bCs/>
        </w:rPr>
        <w:t xml:space="preserve">during </w:t>
      </w:r>
      <w:r>
        <w:rPr>
          <w:rFonts w:eastAsia="Calibri" w:cs="Calibri"/>
          <w:b/>
          <w:bCs/>
        </w:rPr>
        <w:t>phase 1</w:t>
      </w:r>
      <w:r w:rsidRPr="002A3A5D">
        <w:rPr>
          <w:rFonts w:eastAsia="Calibri" w:cs="Calibri"/>
          <w:b/>
          <w:bCs/>
        </w:rPr>
        <w:t xml:space="preserve">, in terms of developing a portfolio-level </w:t>
      </w:r>
      <w:r>
        <w:rPr>
          <w:rFonts w:eastAsia="Calibri" w:cs="Calibri"/>
          <w:b/>
          <w:bCs/>
        </w:rPr>
        <w:t>theory of change (T</w:t>
      </w:r>
      <w:r w:rsidRPr="002A3A5D">
        <w:rPr>
          <w:rFonts w:eastAsia="Calibri" w:cs="Calibri"/>
          <w:b/>
          <w:bCs/>
        </w:rPr>
        <w:t>oC</w:t>
      </w:r>
      <w:r>
        <w:rPr>
          <w:rFonts w:eastAsia="Calibri" w:cs="Calibri"/>
          <w:b/>
          <w:bCs/>
        </w:rPr>
        <w:t>)</w:t>
      </w:r>
      <w:r w:rsidRPr="002A3A5D">
        <w:rPr>
          <w:rFonts w:eastAsia="Calibri" w:cs="Calibri"/>
          <w:b/>
          <w:bCs/>
        </w:rPr>
        <w:t xml:space="preserve"> and a core set of indicators; and the challenges observed reflect factors common in many aid programmes. But some are particular to the Fleming </w:t>
      </w:r>
      <w:r w:rsidRPr="002A3A5D" w:rsidDel="009274A6">
        <w:rPr>
          <w:rFonts w:eastAsia="Calibri" w:cs="Calibri"/>
          <w:b/>
          <w:bCs/>
        </w:rPr>
        <w:t>Fund</w:t>
      </w:r>
      <w:r w:rsidRPr="002A3A5D">
        <w:rPr>
          <w:rFonts w:eastAsia="Calibri" w:cs="Calibri"/>
          <w:b/>
          <w:bCs/>
        </w:rPr>
        <w:t xml:space="preserve"> and addressing these will be</w:t>
      </w:r>
      <w:r>
        <w:rPr>
          <w:rFonts w:eastAsia="Calibri" w:cs="Calibri"/>
          <w:b/>
          <w:bCs/>
        </w:rPr>
        <w:t xml:space="preserve"> of</w:t>
      </w:r>
      <w:r w:rsidRPr="002A3A5D">
        <w:rPr>
          <w:rFonts w:eastAsia="Calibri" w:cs="Calibri"/>
          <w:b/>
          <w:bCs/>
        </w:rPr>
        <w:t xml:space="preserve"> increasing importan</w:t>
      </w:r>
      <w:r>
        <w:rPr>
          <w:rFonts w:eastAsia="Calibri" w:cs="Calibri"/>
          <w:b/>
          <w:bCs/>
        </w:rPr>
        <w:t>ce</w:t>
      </w:r>
      <w:r w:rsidRPr="002A3A5D">
        <w:rPr>
          <w:rFonts w:eastAsia="Calibri" w:cs="Calibri"/>
          <w:b/>
          <w:bCs/>
        </w:rPr>
        <w:t xml:space="preserve"> </w:t>
      </w:r>
      <w:r>
        <w:rPr>
          <w:rFonts w:eastAsia="Calibri" w:cs="Calibri"/>
          <w:b/>
          <w:bCs/>
        </w:rPr>
        <w:t>in phase 2</w:t>
      </w:r>
      <w:r w:rsidRPr="002A3A5D">
        <w:rPr>
          <w:rFonts w:eastAsia="Calibri" w:cs="Calibri"/>
          <w:b/>
          <w:bCs/>
        </w:rPr>
        <w:t xml:space="preserve">. </w:t>
      </w:r>
      <w:r w:rsidRPr="002A3A5D">
        <w:rPr>
          <w:rFonts w:eastAsia="Calibri"/>
        </w:rPr>
        <w:t xml:space="preserve">The 2015 ICAI review of </w:t>
      </w:r>
      <w:r>
        <w:rPr>
          <w:rFonts w:eastAsia="Calibri"/>
        </w:rPr>
        <w:t xml:space="preserve">the UK’s former </w:t>
      </w:r>
      <w:r>
        <w:t>Department for International Development (</w:t>
      </w:r>
      <w:r w:rsidRPr="002A3A5D">
        <w:rPr>
          <w:rFonts w:eastAsia="Calibri"/>
        </w:rPr>
        <w:t>DFID</w:t>
      </w:r>
      <w:r>
        <w:rPr>
          <w:rFonts w:eastAsia="Calibri"/>
        </w:rPr>
        <w:t>)</w:t>
      </w:r>
      <w:r w:rsidRPr="002A3A5D">
        <w:rPr>
          <w:rFonts w:eastAsia="Calibri"/>
        </w:rPr>
        <w:t xml:space="preserve"> approach to delivering impact</w:t>
      </w:r>
      <w:r w:rsidRPr="002A3A5D">
        <w:rPr>
          <w:rFonts w:eastAsia="Calibri"/>
          <w:sz w:val="20"/>
          <w:szCs w:val="20"/>
          <w:vertAlign w:val="superscript"/>
        </w:rPr>
        <w:endnoteReference w:id="19"/>
      </w:r>
      <w:r w:rsidRPr="002A3A5D">
        <w:rPr>
          <w:rFonts w:eastAsia="Calibri"/>
        </w:rPr>
        <w:t xml:space="preserve"> notes that </w:t>
      </w:r>
      <w:r>
        <w:rPr>
          <w:rFonts w:eastAsia="Calibri"/>
        </w:rPr>
        <w:t>‘</w:t>
      </w:r>
      <w:r w:rsidRPr="002A3A5D">
        <w:rPr>
          <w:rFonts w:eastAsia="Calibri"/>
          <w:i/>
          <w:iCs/>
        </w:rPr>
        <w:t>…Getting the balance right between direct impact and policy and institutional change emerges as a critical factor for successful impact. It calls for clear, long-term goals, combined with considerable flexibility as to the steps required to achieve them</w:t>
      </w:r>
      <w:r>
        <w:rPr>
          <w:rFonts w:eastAsia="Calibri"/>
        </w:rPr>
        <w:t>’</w:t>
      </w:r>
      <w:r w:rsidRPr="002A3A5D">
        <w:rPr>
          <w:rFonts w:eastAsia="Calibri"/>
        </w:rPr>
        <w:t xml:space="preserve">. </w:t>
      </w:r>
      <w:r w:rsidRPr="009A7EC2">
        <w:rPr>
          <w:rFonts w:eastAsia="Calibri"/>
        </w:rPr>
        <w:t>This is true for the Fleming Fund which also faces programme delivery challenges</w:t>
      </w:r>
      <w:r w:rsidRPr="002A3A5D">
        <w:rPr>
          <w:rFonts w:eastAsia="Calibri" w:cs="Calibri"/>
        </w:rPr>
        <w:t>.</w:t>
      </w:r>
      <w:r w:rsidRPr="002A3A5D">
        <w:rPr>
          <w:rStyle w:val="EndnoteReference"/>
          <w:rFonts w:eastAsia="Calibri" w:cs="Calibri"/>
        </w:rPr>
        <w:endnoteReference w:id="20"/>
      </w:r>
      <w:r w:rsidRPr="002A3A5D">
        <w:rPr>
          <w:rFonts w:eastAsia="Calibri" w:cs="Calibri"/>
        </w:rPr>
        <w:t xml:space="preserve"> </w:t>
      </w:r>
      <w:bookmarkStart w:id="40" w:name="_Hlk129078550"/>
      <w:r w:rsidRPr="002A3A5D">
        <w:rPr>
          <w:rFonts w:eastAsia="Calibri" w:cs="Calibri"/>
        </w:rPr>
        <w:t xml:space="preserve">Managing for effectiveness requires </w:t>
      </w:r>
      <w:bookmarkEnd w:id="40"/>
      <w:r w:rsidRPr="009A7EC2">
        <w:rPr>
          <w:rFonts w:eastAsia="Calibri" w:cs="Calibri"/>
        </w:rPr>
        <w:t>both clarity of where the balance is to be struck, between impact at the individual facility level and the policy/</w:t>
      </w:r>
      <w:r>
        <w:rPr>
          <w:rFonts w:eastAsia="Calibri" w:cs="Calibri"/>
        </w:rPr>
        <w:t xml:space="preserve"> </w:t>
      </w:r>
      <w:r w:rsidRPr="009A7EC2">
        <w:rPr>
          <w:rFonts w:eastAsia="Calibri" w:cs="Calibri"/>
        </w:rPr>
        <w:t>regulatory level, and flexibility through adaptive management that can achieve effectiveness</w:t>
      </w:r>
      <w:r w:rsidRPr="002A3A5D">
        <w:rPr>
          <w:rFonts w:eastAsia="Calibri" w:cs="Calibri"/>
        </w:rPr>
        <w:t>.</w:t>
      </w:r>
    </w:p>
    <w:p w14:paraId="4BA3BEE3" w14:textId="77777777" w:rsidR="00481F48" w:rsidRPr="002A3A5D" w:rsidRDefault="00481F48" w:rsidP="00444B77">
      <w:pPr>
        <w:pStyle w:val="ItadNormalText"/>
      </w:pPr>
      <w:bookmarkStart w:id="41" w:name="_Hlk129079297"/>
      <w:r>
        <w:t>The</w:t>
      </w:r>
      <w:r w:rsidRPr="002A3A5D">
        <w:t xml:space="preserve"> Fleming Fund did not start with clear and realistic goals on what could be achieved during </w:t>
      </w:r>
      <w:r>
        <w:t>phase 1</w:t>
      </w:r>
      <w:r w:rsidRPr="000B509B">
        <w:t>.</w:t>
      </w:r>
      <w:r w:rsidRPr="008A5F96">
        <w:t xml:space="preserve"> This is a common challenge.</w:t>
      </w:r>
      <w:r w:rsidRPr="000B509B">
        <w:rPr>
          <w:b/>
          <w:bCs/>
        </w:rPr>
        <w:t xml:space="preserve"> </w:t>
      </w:r>
      <w:r w:rsidRPr="002A3A5D">
        <w:t xml:space="preserve">The lack of clarity </w:t>
      </w:r>
      <w:r>
        <w:t>on</w:t>
      </w:r>
      <w:r w:rsidRPr="002A3A5D">
        <w:t xml:space="preserve"> expected results </w:t>
      </w:r>
      <w:r>
        <w:t xml:space="preserve">may have been due to the innovative nature of the programme, or to the uncertainty of the purpose of the Fleming Fund at the outset. Either way, it </w:t>
      </w:r>
      <w:r w:rsidRPr="002A3A5D">
        <w:t xml:space="preserve">has undermined the clarity of strategic focus and effectiveness of implementation in terms of higher-level outcomes during </w:t>
      </w:r>
      <w:r>
        <w:rPr>
          <w:noProof/>
        </w:rPr>
        <w:t>phase 1</w:t>
      </w:r>
      <w:r w:rsidRPr="002A3A5D">
        <w:rPr>
          <w:noProof/>
        </w:rPr>
        <w:t>.</w:t>
      </w:r>
      <w:r w:rsidRPr="002A3A5D">
        <w:t xml:space="preserve"> As discussed above, fundamental questions about the purpose of </w:t>
      </w:r>
      <w:r w:rsidRPr="002A3A5D" w:rsidDel="00052E3D">
        <w:t xml:space="preserve">the </w:t>
      </w:r>
      <w:r w:rsidRPr="002A3A5D">
        <w:t xml:space="preserve">Fleming Fund should have been addressed </w:t>
      </w:r>
      <w:r w:rsidRPr="002A3A5D">
        <w:rPr>
          <w:noProof/>
        </w:rPr>
        <w:t>upfront</w:t>
      </w:r>
      <w:r w:rsidRPr="002A3A5D">
        <w:t xml:space="preserve"> – such as whether national policy</w:t>
      </w:r>
      <w:r w:rsidRPr="002A3A5D">
        <w:rPr>
          <w:noProof/>
        </w:rPr>
        <w:t>,</w:t>
      </w:r>
      <w:r w:rsidRPr="002A3A5D">
        <w:t xml:space="preserve"> regulatory and/or behaviour change (and of which target audiences) were the priority and how AMR surveillance was expected to contribute to that. </w:t>
      </w:r>
      <w:r>
        <w:t>We note that in the original ToR that the MA responded to, the DHSC prioritised generating additional data.</w:t>
      </w:r>
      <w:r>
        <w:rPr>
          <w:rStyle w:val="EndnoteReference"/>
          <w:rFonts w:eastAsia="Calibri"/>
        </w:rPr>
        <w:endnoteReference w:id="21"/>
      </w:r>
      <w:r w:rsidRPr="00853D7E">
        <w:t xml:space="preserve"> </w:t>
      </w:r>
      <w:r>
        <w:t xml:space="preserve">Establishing </w:t>
      </w:r>
      <w:r w:rsidRPr="0044448E">
        <w:t>clear, long-term goals</w:t>
      </w:r>
      <w:r>
        <w:t xml:space="preserve"> and mechanisms to</w:t>
      </w:r>
      <w:r w:rsidRPr="0044448E">
        <w:t xml:space="preserve"> </w:t>
      </w:r>
      <w:r>
        <w:t xml:space="preserve">track and adapt </w:t>
      </w:r>
      <w:r w:rsidRPr="0044448E">
        <w:t xml:space="preserve">the steps required to achieve them </w:t>
      </w:r>
      <w:r w:rsidRPr="002A3A5D">
        <w:t xml:space="preserve">is standard practice in developing programmatic interventions of this kind, although not routinely implemented. </w:t>
      </w:r>
      <w:r w:rsidRPr="00B56A06">
        <w:t>T</w:t>
      </w:r>
      <w:r w:rsidRPr="00504E64">
        <w:t xml:space="preserve">here has been progress in this regard </w:t>
      </w:r>
      <w:r w:rsidRPr="00504E64" w:rsidDel="009274A6">
        <w:t xml:space="preserve">during </w:t>
      </w:r>
      <w:r w:rsidRPr="00504E64">
        <w:t xml:space="preserve">phase 1, in terms of developing a portfolio-level </w:t>
      </w:r>
      <w:r>
        <w:t>ToC</w:t>
      </w:r>
      <w:r w:rsidRPr="00504E64">
        <w:t xml:space="preserve"> and a core set of indicators</w:t>
      </w:r>
      <w:r>
        <w:t xml:space="preserve">. </w:t>
      </w:r>
      <w:r w:rsidRPr="00EA39D1">
        <w:t>Note</w:t>
      </w:r>
      <w:r>
        <w:t xml:space="preserve"> the following, r</w:t>
      </w:r>
      <w:r w:rsidRPr="002A3A5D">
        <w:t>elated to establishing clear expectations:</w:t>
      </w:r>
    </w:p>
    <w:bookmarkEnd w:id="41"/>
    <w:p w14:paraId="63DEDDDC" w14:textId="77777777" w:rsidR="00481F48" w:rsidRPr="002A3A5D" w:rsidRDefault="00481F48" w:rsidP="00444B77">
      <w:pPr>
        <w:pStyle w:val="ItadBullets"/>
      </w:pPr>
      <w:r w:rsidRPr="002A3A5D">
        <w:rPr>
          <w:rFonts w:eastAsia="Calibri"/>
        </w:rPr>
        <w:lastRenderedPageBreak/>
        <w:t xml:space="preserve">Establishing goals at a strategic level will help manage the risk of </w:t>
      </w:r>
      <w:r w:rsidRPr="002A3A5D">
        <w:t xml:space="preserve">rigidly maintaining focus on operational plans at the cost of strategic adaptation. The extent to which DHSC systems and culture </w:t>
      </w:r>
      <w:r w:rsidRPr="002A3A5D">
        <w:rPr>
          <w:noProof/>
        </w:rPr>
        <w:t>allow</w:t>
      </w:r>
      <w:r w:rsidRPr="002A3A5D">
        <w:t xml:space="preserve"> for this kind of adaptation needs careful consideration during </w:t>
      </w:r>
      <w:r>
        <w:rPr>
          <w:noProof/>
        </w:rPr>
        <w:t>phase 2</w:t>
      </w:r>
      <w:r w:rsidRPr="002A3A5D">
        <w:t>.</w:t>
      </w:r>
    </w:p>
    <w:p w14:paraId="77F22120" w14:textId="77777777" w:rsidR="00481F48" w:rsidRPr="002A3A5D" w:rsidRDefault="00481F48" w:rsidP="00444B77">
      <w:pPr>
        <w:pStyle w:val="ItadBullets"/>
      </w:pPr>
      <w:r w:rsidRPr="002A3A5D">
        <w:t xml:space="preserve">Establishing expectations needs to be done with country counterparts. The </w:t>
      </w:r>
      <w:r w:rsidRPr="002A3A5D">
        <w:rPr>
          <w:rFonts w:eastAsia="Calibri"/>
        </w:rPr>
        <w:t>country investment strategy process</w:t>
      </w:r>
      <w:r w:rsidRPr="002A3A5D">
        <w:t xml:space="preserve"> provides a good opportunity to do this. However, given expectations for how </w:t>
      </w:r>
      <w:r>
        <w:rPr>
          <w:noProof/>
        </w:rPr>
        <w:t>phase 2</w:t>
      </w:r>
      <w:r w:rsidRPr="002A3A5D">
        <w:t xml:space="preserve"> will shift, there is a risk that </w:t>
      </w:r>
      <w:r w:rsidRPr="002A3A5D">
        <w:rPr>
          <w:rFonts w:eastAsia="Calibri"/>
        </w:rPr>
        <w:t>country investment strategy processes</w:t>
      </w:r>
      <w:r w:rsidRPr="002A3A5D">
        <w:t xml:space="preserve"> are overloaded. In this scenario </w:t>
      </w:r>
      <w:r>
        <w:t>‘</w:t>
      </w:r>
      <w:r w:rsidRPr="002A3A5D">
        <w:t>delivering</w:t>
      </w:r>
      <w:r>
        <w:t>’</w:t>
      </w:r>
      <w:r w:rsidRPr="002A3A5D">
        <w:t xml:space="preserve"> key strategic shifts will be more challenging and so the importance of establishing clear, shared expectations cannot be overstated.</w:t>
      </w:r>
    </w:p>
    <w:p w14:paraId="1EEDD185" w14:textId="77777777" w:rsidR="00481F48" w:rsidRPr="002A3A5D" w:rsidRDefault="00481F48" w:rsidP="00444B77">
      <w:pPr>
        <w:pStyle w:val="ItadBullets"/>
      </w:pPr>
      <w:r>
        <w:t>D</w:t>
      </w:r>
      <w:r w:rsidRPr="00981369">
        <w:t>efin</w:t>
      </w:r>
      <w:r>
        <w:t>ing</w:t>
      </w:r>
      <w:r w:rsidRPr="00981369">
        <w:t xml:space="preserve"> success for phase 2 in ambitious but realistic terms</w:t>
      </w:r>
      <w:r>
        <w:t xml:space="preserve">. This </w:t>
      </w:r>
      <w:r w:rsidRPr="00981369">
        <w:t xml:space="preserve">will be essential </w:t>
      </w:r>
      <w:r>
        <w:t xml:space="preserve">because </w:t>
      </w:r>
      <w:r>
        <w:rPr>
          <w:noProof/>
        </w:rPr>
        <w:t>phase 2</w:t>
      </w:r>
      <w:r w:rsidRPr="002A3A5D">
        <w:t xml:space="preserve"> is short, and tackling AMR requires a long-term response</w:t>
      </w:r>
      <w:r w:rsidRPr="002A3A5D">
        <w:rPr>
          <w:noProof/>
        </w:rPr>
        <w:t>.</w:t>
      </w:r>
      <w:r w:rsidRPr="002A3A5D">
        <w:t xml:space="preserve"> </w:t>
      </w:r>
      <w:r>
        <w:t>E</w:t>
      </w:r>
      <w:r w:rsidRPr="002A3A5D">
        <w:t xml:space="preserve">xperience from </w:t>
      </w:r>
      <w:r>
        <w:rPr>
          <w:noProof/>
        </w:rPr>
        <w:t>phase 1</w:t>
      </w:r>
      <w:r w:rsidRPr="002A3A5D">
        <w:t xml:space="preserve"> provides a clear basis for calibrating ambition appropriately.</w:t>
      </w:r>
    </w:p>
    <w:p w14:paraId="248BAFC3" w14:textId="77777777" w:rsidR="00481F48" w:rsidRPr="009B265B" w:rsidRDefault="00481F48" w:rsidP="003F3DC7">
      <w:pPr>
        <w:pStyle w:val="ItadH1Numbered"/>
        <w:rPr>
          <w:noProof/>
        </w:rPr>
      </w:pPr>
      <w:bookmarkStart w:id="42" w:name="_Toc144049337"/>
      <w:bookmarkStart w:id="43" w:name="_Toc144715797"/>
      <w:r>
        <w:rPr>
          <w:noProof/>
        </w:rPr>
        <w:t>Recommendations</w:t>
      </w:r>
      <w:bookmarkEnd w:id="42"/>
      <w:bookmarkEnd w:id="43"/>
    </w:p>
    <w:p w14:paraId="1DE29A84" w14:textId="5A34DEA3" w:rsidR="00481F48" w:rsidRDefault="00481F48" w:rsidP="00444B77">
      <w:pPr>
        <w:pStyle w:val="ItadNormalText"/>
        <w:rPr>
          <w:shd w:val="clear" w:color="auto" w:fill="FFFFFF"/>
        </w:rPr>
      </w:pPr>
      <w:r w:rsidRPr="00200C19">
        <w:rPr>
          <w:shd w:val="clear" w:color="auto" w:fill="FFFFFF"/>
        </w:rPr>
        <w:t>The recommendations presented below follow the findings and conclusions of the evaluation team</w:t>
      </w:r>
      <w:r>
        <w:rPr>
          <w:rStyle w:val="EndnoteReference"/>
          <w:shd w:val="clear" w:color="auto" w:fill="FFFFFF"/>
        </w:rPr>
        <w:endnoteReference w:id="22"/>
      </w:r>
      <w:r>
        <w:rPr>
          <w:shd w:val="clear" w:color="auto" w:fill="FFFFFF"/>
        </w:rPr>
        <w:t>. M</w:t>
      </w:r>
      <w:r w:rsidRPr="00200C19">
        <w:rPr>
          <w:shd w:val="clear" w:color="auto" w:fill="FFFFFF"/>
        </w:rPr>
        <w:t xml:space="preserve">ore detailed recommendations on their operationalisation can be found in </w:t>
      </w:r>
      <w:r>
        <w:rPr>
          <w:shd w:val="clear" w:color="auto" w:fill="FFFFFF"/>
        </w:rPr>
        <w:t>the summative report</w:t>
      </w:r>
      <w:r>
        <w:rPr>
          <w:rStyle w:val="EndnoteReference"/>
          <w:shd w:val="clear" w:color="auto" w:fill="FFFFFF"/>
        </w:rPr>
        <w:endnoteReference w:id="23"/>
      </w:r>
      <w:r w:rsidRPr="00200C19">
        <w:rPr>
          <w:shd w:val="clear" w:color="auto" w:fill="FFFFFF"/>
        </w:rPr>
        <w:t xml:space="preserve">. They are of equal priority and should be implemented as a </w:t>
      </w:r>
      <w:r w:rsidRPr="00200C19">
        <w:t>package</w:t>
      </w:r>
      <w:r w:rsidRPr="00200C19">
        <w:rPr>
          <w:shd w:val="clear" w:color="auto" w:fill="FFFFFF"/>
        </w:rPr>
        <w:t xml:space="preserve"> for the best results.</w:t>
      </w:r>
    </w:p>
    <w:p w14:paraId="4809B9C9" w14:textId="76377CCA" w:rsidR="00481F48" w:rsidRPr="00BC7AD7" w:rsidRDefault="00481F48" w:rsidP="00444B77">
      <w:pPr>
        <w:pStyle w:val="ItadH3"/>
      </w:pPr>
      <w:bookmarkStart w:id="44" w:name="_Toc144715798"/>
      <w:r w:rsidRPr="00CF3D84">
        <w:t>Five recommendations</w:t>
      </w:r>
      <w:r>
        <w:t>:</w:t>
      </w:r>
      <w:bookmarkEnd w:id="44"/>
    </w:p>
    <w:tbl>
      <w:tblPr>
        <w:tblStyle w:val="TableGrid"/>
        <w:tblW w:w="0" w:type="auto"/>
        <w:tblBorders>
          <w:top w:val="none" w:sz="0" w:space="0" w:color="auto"/>
          <w:left w:val="none" w:sz="0" w:space="0" w:color="auto"/>
          <w:bottom w:val="none" w:sz="0" w:space="0" w:color="auto"/>
          <w:right w:val="none" w:sz="0" w:space="0" w:color="auto"/>
          <w:insideH w:val="single" w:sz="36" w:space="0" w:color="FFFFFF" w:themeColor="background1"/>
          <w:insideV w:val="single" w:sz="24" w:space="0" w:color="FFFFFF" w:themeColor="background1"/>
        </w:tblBorders>
        <w:tblLook w:val="04A0" w:firstRow="1" w:lastRow="0" w:firstColumn="1" w:lastColumn="0" w:noHBand="0" w:noVBand="1"/>
      </w:tblPr>
      <w:tblGrid>
        <w:gridCol w:w="8931"/>
      </w:tblGrid>
      <w:tr w:rsidR="00481F48" w14:paraId="209D0DE7" w14:textId="77777777" w:rsidTr="00CD23DA">
        <w:trPr>
          <w:trHeight w:val="1582"/>
        </w:trPr>
        <w:tc>
          <w:tcPr>
            <w:tcW w:w="8931" w:type="dxa"/>
            <w:shd w:val="clear" w:color="auto" w:fill="DCEAD6" w:themeFill="text2" w:themeFillTint="33"/>
            <w:vAlign w:val="center"/>
          </w:tcPr>
          <w:p w14:paraId="382939D9" w14:textId="665FBADE" w:rsidR="00481F48" w:rsidRPr="00C26878" w:rsidRDefault="00481F48" w:rsidP="00C26878">
            <w:pPr>
              <w:pStyle w:val="ListParagraph"/>
              <w:numPr>
                <w:ilvl w:val="0"/>
                <w:numId w:val="105"/>
              </w:numPr>
              <w:spacing w:after="120"/>
              <w:ind w:right="227"/>
              <w:textAlignment w:val="baseline"/>
              <w:rPr>
                <w:rFonts w:eastAsia="Times New Roman" w:cs="Calibri"/>
                <w:color w:val="3B3B3C"/>
                <w:lang w:eastAsia="en-GB"/>
              </w:rPr>
            </w:pPr>
            <w:r w:rsidRPr="00C26878">
              <w:rPr>
                <w:rFonts w:eastAsia="Times New Roman" w:cs="Calibri"/>
                <w:b/>
                <w:bCs/>
                <w:color w:val="3B3B3C"/>
                <w:lang w:eastAsia="en-GB"/>
              </w:rPr>
              <w:t xml:space="preserve">The DHSC and the MA should ensure that clear, ambitious, realistic goals for phase 2 are in place from the outset, with targets to track progress. These should be established at the country and portfolio levels, based on understanding the </w:t>
            </w:r>
            <w:proofErr w:type="gramStart"/>
            <w:r w:rsidRPr="00C26878">
              <w:rPr>
                <w:rFonts w:eastAsia="Times New Roman" w:cs="Calibri"/>
                <w:b/>
                <w:bCs/>
                <w:color w:val="3B3B3C"/>
                <w:lang w:eastAsia="en-GB"/>
              </w:rPr>
              <w:t>current status</w:t>
            </w:r>
            <w:proofErr w:type="gramEnd"/>
            <w:r w:rsidRPr="00C26878">
              <w:rPr>
                <w:rFonts w:eastAsia="Times New Roman" w:cs="Calibri"/>
                <w:b/>
                <w:bCs/>
                <w:color w:val="3B3B3C"/>
                <w:lang w:eastAsia="en-GB"/>
              </w:rPr>
              <w:t xml:space="preserve"> of AMR surveillance systems and their use, as developed during phase 1.</w:t>
            </w:r>
          </w:p>
        </w:tc>
      </w:tr>
      <w:tr w:rsidR="00481F48" w14:paraId="46D52157" w14:textId="77777777" w:rsidTr="00CD23DA">
        <w:trPr>
          <w:trHeight w:val="1742"/>
        </w:trPr>
        <w:tc>
          <w:tcPr>
            <w:tcW w:w="8931" w:type="dxa"/>
            <w:shd w:val="clear" w:color="auto" w:fill="F2F2F2" w:themeFill="background1" w:themeFillShade="F2"/>
            <w:vAlign w:val="center"/>
          </w:tcPr>
          <w:p w14:paraId="442B291D" w14:textId="7871EA86" w:rsidR="00481F48" w:rsidRPr="00C26878" w:rsidRDefault="00481F48" w:rsidP="00C26878">
            <w:pPr>
              <w:pStyle w:val="ListParagraph"/>
              <w:numPr>
                <w:ilvl w:val="0"/>
                <w:numId w:val="105"/>
              </w:numPr>
              <w:spacing w:after="120"/>
              <w:ind w:right="227"/>
              <w:textAlignment w:val="baseline"/>
              <w:rPr>
                <w:rFonts w:eastAsia="Times New Roman" w:cs="Calibri"/>
                <w:color w:val="3B3B3C"/>
                <w:lang w:eastAsia="en-GB"/>
              </w:rPr>
            </w:pPr>
            <w:r>
              <w:rPr>
                <w:rFonts w:eastAsia="Times New Roman" w:cs="Calibri"/>
                <w:b/>
                <w:bCs/>
                <w:color w:val="3B3B3C"/>
                <w:lang w:eastAsia="en-GB"/>
              </w:rPr>
              <w:t>T</w:t>
            </w:r>
            <w:r w:rsidRPr="00C26878">
              <w:rPr>
                <w:rFonts w:eastAsia="Times New Roman" w:cs="Calibri"/>
                <w:b/>
                <w:bCs/>
                <w:color w:val="3B3B3C"/>
                <w:lang w:eastAsia="en-GB"/>
              </w:rPr>
              <w:t xml:space="preserve">he DHSC and MA should ensure systems and processes for establishing expectations and tracking progress are proportionate, timely, and sufficiently flexible to deal with uncertainty and the need for strategic adaptation. These must strike the right balance between strategic reflection and </w:t>
            </w:r>
            <w:proofErr w:type="gramStart"/>
            <w:r w:rsidRPr="00C26878">
              <w:rPr>
                <w:rFonts w:eastAsia="Times New Roman" w:cs="Calibri"/>
                <w:b/>
                <w:bCs/>
                <w:color w:val="3B3B3C"/>
                <w:lang w:eastAsia="en-GB"/>
              </w:rPr>
              <w:t>accountability, and</w:t>
            </w:r>
            <w:proofErr w:type="gramEnd"/>
            <w:r w:rsidRPr="00C26878">
              <w:rPr>
                <w:rFonts w:eastAsia="Times New Roman" w:cs="Calibri"/>
                <w:b/>
                <w:bCs/>
                <w:color w:val="3B3B3C"/>
                <w:lang w:eastAsia="en-GB"/>
              </w:rPr>
              <w:t xml:space="preserve"> avoid focusing too heavily on tracking the implementation of inputs and activities.</w:t>
            </w:r>
          </w:p>
        </w:tc>
      </w:tr>
      <w:tr w:rsidR="00481F48" w14:paraId="609ACAB5" w14:textId="77777777" w:rsidTr="00CD23DA">
        <w:trPr>
          <w:trHeight w:val="619"/>
        </w:trPr>
        <w:tc>
          <w:tcPr>
            <w:tcW w:w="8931" w:type="dxa"/>
            <w:shd w:val="clear" w:color="auto" w:fill="DCEAD6" w:themeFill="text2" w:themeFillTint="33"/>
            <w:vAlign w:val="center"/>
          </w:tcPr>
          <w:p w14:paraId="796CDE58" w14:textId="79B5193D" w:rsidR="00481F48" w:rsidRPr="00C26878" w:rsidRDefault="00481F48" w:rsidP="00C26878">
            <w:pPr>
              <w:pStyle w:val="ListParagraph"/>
              <w:numPr>
                <w:ilvl w:val="0"/>
                <w:numId w:val="105"/>
              </w:numPr>
              <w:spacing w:after="120"/>
              <w:ind w:right="227"/>
              <w:rPr>
                <w:rFonts w:eastAsia="Times New Roman" w:cs="Calibri"/>
                <w:color w:val="3B3B3C"/>
                <w:lang w:eastAsia="en-GB"/>
              </w:rPr>
            </w:pPr>
            <w:r w:rsidRPr="00C26878">
              <w:rPr>
                <w:rFonts w:eastAsia="Calibri"/>
                <w:b/>
                <w:bCs/>
                <w:color w:val="3B3B3C"/>
              </w:rPr>
              <w:t xml:space="preserve">The process of establishing goals at the country level should be focused on understanding the priorities and needs of key decision-makers on AMR, recognising </w:t>
            </w:r>
            <w:r w:rsidRPr="00C26878">
              <w:rPr>
                <w:rFonts w:eastAsia="Calibri"/>
                <w:b/>
                <w:bCs/>
                <w:iCs/>
                <w:color w:val="3B3B3C"/>
              </w:rPr>
              <w:t>inter alia</w:t>
            </w:r>
            <w:r w:rsidRPr="00C26878">
              <w:rPr>
                <w:rFonts w:eastAsia="Calibri"/>
                <w:b/>
                <w:bCs/>
                <w:color w:val="3B3B3C"/>
              </w:rPr>
              <w:t xml:space="preserve"> that: (a) AMR action will take place through multiple policy processes and that differentiation between HH and AH is of fundamental importance; (b) that achieving higher-level goals requires action by other actors and therefore effective collaboration with key stakeholder groups.</w:t>
            </w:r>
          </w:p>
        </w:tc>
      </w:tr>
      <w:tr w:rsidR="00481F48" w14:paraId="3E49A7E4" w14:textId="77777777" w:rsidTr="00CD23DA">
        <w:trPr>
          <w:trHeight w:val="1501"/>
        </w:trPr>
        <w:tc>
          <w:tcPr>
            <w:tcW w:w="8931" w:type="dxa"/>
            <w:shd w:val="clear" w:color="auto" w:fill="F2F2F2" w:themeFill="background1" w:themeFillShade="F2"/>
            <w:vAlign w:val="center"/>
          </w:tcPr>
          <w:p w14:paraId="2D5F5B98" w14:textId="2A3400B3" w:rsidR="00481F48" w:rsidRPr="00C26878" w:rsidRDefault="00481F48" w:rsidP="00C26878">
            <w:pPr>
              <w:pStyle w:val="ListParagraph"/>
              <w:numPr>
                <w:ilvl w:val="0"/>
                <w:numId w:val="105"/>
              </w:numPr>
              <w:spacing w:after="120"/>
              <w:ind w:right="227"/>
              <w:textAlignment w:val="baseline"/>
              <w:rPr>
                <w:rFonts w:eastAsia="Times New Roman" w:cs="Calibri"/>
                <w:color w:val="3B3B3C"/>
                <w:lang w:eastAsia="en-GB"/>
              </w:rPr>
            </w:pPr>
            <w:r>
              <w:rPr>
                <w:rFonts w:eastAsia="Times New Roman" w:cs="Calibri"/>
                <w:b/>
                <w:bCs/>
                <w:color w:val="3B3B3C"/>
                <w:lang w:eastAsia="en-GB"/>
              </w:rPr>
              <w:t>T</w:t>
            </w:r>
            <w:r w:rsidRPr="00C26878">
              <w:rPr>
                <w:rFonts w:eastAsia="Times New Roman" w:cs="Calibri"/>
                <w:b/>
                <w:bCs/>
                <w:color w:val="3B3B3C"/>
                <w:lang w:eastAsia="en-GB"/>
              </w:rPr>
              <w:t>he Fleming Fund should make adaptations to, or emphasise specific aspects of, its technical approach for phase 2, that are supported by experience from phase 1. These should include focusing on AMU and other data sources, identifying informal approaches to One Health multisector collaboration, and maximising the prospects for sustaining laboratory functions.</w:t>
            </w:r>
          </w:p>
        </w:tc>
      </w:tr>
      <w:tr w:rsidR="00481F48" w14:paraId="56E0C591" w14:textId="77777777" w:rsidTr="00CD23DA">
        <w:trPr>
          <w:trHeight w:val="1525"/>
        </w:trPr>
        <w:tc>
          <w:tcPr>
            <w:tcW w:w="8931" w:type="dxa"/>
            <w:shd w:val="clear" w:color="auto" w:fill="DCEAD6" w:themeFill="text2" w:themeFillTint="33"/>
            <w:vAlign w:val="center"/>
          </w:tcPr>
          <w:p w14:paraId="2ABAAF38" w14:textId="0D70BD90" w:rsidR="00481F48" w:rsidRPr="00C26878" w:rsidRDefault="00481F48" w:rsidP="00C26878">
            <w:pPr>
              <w:pStyle w:val="ListParagraph"/>
              <w:numPr>
                <w:ilvl w:val="0"/>
                <w:numId w:val="105"/>
              </w:numPr>
              <w:tabs>
                <w:tab w:val="left" w:pos="1418"/>
              </w:tabs>
              <w:spacing w:before="120" w:after="120"/>
              <w:ind w:right="227"/>
              <w:textAlignment w:val="baseline"/>
              <w:rPr>
                <w:rFonts w:eastAsia="Times New Roman" w:cs="Calibri"/>
                <w:color w:val="3B3B3C"/>
                <w:lang w:eastAsia="en-GB"/>
              </w:rPr>
            </w:pPr>
            <w:r w:rsidRPr="00C26878">
              <w:rPr>
                <w:rFonts w:eastAsia="Times New Roman" w:cs="Calibri"/>
                <w:b/>
                <w:bCs/>
                <w:color w:val="3B3B3C"/>
                <w:lang w:eastAsia="en-GB"/>
              </w:rPr>
              <w:t>The Fleming Fund should place greater emphasis on internal and external coherence and coordination from the outset of phase 2, including strengthening AMRCCs and NAPs to play this role and their linkages to institutional homes.</w:t>
            </w:r>
          </w:p>
        </w:tc>
      </w:tr>
    </w:tbl>
    <w:p w14:paraId="3BB6C8EA" w14:textId="0C8CAE03" w:rsidR="00481F48" w:rsidRPr="007E5774" w:rsidRDefault="00481F48" w:rsidP="003F3DC7">
      <w:pPr>
        <w:pStyle w:val="ItadH1Numbered"/>
        <w:rPr>
          <w:noProof/>
          <w:lang w:eastAsia="en-GB"/>
        </w:rPr>
      </w:pPr>
      <w:bookmarkStart w:id="45" w:name="_Toc144049339"/>
      <w:bookmarkStart w:id="46" w:name="_Toc144715799"/>
      <w:bookmarkStart w:id="47" w:name="_Hlk136433409"/>
      <w:r>
        <w:rPr>
          <w:noProof/>
          <w:lang w:eastAsia="en-GB"/>
        </w:rPr>
        <w:lastRenderedPageBreak/>
        <w:t>About the e</w:t>
      </w:r>
      <w:r w:rsidRPr="009B265B">
        <w:rPr>
          <w:noProof/>
          <w:lang w:eastAsia="en-GB"/>
        </w:rPr>
        <w:t>valuation scope and methodology</w:t>
      </w:r>
      <w:bookmarkEnd w:id="45"/>
      <w:bookmarkEnd w:id="46"/>
    </w:p>
    <w:p w14:paraId="6E468941" w14:textId="486B57B8" w:rsidR="00481F48" w:rsidRDefault="00481F48" w:rsidP="00CB229B">
      <w:pPr>
        <w:pStyle w:val="ItadNormalText"/>
      </w:pPr>
      <w:r>
        <w:t xml:space="preserve">As noted above, the </w:t>
      </w:r>
      <w:r w:rsidRPr="007E5774">
        <w:t>DHSC commissioned Itad in 2016 to provide an independent evaluation function for the Fleming Fund grants programme</w:t>
      </w:r>
      <w:r>
        <w:t xml:space="preserve"> – </w:t>
      </w:r>
      <w:r w:rsidRPr="007E5774">
        <w:t>focusing on workstream</w:t>
      </w:r>
      <w:r>
        <w:t>s</w:t>
      </w:r>
      <w:r w:rsidRPr="007E5774">
        <w:t xml:space="preserve"> 3 </w:t>
      </w:r>
      <w:r>
        <w:t xml:space="preserve">(portfolio of One Health country and regional projects) </w:t>
      </w:r>
      <w:r w:rsidRPr="007E5774">
        <w:t>and 4</w:t>
      </w:r>
      <w:r>
        <w:t xml:space="preserve"> (Fleming Fellows)</w:t>
      </w:r>
      <w:r w:rsidRPr="007E5774">
        <w:t>.</w:t>
      </w:r>
      <w:r>
        <w:rPr>
          <w:rStyle w:val="EndnoteReference"/>
        </w:rPr>
        <w:endnoteReference w:id="24"/>
      </w:r>
      <w:r w:rsidRPr="007E5774">
        <w:t xml:space="preserve"> </w:t>
      </w:r>
      <w:r>
        <w:t>The evaluation has been undertaken by a multidisciplinary team</w:t>
      </w:r>
      <w:r>
        <w:rPr>
          <w:rStyle w:val="EndnoteReference"/>
        </w:rPr>
        <w:endnoteReference w:id="25"/>
      </w:r>
      <w:r>
        <w:t xml:space="preserve">. </w:t>
      </w:r>
      <w:r w:rsidRPr="007E5774">
        <w:t xml:space="preserve">As agreed, we have not evaluated the performance </w:t>
      </w:r>
      <w:r>
        <w:t>of</w:t>
      </w:r>
      <w:r w:rsidRPr="007E5774">
        <w:t xml:space="preserve"> individual grants within these two workstreams. Rather, the focus of the evaluation has been on how far the outputs of the grants developed and managed through the MA have, or are likely</w:t>
      </w:r>
      <w:r>
        <w:t xml:space="preserve"> to have</w:t>
      </w:r>
      <w:r w:rsidRPr="007E5774">
        <w:t>, contribute</w:t>
      </w:r>
      <w:r>
        <w:t>d</w:t>
      </w:r>
      <w:r w:rsidRPr="007E5774">
        <w:t xml:space="preserve"> to the outcomes and impact identified by</w:t>
      </w:r>
      <w:r>
        <w:t xml:space="preserve"> the</w:t>
      </w:r>
      <w:r w:rsidRPr="007E5774">
        <w:t xml:space="preserve"> DHSC.</w:t>
      </w:r>
    </w:p>
    <w:p w14:paraId="230C710F" w14:textId="1CD6931B" w:rsidR="00481F48" w:rsidRPr="007E5774" w:rsidRDefault="00481F48" w:rsidP="00CB229B">
      <w:pPr>
        <w:pStyle w:val="ItadNormalText"/>
      </w:pPr>
      <w:bookmarkStart w:id="48" w:name="_Hlk136433438"/>
      <w:bookmarkEnd w:id="47"/>
      <w:r w:rsidRPr="007E5774">
        <w:t xml:space="preserve">Previous evaluation outputs were focused on </w:t>
      </w:r>
      <w:r>
        <w:t xml:space="preserve">and timed to ensure the utility of evaluation processes, e.g., through </w:t>
      </w:r>
      <w:r w:rsidRPr="007E5774">
        <w:t xml:space="preserve">supporting adaptation </w:t>
      </w:r>
      <w:r>
        <w:t xml:space="preserve">by </w:t>
      </w:r>
      <w:r w:rsidRPr="007E5774">
        <w:t xml:space="preserve">the Fleming Fund based on emerging evidence from </w:t>
      </w:r>
      <w:r w:rsidRPr="00E255FB">
        <w:t>implementation</w:t>
      </w:r>
      <w:r>
        <w:rPr>
          <w:rStyle w:val="EndnoteReference"/>
        </w:rPr>
        <w:endnoteReference w:id="26"/>
      </w:r>
      <w:r>
        <w:t>.</w:t>
      </w:r>
      <w:r w:rsidRPr="00E255FB">
        <w:t xml:space="preserve"> The</w:t>
      </w:r>
      <w:r>
        <w:t xml:space="preserve"> purpose of this report is to provide </w:t>
      </w:r>
      <w:r w:rsidRPr="007E5774">
        <w:t xml:space="preserve">an </w:t>
      </w:r>
      <w:r w:rsidRPr="00FB6EBF">
        <w:t xml:space="preserve">independent summative judgement of </w:t>
      </w:r>
      <w:r w:rsidRPr="00FB6EBF" w:rsidDel="00052E3D">
        <w:t xml:space="preserve">the </w:t>
      </w:r>
      <w:r w:rsidRPr="00FB6EBF">
        <w:t>Fleming Fund’s results for accountability purposes using six EQs</w:t>
      </w:r>
      <w:r w:rsidRPr="00FB6EBF">
        <w:rPr>
          <w:vertAlign w:val="superscript"/>
        </w:rPr>
        <w:endnoteReference w:id="27"/>
      </w:r>
      <w:r w:rsidRPr="00FB6EBF">
        <w:t xml:space="preserve"> that reflect</w:t>
      </w:r>
      <w:r w:rsidRPr="007E5774">
        <w:t xml:space="preserve"> DHSC</w:t>
      </w:r>
      <w:r>
        <w:t>’</w:t>
      </w:r>
      <w:r w:rsidRPr="007E5774">
        <w:t xml:space="preserve">s priorities. Our focus is on </w:t>
      </w:r>
      <w:r>
        <w:t xml:space="preserve">the </w:t>
      </w:r>
      <w:r w:rsidRPr="007E5774">
        <w:t>country- as opposed to regional</w:t>
      </w:r>
      <w:r>
        <w:t>-</w:t>
      </w:r>
      <w:r w:rsidRPr="007E5774">
        <w:t xml:space="preserve"> or global-level results across </w:t>
      </w:r>
      <w:r>
        <w:t xml:space="preserve">the </w:t>
      </w:r>
      <w:r w:rsidRPr="007E5774">
        <w:t xml:space="preserve">human, </w:t>
      </w:r>
      <w:r w:rsidRPr="007E5774" w:rsidDel="00585E7D">
        <w:t>animal</w:t>
      </w:r>
      <w:r w:rsidRPr="007E5774">
        <w:t>, and environment sectors.</w:t>
      </w:r>
      <w:r>
        <w:t xml:space="preserve"> Our primary target audience is senior management within DHSC and His Majesty’s Treasury (HMT), as well as the MA and other donors and DPs.</w:t>
      </w:r>
    </w:p>
    <w:p w14:paraId="2F5A1C66" w14:textId="504E7607" w:rsidR="00481F48" w:rsidRPr="007E5774" w:rsidRDefault="00481F48" w:rsidP="00CB229B">
      <w:pPr>
        <w:pStyle w:val="ItadNormalText"/>
      </w:pPr>
      <w:r w:rsidRPr="007E5774">
        <w:t xml:space="preserve">The timing of the evaluation </w:t>
      </w:r>
      <w:r w:rsidRPr="007E5774" w:rsidDel="00585E7D">
        <w:t>was set</w:t>
      </w:r>
      <w:r w:rsidRPr="007E5774">
        <w:t xml:space="preserve"> at the request of </w:t>
      </w:r>
      <w:r>
        <w:t xml:space="preserve">the </w:t>
      </w:r>
      <w:r w:rsidRPr="007E5774">
        <w:t xml:space="preserve">DHSC, to </w:t>
      </w:r>
      <w:r>
        <w:t xml:space="preserve">maximise utility through </w:t>
      </w:r>
      <w:r w:rsidRPr="007E5774">
        <w:t>feed</w:t>
      </w:r>
      <w:r>
        <w:t>ing</w:t>
      </w:r>
      <w:r w:rsidRPr="007E5774">
        <w:t xml:space="preserve"> into detailed planning of the second phase of the Fleming Fund, starting in April 2023. One consequence </w:t>
      </w:r>
      <w:r w:rsidRPr="00953C34">
        <w:rPr>
          <w:rStyle w:val="cf01"/>
          <w:rFonts w:asciiTheme="minorHAnsi" w:hAnsiTheme="minorHAnsi" w:cstheme="minorHAnsi"/>
          <w:sz w:val="22"/>
          <w:szCs w:val="22"/>
        </w:rPr>
        <w:t xml:space="preserve">was having a July 2022 data collection cut-off point, which </w:t>
      </w:r>
      <w:r>
        <w:rPr>
          <w:rStyle w:val="cf01"/>
          <w:rFonts w:asciiTheme="minorHAnsi" w:hAnsiTheme="minorHAnsi" w:cstheme="minorHAnsi"/>
          <w:sz w:val="22"/>
          <w:szCs w:val="22"/>
        </w:rPr>
        <w:t>wa</w:t>
      </w:r>
      <w:r w:rsidRPr="00953C34">
        <w:rPr>
          <w:rStyle w:val="cf01"/>
          <w:rFonts w:asciiTheme="minorHAnsi" w:hAnsiTheme="minorHAnsi" w:cstheme="minorHAnsi"/>
          <w:sz w:val="22"/>
          <w:szCs w:val="22"/>
        </w:rPr>
        <w:t xml:space="preserve">s nine months before </w:t>
      </w:r>
      <w:r>
        <w:rPr>
          <w:rStyle w:val="cf01"/>
          <w:rFonts w:asciiTheme="minorHAnsi" w:hAnsiTheme="minorHAnsi" w:cstheme="minorHAnsi"/>
          <w:sz w:val="22"/>
          <w:szCs w:val="22"/>
        </w:rPr>
        <w:t xml:space="preserve">the end of </w:t>
      </w:r>
      <w:r w:rsidRPr="00953C34">
        <w:rPr>
          <w:rStyle w:val="cf01"/>
          <w:rFonts w:asciiTheme="minorHAnsi" w:hAnsiTheme="minorHAnsi" w:cstheme="minorHAnsi"/>
          <w:sz w:val="22"/>
          <w:szCs w:val="22"/>
        </w:rPr>
        <w:t xml:space="preserve">phase 1 </w:t>
      </w:r>
      <w:r>
        <w:rPr>
          <w:rStyle w:val="cf01"/>
          <w:rFonts w:asciiTheme="minorHAnsi" w:hAnsiTheme="minorHAnsi" w:cstheme="minorHAnsi"/>
          <w:sz w:val="22"/>
          <w:szCs w:val="22"/>
        </w:rPr>
        <w:t>implementation</w:t>
      </w:r>
      <w:r w:rsidRPr="007E5774">
        <w:t xml:space="preserve">. </w:t>
      </w:r>
      <w:r w:rsidRPr="00953C34">
        <w:rPr>
          <w:rStyle w:val="cf01"/>
          <w:rFonts w:asciiTheme="minorHAnsi" w:hAnsiTheme="minorHAnsi" w:cstheme="minorHAnsi"/>
          <w:sz w:val="22"/>
          <w:szCs w:val="22"/>
        </w:rPr>
        <w:t>We recognise that further implementation and progress, not reflected in this report but in the MA</w:t>
      </w:r>
      <w:r>
        <w:rPr>
          <w:rStyle w:val="cf01"/>
          <w:rFonts w:asciiTheme="minorHAnsi" w:hAnsiTheme="minorHAnsi" w:cstheme="minorHAnsi"/>
          <w:sz w:val="22"/>
          <w:szCs w:val="22"/>
        </w:rPr>
        <w:t>’</w:t>
      </w:r>
      <w:r w:rsidRPr="00953C34">
        <w:rPr>
          <w:rStyle w:val="cf01"/>
          <w:rFonts w:asciiTheme="minorHAnsi" w:hAnsiTheme="minorHAnsi" w:cstheme="minorHAnsi"/>
          <w:sz w:val="22"/>
          <w:szCs w:val="22"/>
        </w:rPr>
        <w:t>s reporting, is likely to have occurred</w:t>
      </w:r>
      <w:r w:rsidRPr="00953C34" w:rsidDel="00953C34">
        <w:rPr>
          <w:rFonts w:asciiTheme="minorHAnsi" w:hAnsiTheme="minorHAnsi" w:cstheme="minorHAnsi"/>
        </w:rPr>
        <w:t xml:space="preserve"> </w:t>
      </w:r>
      <w:r>
        <w:t>following the completion of</w:t>
      </w:r>
      <w:r w:rsidRPr="007E5774">
        <w:t xml:space="preserve"> our data collection.</w:t>
      </w:r>
    </w:p>
    <w:bookmarkEnd w:id="48"/>
    <w:p w14:paraId="7FF33EF0" w14:textId="6A9F4FCB" w:rsidR="001D260D" w:rsidRPr="00BD77FE" w:rsidRDefault="00481F48" w:rsidP="00FB6EBF">
      <w:pPr>
        <w:pStyle w:val="ItadNormalText"/>
      </w:pPr>
      <w:r w:rsidRPr="007E5774">
        <w:t xml:space="preserve">To address the EQs we have collected data in 16 case study countries, resulting in </w:t>
      </w:r>
      <w:r>
        <w:t xml:space="preserve">the </w:t>
      </w:r>
      <w:r w:rsidRPr="007E5774">
        <w:t>review of more than 1</w:t>
      </w:r>
      <w:r>
        <w:t>,</w:t>
      </w:r>
      <w:r w:rsidRPr="007E5774">
        <w:t xml:space="preserve">900 documents and </w:t>
      </w:r>
      <w:r>
        <w:t xml:space="preserve">the </w:t>
      </w:r>
      <w:r w:rsidRPr="007E5774">
        <w:t xml:space="preserve">completion of more than 400 KIIs over the period September 2021 to July 2022. </w:t>
      </w:r>
      <w:r>
        <w:t>Grants included in our assessment as operating in our 16 sample countries are listed in the summative report</w:t>
      </w:r>
      <w:r>
        <w:rPr>
          <w:rStyle w:val="EndnoteReference"/>
        </w:rPr>
        <w:endnoteReference w:id="28"/>
      </w:r>
      <w:r>
        <w:t>.</w:t>
      </w:r>
      <w:bookmarkStart w:id="49" w:name="_Hlk136433535"/>
      <w:r w:rsidR="00B32A79">
        <w:t xml:space="preserve"> </w:t>
      </w:r>
      <w:r w:rsidR="00CB229B" w:rsidRPr="007E5774">
        <w:t>We do not believe that evidence from the remaining seven countries would significantly alter our conclusions and recommendations. A range of analytical methods including contribution analysis, benchmarking against broader evidence and experience</w:t>
      </w:r>
      <w:r w:rsidR="00CB229B">
        <w:t>,</w:t>
      </w:r>
      <w:r w:rsidR="00CB229B" w:rsidRPr="007E5774">
        <w:t xml:space="preserve"> and triangulation </w:t>
      </w:r>
      <w:r w:rsidR="00FB6EBF">
        <w:t>was</w:t>
      </w:r>
      <w:r w:rsidR="00CB229B" w:rsidRPr="007E5774">
        <w:t xml:space="preserve"> used in analysing the evidence and developing our conclusions</w:t>
      </w:r>
      <w:bookmarkEnd w:id="0"/>
      <w:bookmarkEnd w:id="49"/>
      <w:r w:rsidR="00FB6EBF">
        <w:t>.</w:t>
      </w:r>
      <w:bookmarkEnd w:id="1"/>
    </w:p>
    <w:sectPr w:rsidR="001D260D" w:rsidRPr="00BD77FE" w:rsidSect="00B569F5">
      <w:headerReference w:type="first" r:id="rId11"/>
      <w:footerReference w:type="first" r:id="rId12"/>
      <w:pgSz w:w="11900" w:h="16840"/>
      <w:pgMar w:top="1134" w:right="1410" w:bottom="1134" w:left="1191" w:header="720" w:footer="258"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49C7D1" w14:textId="77777777" w:rsidR="00B569F5" w:rsidRDefault="00B569F5" w:rsidP="00967499">
      <w:r>
        <w:separator/>
      </w:r>
    </w:p>
    <w:p w14:paraId="4383897F" w14:textId="77777777" w:rsidR="00B569F5" w:rsidRDefault="00B569F5"/>
    <w:p w14:paraId="283EAE8C" w14:textId="77777777" w:rsidR="00B569F5" w:rsidRDefault="00B569F5"/>
  </w:endnote>
  <w:endnote w:type="continuationSeparator" w:id="0">
    <w:p w14:paraId="289A001F" w14:textId="77777777" w:rsidR="00B569F5" w:rsidRDefault="00B569F5" w:rsidP="00967499">
      <w:r>
        <w:continuationSeparator/>
      </w:r>
    </w:p>
    <w:p w14:paraId="370372F7" w14:textId="77777777" w:rsidR="00B569F5" w:rsidRDefault="00B569F5"/>
    <w:p w14:paraId="1A5E2F12" w14:textId="77777777" w:rsidR="00B569F5" w:rsidRDefault="00B569F5"/>
  </w:endnote>
  <w:endnote w:type="continuationNotice" w:id="1">
    <w:p w14:paraId="08AE4643" w14:textId="77777777" w:rsidR="00B569F5" w:rsidRDefault="00B569F5"/>
  </w:endnote>
  <w:endnote w:id="2">
    <w:p w14:paraId="52E24A2A" w14:textId="105ED20C" w:rsidR="00481F48" w:rsidRPr="003F3DC7" w:rsidRDefault="00481F48">
      <w:pPr>
        <w:pStyle w:val="EndnoteText"/>
      </w:pPr>
      <w:r w:rsidRPr="003F3DC7">
        <w:rPr>
          <w:rStyle w:val="EndnoteReference"/>
        </w:rPr>
        <w:endnoteRef/>
      </w:r>
      <w:r w:rsidRPr="003F3DC7">
        <w:t xml:space="preserve"> </w:t>
      </w:r>
      <w:hyperlink r:id="rId1" w:history="1">
        <w:r w:rsidRPr="003F3DC7">
          <w:rPr>
            <w:rStyle w:val="Hyperlink"/>
          </w:rPr>
          <w:t>Link to O'Neill, J. (2016). Tackling drug-resistant infections globally: final report and recommendations [PDF].</w:t>
        </w:r>
      </w:hyperlink>
    </w:p>
  </w:endnote>
  <w:endnote w:id="3">
    <w:p w14:paraId="459E295B" w14:textId="7C3E2B1F" w:rsidR="00481F48" w:rsidRPr="003F3DC7" w:rsidRDefault="00481F48" w:rsidP="00504E64">
      <w:pPr>
        <w:pStyle w:val="Itadfootnotestyle"/>
        <w:ind w:right="-478"/>
        <w:rPr>
          <w:sz w:val="20"/>
          <w:szCs w:val="20"/>
        </w:rPr>
      </w:pPr>
      <w:r w:rsidRPr="003F3DC7">
        <w:rPr>
          <w:rStyle w:val="Error-Funotenzeichen61"/>
        </w:rPr>
        <w:endnoteRef/>
      </w:r>
      <w:r w:rsidRPr="003F3DC7">
        <w:rPr>
          <w:sz w:val="20"/>
          <w:szCs w:val="20"/>
        </w:rPr>
        <w:t xml:space="preserve"> One Health is a multiple disciplinary effort to attain optimal health for people, animals and the environment. </w:t>
      </w:r>
      <w:hyperlink r:id="rId2" w:history="1">
        <w:r w:rsidRPr="003F3DC7">
          <w:rPr>
            <w:rStyle w:val="Hyperlink"/>
            <w:sz w:val="20"/>
            <w:szCs w:val="20"/>
          </w:rPr>
          <w:t>Link to the American Veterinary Medical Association webpage on One Health</w:t>
        </w:r>
      </w:hyperlink>
      <w:r w:rsidRPr="003F3DC7">
        <w:rPr>
          <w:sz w:val="20"/>
          <w:szCs w:val="20"/>
        </w:rPr>
        <w:t>.</w:t>
      </w:r>
      <w:r w:rsidRPr="003F3DC7" w:rsidDel="007D2E99">
        <w:rPr>
          <w:color w:val="333333"/>
          <w:sz w:val="20"/>
          <w:szCs w:val="20"/>
        </w:rPr>
        <w:t xml:space="preserve"> </w:t>
      </w:r>
    </w:p>
  </w:endnote>
  <w:endnote w:id="4">
    <w:p w14:paraId="6AFC1CC7" w14:textId="31D82294" w:rsidR="00481F48" w:rsidRPr="003F3DC7" w:rsidRDefault="00481F48">
      <w:pPr>
        <w:pStyle w:val="EndnoteText"/>
      </w:pPr>
      <w:r w:rsidRPr="003F3DC7">
        <w:rPr>
          <w:rStyle w:val="EndnoteReference"/>
        </w:rPr>
        <w:endnoteRef/>
      </w:r>
      <w:r w:rsidRPr="003F3DC7">
        <w:t xml:space="preserve"> </w:t>
      </w:r>
      <w:hyperlink r:id="rId3" w:history="1">
        <w:r w:rsidRPr="003F3DC7">
          <w:rPr>
            <w:rStyle w:val="Hyperlink"/>
          </w:rPr>
          <w:t>Link to the Knowledge and Resources section of the Fleming Fund website</w:t>
        </w:r>
      </w:hyperlink>
      <w:r w:rsidRPr="003F3DC7">
        <w:t xml:space="preserve"> where the summative report (volumes 1 and 2) can be accessed. </w:t>
      </w:r>
    </w:p>
  </w:endnote>
  <w:endnote w:id="5">
    <w:p w14:paraId="27972499" w14:textId="1C37F722" w:rsidR="00481F48" w:rsidRPr="003F3DC7" w:rsidRDefault="00481F48">
      <w:pPr>
        <w:pStyle w:val="EndnoteText"/>
      </w:pPr>
      <w:r w:rsidRPr="003F3DC7">
        <w:rPr>
          <w:rStyle w:val="EndnoteReference"/>
        </w:rPr>
        <w:endnoteRef/>
      </w:r>
      <w:r w:rsidRPr="003F3DC7">
        <w:t xml:space="preserve"> Surveillance protocol and platform; Grants to multilaterals WHO, FAO, OIE; Portfolio of One Health country and regional projects; Fleming Fellows. </w:t>
      </w:r>
      <w:hyperlink r:id="rId4" w:history="1">
        <w:r w:rsidRPr="003F3DC7">
          <w:rPr>
            <w:rStyle w:val="Hyperlink"/>
          </w:rPr>
          <w:t>Link to the Programme Design section of the Fleming Fund website</w:t>
        </w:r>
      </w:hyperlink>
      <w:r w:rsidRPr="003F3DC7">
        <w:t>.</w:t>
      </w:r>
    </w:p>
  </w:endnote>
  <w:endnote w:id="6">
    <w:p w14:paraId="05F33FAA" w14:textId="5189E078" w:rsidR="00481F48" w:rsidRPr="003F3DC7" w:rsidRDefault="00481F48">
      <w:pPr>
        <w:pStyle w:val="EndnoteText"/>
      </w:pPr>
      <w:r w:rsidRPr="003F3DC7">
        <w:rPr>
          <w:rStyle w:val="EndnoteReference"/>
        </w:rPr>
        <w:endnoteRef/>
      </w:r>
      <w:r w:rsidRPr="003F3DC7">
        <w:t xml:space="preserve"> The Fleming Fund started in 23 countries, but subsequently pulled out of Sri Lanka and Myanmar.</w:t>
      </w:r>
    </w:p>
  </w:endnote>
  <w:endnote w:id="7">
    <w:p w14:paraId="7025A0C4" w14:textId="15E022E8" w:rsidR="00481F48" w:rsidRPr="003F3DC7" w:rsidRDefault="00481F48">
      <w:pPr>
        <w:pStyle w:val="EndnoteText"/>
      </w:pPr>
      <w:r w:rsidRPr="003F3DC7">
        <w:rPr>
          <w:rStyle w:val="EndnoteReference"/>
        </w:rPr>
        <w:endnoteRef/>
      </w:r>
      <w:r w:rsidRPr="003F3DC7">
        <w:t xml:space="preserve"> E.g. data on AMC/U also increased in some countries.</w:t>
      </w:r>
    </w:p>
  </w:endnote>
  <w:endnote w:id="8">
    <w:p w14:paraId="39872BC7" w14:textId="79B06D0D" w:rsidR="00481F48" w:rsidRPr="003F3DC7" w:rsidRDefault="00481F48">
      <w:pPr>
        <w:pStyle w:val="EndnoteText"/>
      </w:pPr>
      <w:r w:rsidRPr="003F3DC7">
        <w:rPr>
          <w:rStyle w:val="EndnoteReference"/>
        </w:rPr>
        <w:endnoteRef/>
      </w:r>
      <w:r w:rsidRPr="003F3DC7">
        <w:t xml:space="preserve"> Contribution to drivers was rated against the following scale: vital / important / some / limited / none / negative. Annex 3 section 1.3.1 of the summative report has more details on the methodology applied and Annex 22 includes a visual summary of the results. </w:t>
      </w:r>
    </w:p>
  </w:endnote>
  <w:endnote w:id="9">
    <w:p w14:paraId="6530F72B" w14:textId="77777777" w:rsidR="00481F48" w:rsidRPr="003F3DC7" w:rsidRDefault="00481F48" w:rsidP="00853D7E">
      <w:pPr>
        <w:pStyle w:val="Itadfootnotestyle"/>
        <w:rPr>
          <w:sz w:val="20"/>
          <w:szCs w:val="20"/>
        </w:rPr>
      </w:pPr>
      <w:r w:rsidRPr="003F3DC7">
        <w:rPr>
          <w:rStyle w:val="EndnoteReference"/>
          <w:sz w:val="20"/>
          <w:szCs w:val="20"/>
        </w:rPr>
        <w:endnoteRef/>
      </w:r>
      <w:r w:rsidRPr="003F3DC7">
        <w:rPr>
          <w:sz w:val="20"/>
          <w:szCs w:val="20"/>
        </w:rPr>
        <w:t xml:space="preserve"> This assessment differs from MA reporting on data sharing because it is undertaken on a different basis.</w:t>
      </w:r>
    </w:p>
  </w:endnote>
  <w:endnote w:id="10">
    <w:p w14:paraId="2366CD75" w14:textId="26B3FD97" w:rsidR="00481F48" w:rsidRPr="003F3DC7" w:rsidRDefault="00481F48" w:rsidP="00272EE9">
      <w:pPr>
        <w:pStyle w:val="Itadfootnotestyle"/>
        <w:rPr>
          <w:sz w:val="20"/>
          <w:szCs w:val="20"/>
        </w:rPr>
      </w:pPr>
      <w:r w:rsidRPr="003F3DC7">
        <w:rPr>
          <w:rStyle w:val="EndnoteReference"/>
          <w:sz w:val="20"/>
          <w:szCs w:val="20"/>
        </w:rPr>
        <w:endnoteRef/>
      </w:r>
      <w:r w:rsidRPr="003F3DC7">
        <w:rPr>
          <w:sz w:val="20"/>
          <w:szCs w:val="20"/>
        </w:rPr>
        <w:t xml:space="preserve"> As discussed in section 3.1.1. of the summative report.</w:t>
      </w:r>
    </w:p>
  </w:endnote>
  <w:endnote w:id="11">
    <w:p w14:paraId="0262E782" w14:textId="7E8957B4" w:rsidR="00481F48" w:rsidRPr="003F3DC7" w:rsidRDefault="00481F48" w:rsidP="00444B77">
      <w:pPr>
        <w:pStyle w:val="Itadfootnotestyle"/>
        <w:rPr>
          <w:sz w:val="20"/>
          <w:szCs w:val="20"/>
        </w:rPr>
      </w:pPr>
      <w:r w:rsidRPr="003F3DC7">
        <w:rPr>
          <w:rStyle w:val="EndnoteReference"/>
          <w:sz w:val="20"/>
          <w:szCs w:val="20"/>
        </w:rPr>
        <w:endnoteRef/>
      </w:r>
      <w:r w:rsidRPr="003F3DC7">
        <w:rPr>
          <w:sz w:val="20"/>
          <w:szCs w:val="20"/>
        </w:rPr>
        <w:t xml:space="preserve"> Kurowski, Christoph; Evans, David B; Tandon, Ajay; Eozenou, Patrick Hoang-Vu; Schmidt, Martin; Irwin, Alec; Salcedo Cain, Jewelwayne; Pambudi, Eko Setyo; Postolovska, Iryna. 2021. From Double Shock to Double Recovery: Implications and Options for Health Financing in the Time of COVID-19. Health, Nutrition and Population Discussion Paper; © World Bank, Washington, DC. </w:t>
      </w:r>
      <w:hyperlink r:id="rId5" w:history="1">
        <w:r w:rsidRPr="003F3DC7">
          <w:rPr>
            <w:rStyle w:val="Hyperlink"/>
            <w:sz w:val="20"/>
            <w:szCs w:val="20"/>
          </w:rPr>
          <w:t>Link to access the publication</w:t>
        </w:r>
      </w:hyperlink>
      <w:r w:rsidRPr="003F3DC7">
        <w:rPr>
          <w:sz w:val="20"/>
          <w:szCs w:val="20"/>
        </w:rPr>
        <w:t>.</w:t>
      </w:r>
    </w:p>
  </w:endnote>
  <w:endnote w:id="12">
    <w:p w14:paraId="40B81929" w14:textId="07C67F9A" w:rsidR="00481F48" w:rsidRPr="003F3DC7" w:rsidRDefault="00481F48">
      <w:pPr>
        <w:pStyle w:val="EndnoteText"/>
      </w:pPr>
      <w:r w:rsidRPr="003F3DC7">
        <w:rPr>
          <w:rStyle w:val="EndnoteReference"/>
        </w:rPr>
        <w:endnoteRef/>
      </w:r>
      <w:r w:rsidRPr="003F3DC7">
        <w:t xml:space="preserve"> See section 2.3 of the summative report.</w:t>
      </w:r>
    </w:p>
  </w:endnote>
  <w:endnote w:id="13">
    <w:p w14:paraId="1EAE7D0E" w14:textId="4E93E7EA" w:rsidR="00481F48" w:rsidRPr="003F3DC7" w:rsidRDefault="00481F48">
      <w:pPr>
        <w:pStyle w:val="EndnoteText"/>
      </w:pPr>
      <w:r w:rsidRPr="003F3DC7">
        <w:rPr>
          <w:rStyle w:val="EndnoteReference"/>
        </w:rPr>
        <w:endnoteRef/>
      </w:r>
      <w:r w:rsidRPr="003F3DC7">
        <w:t xml:space="preserve"> Similar to that outlined in section 2.2 of the summative report.</w:t>
      </w:r>
    </w:p>
  </w:endnote>
  <w:endnote w:id="14">
    <w:p w14:paraId="2C65BAE7" w14:textId="74DAD89F" w:rsidR="00481F48" w:rsidRPr="003F3DC7" w:rsidRDefault="00481F48">
      <w:pPr>
        <w:pStyle w:val="EndnoteText"/>
      </w:pPr>
      <w:r w:rsidRPr="003F3DC7">
        <w:rPr>
          <w:rStyle w:val="EndnoteReference"/>
        </w:rPr>
        <w:endnoteRef/>
      </w:r>
      <w:r w:rsidRPr="003F3DC7">
        <w:t xml:space="preserve"> See Annex 15, Table 47 of the summative report.</w:t>
      </w:r>
    </w:p>
  </w:endnote>
  <w:endnote w:id="15">
    <w:p w14:paraId="27580C97" w14:textId="64C1B3CE" w:rsidR="00481F48" w:rsidRPr="003F3DC7" w:rsidRDefault="00481F48" w:rsidP="00444B77">
      <w:pPr>
        <w:pStyle w:val="EndnoteText"/>
      </w:pPr>
      <w:r w:rsidRPr="003F3DC7">
        <w:rPr>
          <w:rStyle w:val="EndnoteReference"/>
        </w:rPr>
        <w:endnoteRef/>
      </w:r>
      <w:r w:rsidRPr="003F3DC7">
        <w:t xml:space="preserve"> We note the Tricycle protocol could potentially play a role in providing a tried and tested model; however, it was published in 2021, so not available for Fleming Fund use for the majority of phase 1.</w:t>
      </w:r>
      <w:hyperlink r:id="rId6" w:history="1">
        <w:r w:rsidRPr="003F3DC7">
          <w:rPr>
            <w:rStyle w:val="Hyperlink"/>
          </w:rPr>
          <w:t>Link to the Tricycle protocol</w:t>
        </w:r>
      </w:hyperlink>
      <w:r w:rsidRPr="003F3DC7">
        <w:t xml:space="preserve"> </w:t>
      </w:r>
    </w:p>
  </w:endnote>
  <w:endnote w:id="16">
    <w:p w14:paraId="77E7D6B2" w14:textId="4D3579B5" w:rsidR="00481F48" w:rsidRPr="003F3DC7" w:rsidRDefault="00481F48" w:rsidP="00444B77">
      <w:pPr>
        <w:pStyle w:val="EndnoteText"/>
      </w:pPr>
      <w:r w:rsidRPr="003F3DC7">
        <w:rPr>
          <w:rStyle w:val="EndnoteReference"/>
        </w:rPr>
        <w:endnoteRef/>
      </w:r>
      <w:r w:rsidRPr="003F3DC7">
        <w:t xml:space="preserve"> </w:t>
      </w:r>
      <w:hyperlink r:id="rId7" w:history="1">
        <w:r w:rsidRPr="003F3DC7">
          <w:rPr>
            <w:rStyle w:val="Hyperlink"/>
          </w:rPr>
          <w:t>Link to Strengthening WHO preparedness for and response to health emergencies - Strengthening collaboration on One Health [PDF]</w:t>
        </w:r>
      </w:hyperlink>
    </w:p>
  </w:endnote>
  <w:endnote w:id="17">
    <w:p w14:paraId="14245358" w14:textId="0621883F" w:rsidR="00481F48" w:rsidRPr="003F3DC7" w:rsidRDefault="00481F48" w:rsidP="00444B77">
      <w:pPr>
        <w:pStyle w:val="EndnoteText"/>
      </w:pPr>
      <w:r w:rsidRPr="003F3DC7">
        <w:rPr>
          <w:rStyle w:val="EndnoteReference"/>
        </w:rPr>
        <w:endnoteRef/>
      </w:r>
      <w:r w:rsidRPr="003F3DC7">
        <w:t xml:space="preserve"> </w:t>
      </w:r>
      <w:hyperlink r:id="rId8" w:history="1">
        <w:r w:rsidRPr="003F3DC7">
          <w:rPr>
            <w:rStyle w:val="Hyperlink"/>
          </w:rPr>
          <w:t>Link to the Tripartite Zoonoses Guide</w:t>
        </w:r>
      </w:hyperlink>
      <w:r w:rsidRPr="003F3DC7">
        <w:t>.</w:t>
      </w:r>
    </w:p>
  </w:endnote>
  <w:endnote w:id="18">
    <w:p w14:paraId="509E0101" w14:textId="5486FBD5" w:rsidR="00481F48" w:rsidRPr="003F3DC7" w:rsidRDefault="00481F48" w:rsidP="00444B77">
      <w:pPr>
        <w:pStyle w:val="EndnoteText"/>
      </w:pPr>
      <w:r w:rsidRPr="003F3DC7">
        <w:rPr>
          <w:rStyle w:val="EndnoteReference"/>
        </w:rPr>
        <w:endnoteRef/>
      </w:r>
      <w:r w:rsidRPr="003F3DC7">
        <w:t xml:space="preserve"> Purdah is a period of pre-election sensitivity when Government departments and councils will normally observe discretion about making new announcements or decisions that could influence voters. </w:t>
      </w:r>
      <w:hyperlink r:id="rId9" w:history="1">
        <w:r w:rsidRPr="003F3DC7">
          <w:rPr>
            <w:rStyle w:val="Hyperlink"/>
          </w:rPr>
          <w:t>Link to briefing on House of Commons Library website</w:t>
        </w:r>
      </w:hyperlink>
      <w:r w:rsidRPr="003F3DC7">
        <w:t>.</w:t>
      </w:r>
    </w:p>
  </w:endnote>
  <w:endnote w:id="19">
    <w:p w14:paraId="58995961" w14:textId="61073EC6" w:rsidR="00481F48" w:rsidRPr="003F3DC7" w:rsidRDefault="00481F48" w:rsidP="00444B77">
      <w:pPr>
        <w:pStyle w:val="EndnoteText"/>
      </w:pPr>
      <w:r w:rsidRPr="003F3DC7">
        <w:rPr>
          <w:rStyle w:val="EndnoteReference"/>
        </w:rPr>
        <w:endnoteRef/>
      </w:r>
      <w:r w:rsidRPr="003F3DC7">
        <w:t xml:space="preserve"> </w:t>
      </w:r>
      <w:hyperlink r:id="rId10" w:history="1">
        <w:r w:rsidRPr="003F3DC7">
          <w:rPr>
            <w:rStyle w:val="Hyperlink"/>
          </w:rPr>
          <w:t>Link to ICAI report 45, June 2015 [PDF]</w:t>
        </w:r>
      </w:hyperlink>
    </w:p>
  </w:endnote>
  <w:endnote w:id="20">
    <w:p w14:paraId="0E06CC29" w14:textId="77777777" w:rsidR="00481F48" w:rsidRPr="003F3DC7" w:rsidRDefault="00481F48" w:rsidP="00444B77">
      <w:pPr>
        <w:pStyle w:val="EndnoteText"/>
      </w:pPr>
      <w:r w:rsidRPr="003F3DC7">
        <w:rPr>
          <w:rStyle w:val="EndnoteReference"/>
        </w:rPr>
        <w:endnoteRef/>
      </w:r>
      <w:r w:rsidRPr="003F3DC7">
        <w:t xml:space="preserve"> </w:t>
      </w:r>
      <w:r w:rsidRPr="003F3DC7">
        <w:rPr>
          <w:rFonts w:eastAsia="Calibri" w:cs="Calibri"/>
          <w:color w:val="000000"/>
        </w:rPr>
        <w:t>ICAI’s 2018 review of</w:t>
      </w:r>
      <w:r w:rsidRPr="003F3DC7">
        <w:rPr>
          <w:rFonts w:eastAsia="Calibri" w:cs="Calibri"/>
          <w:b/>
          <w:bCs/>
          <w:color w:val="000000"/>
        </w:rPr>
        <w:t xml:space="preserve"> </w:t>
      </w:r>
      <w:r w:rsidRPr="003F3DC7">
        <w:rPr>
          <w:rFonts w:eastAsia="Calibri"/>
        </w:rPr>
        <w:t xml:space="preserve">DFID’s approach to VfM in programme and portfolio management finds the same problem, as does a 2019 review of experiences with results-based management across development organisations. </w:t>
      </w:r>
    </w:p>
  </w:endnote>
  <w:endnote w:id="21">
    <w:p w14:paraId="35D30647" w14:textId="77777777" w:rsidR="00481F48" w:rsidRPr="003F3DC7" w:rsidRDefault="00481F48" w:rsidP="00444B77">
      <w:pPr>
        <w:pStyle w:val="Itadfootnotestyle"/>
        <w:rPr>
          <w:sz w:val="20"/>
          <w:szCs w:val="20"/>
        </w:rPr>
      </w:pPr>
      <w:r w:rsidRPr="003F3DC7">
        <w:rPr>
          <w:rStyle w:val="EndnoteReference"/>
          <w:sz w:val="20"/>
          <w:szCs w:val="20"/>
        </w:rPr>
        <w:endnoteRef/>
      </w:r>
      <w:r w:rsidRPr="003F3DC7">
        <w:rPr>
          <w:rStyle w:val="EndnoteReference"/>
          <w:sz w:val="20"/>
          <w:szCs w:val="20"/>
        </w:rPr>
        <w:t xml:space="preserve"> </w:t>
      </w:r>
      <w:r w:rsidRPr="003F3DC7">
        <w:rPr>
          <w:sz w:val="20"/>
          <w:szCs w:val="20"/>
        </w:rPr>
        <w:t>DHSC Terms of Reference: Management Agent for The Fleming Fund – para 2.4 and 2.5, which lists eight indicative focus areas for the grants portfolio, only one of which mentions ‘</w:t>
      </w:r>
      <w:r w:rsidRPr="003F3DC7">
        <w:rPr>
          <w:rFonts w:eastAsia="Calibri"/>
          <w:sz w:val="20"/>
          <w:szCs w:val="20"/>
          <w:lang w:val="en-US"/>
        </w:rPr>
        <w:t>Policy and advocacy work with national governments, using AMR data and analysis collected to make the case for evidence-based public health interventions</w:t>
      </w:r>
      <w:r w:rsidRPr="003F3DC7">
        <w:rPr>
          <w:sz w:val="20"/>
          <w:szCs w:val="20"/>
        </w:rPr>
        <w:t>’.</w:t>
      </w:r>
    </w:p>
  </w:endnote>
  <w:endnote w:id="22">
    <w:p w14:paraId="394DED5B" w14:textId="115B7C9E" w:rsidR="00481F48" w:rsidRPr="003F3DC7" w:rsidRDefault="00481F48">
      <w:pPr>
        <w:pStyle w:val="EndnoteText"/>
      </w:pPr>
      <w:r w:rsidRPr="003F3DC7">
        <w:rPr>
          <w:rStyle w:val="EndnoteReference"/>
        </w:rPr>
        <w:endnoteRef/>
      </w:r>
      <w:r w:rsidRPr="003F3DC7">
        <w:t xml:space="preserve"> </w:t>
      </w:r>
      <w:r w:rsidRPr="003F3DC7">
        <w:rPr>
          <w:shd w:val="clear" w:color="auto" w:fill="FFFFFF"/>
        </w:rPr>
        <w:t xml:space="preserve">As set out in </w:t>
      </w:r>
      <w:r w:rsidRPr="003F3DC7">
        <w:rPr>
          <w:rFonts w:cstheme="minorHAnsi"/>
          <w:shd w:val="clear" w:color="auto" w:fill="FFFFFF"/>
        </w:rPr>
        <w:t xml:space="preserve">Annex </w:t>
      </w:r>
      <w:r w:rsidRPr="003F3DC7">
        <w:rPr>
          <w:shd w:val="clear" w:color="auto" w:fill="FFFFFF"/>
        </w:rPr>
        <w:t>21 of the summative report.</w:t>
      </w:r>
    </w:p>
  </w:endnote>
  <w:endnote w:id="23">
    <w:p w14:paraId="7C41771E" w14:textId="5E400CB8" w:rsidR="00481F48" w:rsidRPr="003F3DC7" w:rsidRDefault="00481F48">
      <w:pPr>
        <w:pStyle w:val="EndnoteText"/>
      </w:pPr>
      <w:r w:rsidRPr="003F3DC7">
        <w:rPr>
          <w:rStyle w:val="EndnoteReference"/>
        </w:rPr>
        <w:endnoteRef/>
      </w:r>
      <w:r w:rsidRPr="003F3DC7">
        <w:t xml:space="preserve"> </w:t>
      </w:r>
      <w:r w:rsidRPr="003F3DC7">
        <w:rPr>
          <w:shd w:val="clear" w:color="auto" w:fill="FFFFFF"/>
        </w:rPr>
        <w:t xml:space="preserve">See section 4 of the summative report. </w:t>
      </w:r>
    </w:p>
  </w:endnote>
  <w:endnote w:id="24">
    <w:p w14:paraId="38C8A569" w14:textId="77777777" w:rsidR="00481F48" w:rsidRPr="003F3DC7" w:rsidRDefault="00481F48" w:rsidP="00CB229B">
      <w:pPr>
        <w:pStyle w:val="EndnoteText"/>
      </w:pPr>
      <w:r w:rsidRPr="003F3DC7">
        <w:rPr>
          <w:rStyle w:val="EndnoteReference"/>
        </w:rPr>
        <w:endnoteRef/>
      </w:r>
      <w:r w:rsidRPr="003F3DC7">
        <w:t xml:space="preserve"> Workstreams 1 and 2 were outside the evaluation scope.</w:t>
      </w:r>
    </w:p>
  </w:endnote>
  <w:endnote w:id="25">
    <w:p w14:paraId="59110D4D" w14:textId="14D7A265" w:rsidR="00481F48" w:rsidRPr="003F3DC7" w:rsidRDefault="00481F48">
      <w:pPr>
        <w:pStyle w:val="EndnoteText"/>
      </w:pPr>
      <w:r w:rsidRPr="003F3DC7">
        <w:rPr>
          <w:rStyle w:val="EndnoteReference"/>
        </w:rPr>
        <w:endnoteRef/>
      </w:r>
      <w:r w:rsidRPr="003F3DC7">
        <w:t xml:space="preserve"> As described in Vol. II, Annex 14 of the summative report (Figure 26 and Table 46)</w:t>
      </w:r>
    </w:p>
  </w:endnote>
  <w:endnote w:id="26">
    <w:p w14:paraId="178B8DCB" w14:textId="0EDD28B9" w:rsidR="00481F48" w:rsidRPr="003F3DC7" w:rsidRDefault="00481F48">
      <w:pPr>
        <w:pStyle w:val="EndnoteText"/>
      </w:pPr>
      <w:r w:rsidRPr="003F3DC7">
        <w:rPr>
          <w:rStyle w:val="EndnoteReference"/>
        </w:rPr>
        <w:endnoteRef/>
      </w:r>
      <w:r w:rsidRPr="003F3DC7">
        <w:t xml:space="preserve"> See Vol. II, Annex 23 of the summative report, for summary examples of where this has happened.</w:t>
      </w:r>
    </w:p>
  </w:endnote>
  <w:endnote w:id="27">
    <w:p w14:paraId="047E7049" w14:textId="1227C241" w:rsidR="00481F48" w:rsidRPr="003F3DC7" w:rsidRDefault="00481F48" w:rsidP="00CB229B">
      <w:pPr>
        <w:pStyle w:val="Itadfootnotestyle"/>
        <w:rPr>
          <w:sz w:val="20"/>
          <w:szCs w:val="20"/>
        </w:rPr>
      </w:pPr>
      <w:r w:rsidRPr="003F3DC7">
        <w:rPr>
          <w:rStyle w:val="Error-Funotenzeichen61"/>
        </w:rPr>
        <w:endnoteRef/>
      </w:r>
      <w:r w:rsidRPr="003F3DC7">
        <w:rPr>
          <w:sz w:val="20"/>
          <w:szCs w:val="20"/>
        </w:rPr>
        <w:t xml:space="preserve"> (EQ1) What has been the increase in the quantity and/or quality of data on AMR at country level and to what extent has the Fleming Fund contributed to this increase? (EQ2) To what extent have the Fleming Fund’s investments been aligned and coherent with other relevant investments at country level? (EQ3) How likely are the Fleming Fund’s country-level results to be sustained? (EQ4) Has, or is it likely that, the increase in AMR data influenced: (a) changes in national policies/regulations? and/or (b) changes in practice and attitudes in-country? (EQ5) What has been the increase in quality of data shared and reported internationally and has the Fleming Fund contributed to this? (EQ6) Did the Fleming Fund’s investments at country level offer value for money?</w:t>
      </w:r>
    </w:p>
  </w:endnote>
  <w:endnote w:id="28">
    <w:p w14:paraId="2F16D6EB" w14:textId="4E72B401" w:rsidR="00481F48" w:rsidRPr="003F3DC7" w:rsidRDefault="00481F48">
      <w:pPr>
        <w:pStyle w:val="EndnoteText"/>
      </w:pPr>
      <w:r w:rsidRPr="003F3DC7">
        <w:rPr>
          <w:rStyle w:val="EndnoteReference"/>
        </w:rPr>
        <w:endnoteRef/>
      </w:r>
      <w:r w:rsidRPr="003F3DC7">
        <w:t xml:space="preserve"> See Vol. II, Annex 25 of the summative report.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968FEA24-FF07-4902-9B1B-6CDFDD7103DC}"/>
    <w:embedBold r:id="rId2" w:fontKey="{3170CDD1-3754-40B2-A1C3-26F2EA20DD55}"/>
    <w:embedItalic r:id="rId3" w:fontKey="{AEE9D14E-F85A-4EFF-B516-C07C6505BAC4}"/>
    <w:embedBoldItalic r:id="rId4" w:fontKey="{2ECBB444-36A5-4A50-9CB5-0DC712AFDFF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 w:name="CubeOT">
    <w:altName w:val="Calibri"/>
    <w:charset w:val="00"/>
    <w:family w:val="swiss"/>
    <w:pitch w:val="variable"/>
    <w:sig w:usb0="800000EF" w:usb1="4000A04A" w:usb2="00000008" w:usb3="00000000" w:csb0="00000001" w:csb1="00000000"/>
  </w:font>
  <w:font w:name="Segoe UI">
    <w:panose1 w:val="020B0502040204020203"/>
    <w:charset w:val="00"/>
    <w:family w:val="swiss"/>
    <w:pitch w:val="variable"/>
    <w:sig w:usb0="E4002EFF" w:usb1="C000E47F" w:usb2="00000009" w:usb3="00000000" w:csb0="000001FF" w:csb1="00000000"/>
    <w:embedRegular r:id="rId5" w:subsetted="1" w:fontKey="{D48B382C-B605-4BE8-9D08-7842C45103D1}"/>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53FF8B" w14:textId="77777777" w:rsidR="00215994" w:rsidRPr="00FF6773" w:rsidRDefault="00215994" w:rsidP="00215994">
    <w:pPr>
      <w:pStyle w:val="Itad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5F1042" w14:textId="77777777" w:rsidR="00B569F5" w:rsidRPr="009A300B" w:rsidRDefault="00B569F5" w:rsidP="009A300B">
      <w:pPr>
        <w:pStyle w:val="Footer"/>
      </w:pPr>
      <w:r>
        <w:separator/>
      </w:r>
    </w:p>
  </w:footnote>
  <w:footnote w:type="continuationSeparator" w:id="0">
    <w:p w14:paraId="3304FE39" w14:textId="77777777" w:rsidR="00B569F5" w:rsidRPr="00CA1D8F" w:rsidRDefault="00B569F5" w:rsidP="00CA1D8F">
      <w:pPr>
        <w:pStyle w:val="Footer"/>
      </w:pPr>
    </w:p>
  </w:footnote>
  <w:footnote w:type="continuationNotice" w:id="1">
    <w:p w14:paraId="5EB7D3F6" w14:textId="77777777" w:rsidR="00B569F5" w:rsidRDefault="00B569F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96A20" w14:textId="3B6E7818" w:rsidR="00215994" w:rsidRPr="001D1F7D" w:rsidRDefault="00215994" w:rsidP="001D1F7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A89394C"/>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12637EA"/>
    <w:multiLevelType w:val="hybridMultilevel"/>
    <w:tmpl w:val="0798CDFA"/>
    <w:lvl w:ilvl="0" w:tplc="D862A44C">
      <w:start w:val="1"/>
      <w:numFmt w:val="bullet"/>
      <w:lvlText w:val=""/>
      <w:lvlJc w:val="left"/>
      <w:pPr>
        <w:ind w:left="862" w:hanging="360"/>
      </w:pPr>
      <w:rPr>
        <w:rFonts w:ascii="Wingdings" w:hAnsi="Wingdings" w:hint="default"/>
      </w:rPr>
    </w:lvl>
    <w:lvl w:ilvl="1" w:tplc="FFFFFFFF">
      <w:start w:val="1"/>
      <w:numFmt w:val="bullet"/>
      <w:lvlText w:val="o"/>
      <w:lvlJc w:val="left"/>
      <w:pPr>
        <w:ind w:left="1582" w:hanging="360"/>
      </w:pPr>
      <w:rPr>
        <w:rFonts w:ascii="Courier New" w:hAnsi="Courier New" w:cs="Courier New" w:hint="default"/>
      </w:rPr>
    </w:lvl>
    <w:lvl w:ilvl="2" w:tplc="FFFFFFFF" w:tentative="1">
      <w:start w:val="1"/>
      <w:numFmt w:val="bullet"/>
      <w:lvlText w:val=""/>
      <w:lvlJc w:val="left"/>
      <w:pPr>
        <w:ind w:left="2302" w:hanging="360"/>
      </w:pPr>
      <w:rPr>
        <w:rFonts w:ascii="Wingdings" w:hAnsi="Wingdings" w:hint="default"/>
      </w:rPr>
    </w:lvl>
    <w:lvl w:ilvl="3" w:tplc="FFFFFFFF" w:tentative="1">
      <w:start w:val="1"/>
      <w:numFmt w:val="bullet"/>
      <w:lvlText w:val=""/>
      <w:lvlJc w:val="left"/>
      <w:pPr>
        <w:ind w:left="3022" w:hanging="360"/>
      </w:pPr>
      <w:rPr>
        <w:rFonts w:ascii="Symbol" w:hAnsi="Symbol" w:hint="default"/>
      </w:rPr>
    </w:lvl>
    <w:lvl w:ilvl="4" w:tplc="FFFFFFFF" w:tentative="1">
      <w:start w:val="1"/>
      <w:numFmt w:val="bullet"/>
      <w:lvlText w:val="o"/>
      <w:lvlJc w:val="left"/>
      <w:pPr>
        <w:ind w:left="3742" w:hanging="360"/>
      </w:pPr>
      <w:rPr>
        <w:rFonts w:ascii="Courier New" w:hAnsi="Courier New" w:cs="Courier New" w:hint="default"/>
      </w:rPr>
    </w:lvl>
    <w:lvl w:ilvl="5" w:tplc="FFFFFFFF" w:tentative="1">
      <w:start w:val="1"/>
      <w:numFmt w:val="bullet"/>
      <w:lvlText w:val=""/>
      <w:lvlJc w:val="left"/>
      <w:pPr>
        <w:ind w:left="4462" w:hanging="360"/>
      </w:pPr>
      <w:rPr>
        <w:rFonts w:ascii="Wingdings" w:hAnsi="Wingdings" w:hint="default"/>
      </w:rPr>
    </w:lvl>
    <w:lvl w:ilvl="6" w:tplc="FFFFFFFF" w:tentative="1">
      <w:start w:val="1"/>
      <w:numFmt w:val="bullet"/>
      <w:lvlText w:val=""/>
      <w:lvlJc w:val="left"/>
      <w:pPr>
        <w:ind w:left="5182" w:hanging="360"/>
      </w:pPr>
      <w:rPr>
        <w:rFonts w:ascii="Symbol" w:hAnsi="Symbol" w:hint="default"/>
      </w:rPr>
    </w:lvl>
    <w:lvl w:ilvl="7" w:tplc="FFFFFFFF" w:tentative="1">
      <w:start w:val="1"/>
      <w:numFmt w:val="bullet"/>
      <w:lvlText w:val="o"/>
      <w:lvlJc w:val="left"/>
      <w:pPr>
        <w:ind w:left="5902" w:hanging="360"/>
      </w:pPr>
      <w:rPr>
        <w:rFonts w:ascii="Courier New" w:hAnsi="Courier New" w:cs="Courier New" w:hint="default"/>
      </w:rPr>
    </w:lvl>
    <w:lvl w:ilvl="8" w:tplc="FFFFFFFF" w:tentative="1">
      <w:start w:val="1"/>
      <w:numFmt w:val="bullet"/>
      <w:lvlText w:val=""/>
      <w:lvlJc w:val="left"/>
      <w:pPr>
        <w:ind w:left="6622" w:hanging="360"/>
      </w:pPr>
      <w:rPr>
        <w:rFonts w:ascii="Wingdings" w:hAnsi="Wingdings" w:hint="default"/>
      </w:rPr>
    </w:lvl>
  </w:abstractNum>
  <w:abstractNum w:abstractNumId="2" w15:restartNumberingAfterBreak="0">
    <w:nsid w:val="0223293C"/>
    <w:multiLevelType w:val="hybridMultilevel"/>
    <w:tmpl w:val="27CE5C32"/>
    <w:lvl w:ilvl="0" w:tplc="FFFFFFFF">
      <w:start w:val="1"/>
      <w:numFmt w:val="decimal"/>
      <w:lvlText w:val="%1."/>
      <w:lvlJc w:val="left"/>
      <w:pPr>
        <w:ind w:left="360" w:hanging="360"/>
      </w:pPr>
    </w:lvl>
    <w:lvl w:ilvl="1" w:tplc="D862A44C">
      <w:start w:val="1"/>
      <w:numFmt w:val="bullet"/>
      <w:lvlText w:val=""/>
      <w:lvlJc w:val="left"/>
      <w:pPr>
        <w:ind w:left="360" w:hanging="360"/>
      </w:pPr>
      <w:rPr>
        <w:rFonts w:ascii="Wingdings" w:hAnsi="Wingdings" w:hint="default"/>
      </w:r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3" w15:restartNumberingAfterBreak="0">
    <w:nsid w:val="03A86A6F"/>
    <w:multiLevelType w:val="hybridMultilevel"/>
    <w:tmpl w:val="FC9CA270"/>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C372FE"/>
    <w:multiLevelType w:val="hybridMultilevel"/>
    <w:tmpl w:val="7ACA3CF4"/>
    <w:lvl w:ilvl="0" w:tplc="0809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 w15:restartNumberingAfterBreak="0">
    <w:nsid w:val="05BF1EB1"/>
    <w:multiLevelType w:val="multilevel"/>
    <w:tmpl w:val="4DD09EBA"/>
    <w:lvl w:ilvl="0">
      <w:start w:val="3"/>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 w15:restartNumberingAfterBreak="0">
    <w:nsid w:val="05EC6081"/>
    <w:multiLevelType w:val="hybridMultilevel"/>
    <w:tmpl w:val="224C39D6"/>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8FC4E73"/>
    <w:multiLevelType w:val="hybridMultilevel"/>
    <w:tmpl w:val="DB2A66B8"/>
    <w:lvl w:ilvl="0" w:tplc="29AABA84">
      <w:start w:val="1"/>
      <w:numFmt w:val="decimal"/>
      <w:pStyle w:val="Itadboxnumbers"/>
      <w:lvlText w:val="Box %1."/>
      <w:lvlJc w:val="left"/>
      <w:pPr>
        <w:ind w:left="777" w:hanging="360"/>
      </w:pPr>
      <w:rPr>
        <w:rFonts w:hint="default"/>
      </w:rPr>
    </w:lvl>
    <w:lvl w:ilvl="1" w:tplc="08090019" w:tentative="1">
      <w:start w:val="1"/>
      <w:numFmt w:val="lowerLetter"/>
      <w:lvlText w:val="%2."/>
      <w:lvlJc w:val="left"/>
      <w:pPr>
        <w:ind w:left="1497" w:hanging="360"/>
      </w:pPr>
    </w:lvl>
    <w:lvl w:ilvl="2" w:tplc="0809001B" w:tentative="1">
      <w:start w:val="1"/>
      <w:numFmt w:val="lowerRoman"/>
      <w:lvlText w:val="%3."/>
      <w:lvlJc w:val="right"/>
      <w:pPr>
        <w:ind w:left="2217" w:hanging="180"/>
      </w:pPr>
    </w:lvl>
    <w:lvl w:ilvl="3" w:tplc="0809000F" w:tentative="1">
      <w:start w:val="1"/>
      <w:numFmt w:val="decimal"/>
      <w:lvlText w:val="%4."/>
      <w:lvlJc w:val="left"/>
      <w:pPr>
        <w:ind w:left="2937" w:hanging="360"/>
      </w:pPr>
    </w:lvl>
    <w:lvl w:ilvl="4" w:tplc="08090019" w:tentative="1">
      <w:start w:val="1"/>
      <w:numFmt w:val="lowerLetter"/>
      <w:lvlText w:val="%5."/>
      <w:lvlJc w:val="left"/>
      <w:pPr>
        <w:ind w:left="3657" w:hanging="360"/>
      </w:pPr>
    </w:lvl>
    <w:lvl w:ilvl="5" w:tplc="0809001B" w:tentative="1">
      <w:start w:val="1"/>
      <w:numFmt w:val="lowerRoman"/>
      <w:lvlText w:val="%6."/>
      <w:lvlJc w:val="right"/>
      <w:pPr>
        <w:ind w:left="4377" w:hanging="180"/>
      </w:pPr>
    </w:lvl>
    <w:lvl w:ilvl="6" w:tplc="0809000F" w:tentative="1">
      <w:start w:val="1"/>
      <w:numFmt w:val="decimal"/>
      <w:lvlText w:val="%7."/>
      <w:lvlJc w:val="left"/>
      <w:pPr>
        <w:ind w:left="5097" w:hanging="360"/>
      </w:pPr>
    </w:lvl>
    <w:lvl w:ilvl="7" w:tplc="08090019" w:tentative="1">
      <w:start w:val="1"/>
      <w:numFmt w:val="lowerLetter"/>
      <w:lvlText w:val="%8."/>
      <w:lvlJc w:val="left"/>
      <w:pPr>
        <w:ind w:left="5817" w:hanging="360"/>
      </w:pPr>
    </w:lvl>
    <w:lvl w:ilvl="8" w:tplc="0809001B" w:tentative="1">
      <w:start w:val="1"/>
      <w:numFmt w:val="lowerRoman"/>
      <w:lvlText w:val="%9."/>
      <w:lvlJc w:val="right"/>
      <w:pPr>
        <w:ind w:left="6537" w:hanging="180"/>
      </w:pPr>
    </w:lvl>
  </w:abstractNum>
  <w:abstractNum w:abstractNumId="8" w15:restartNumberingAfterBreak="0">
    <w:nsid w:val="09942BD0"/>
    <w:multiLevelType w:val="hybridMultilevel"/>
    <w:tmpl w:val="1AEAD7F6"/>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9" w15:restartNumberingAfterBreak="0">
    <w:nsid w:val="0B625AFA"/>
    <w:multiLevelType w:val="hybridMultilevel"/>
    <w:tmpl w:val="4912C444"/>
    <w:lvl w:ilvl="0" w:tplc="DC203540">
      <w:start w:val="1"/>
      <w:numFmt w:val="decimal"/>
      <w:pStyle w:val="Itadnumberedparas"/>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0DCB450B"/>
    <w:multiLevelType w:val="hybridMultilevel"/>
    <w:tmpl w:val="831C345E"/>
    <w:lvl w:ilvl="0" w:tplc="0809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107C0F9A"/>
    <w:multiLevelType w:val="multilevel"/>
    <w:tmpl w:val="3E5CC6A8"/>
    <w:lvl w:ilvl="0">
      <w:start w:val="1"/>
      <w:numFmt w:val="bullet"/>
      <w:lvlText w:val=""/>
      <w:lvlJc w:val="left"/>
      <w:pPr>
        <w:tabs>
          <w:tab w:val="num" w:pos="720"/>
        </w:tabs>
        <w:ind w:left="720" w:hanging="360"/>
      </w:pPr>
      <w:rPr>
        <w:rFonts w:ascii="Wingdings" w:hAnsi="Wingding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53373BB"/>
    <w:multiLevelType w:val="hybridMultilevel"/>
    <w:tmpl w:val="8BC6C5A6"/>
    <w:lvl w:ilvl="0" w:tplc="0809000F">
      <w:start w:val="1"/>
      <w:numFmt w:val="decimal"/>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16601541"/>
    <w:multiLevelType w:val="hybridMultilevel"/>
    <w:tmpl w:val="2B8E55C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17F703F0"/>
    <w:multiLevelType w:val="hybridMultilevel"/>
    <w:tmpl w:val="D674BE6A"/>
    <w:lvl w:ilvl="0" w:tplc="FFFFFFFF">
      <w:start w:val="1"/>
      <w:numFmt w:val="decimal"/>
      <w:lvlText w:val="%1."/>
      <w:lvlJc w:val="left"/>
      <w:pPr>
        <w:ind w:left="360" w:hanging="360"/>
      </w:pPr>
    </w:lvl>
    <w:lvl w:ilvl="1" w:tplc="D862A44C">
      <w:start w:val="1"/>
      <w:numFmt w:val="bullet"/>
      <w:lvlText w:val=""/>
      <w:lvlJc w:val="left"/>
      <w:pPr>
        <w:ind w:left="360" w:hanging="360"/>
      </w:pPr>
      <w:rPr>
        <w:rFonts w:ascii="Wingdings" w:hAnsi="Wingdings" w:hint="default"/>
      </w:r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15" w15:restartNumberingAfterBreak="0">
    <w:nsid w:val="1A9B52E7"/>
    <w:multiLevelType w:val="hybridMultilevel"/>
    <w:tmpl w:val="001ECD42"/>
    <w:lvl w:ilvl="0" w:tplc="FF6A1874">
      <w:start w:val="1"/>
      <w:numFmt w:val="decimal"/>
      <w:pStyle w:val="ItadSectionTitleBlocknumbered"/>
      <w:lvlText w:val="%1."/>
      <w:lvlJc w:val="left"/>
      <w:pPr>
        <w:ind w:left="879" w:hanging="360"/>
      </w:pPr>
    </w:lvl>
    <w:lvl w:ilvl="1" w:tplc="08090019" w:tentative="1">
      <w:start w:val="1"/>
      <w:numFmt w:val="lowerLetter"/>
      <w:lvlText w:val="%2."/>
      <w:lvlJc w:val="left"/>
      <w:pPr>
        <w:ind w:left="1599" w:hanging="360"/>
      </w:pPr>
    </w:lvl>
    <w:lvl w:ilvl="2" w:tplc="0809001B" w:tentative="1">
      <w:start w:val="1"/>
      <w:numFmt w:val="lowerRoman"/>
      <w:lvlText w:val="%3."/>
      <w:lvlJc w:val="right"/>
      <w:pPr>
        <w:ind w:left="2319" w:hanging="180"/>
      </w:pPr>
    </w:lvl>
    <w:lvl w:ilvl="3" w:tplc="0809000F" w:tentative="1">
      <w:start w:val="1"/>
      <w:numFmt w:val="decimal"/>
      <w:lvlText w:val="%4."/>
      <w:lvlJc w:val="left"/>
      <w:pPr>
        <w:ind w:left="3039" w:hanging="360"/>
      </w:pPr>
    </w:lvl>
    <w:lvl w:ilvl="4" w:tplc="08090019" w:tentative="1">
      <w:start w:val="1"/>
      <w:numFmt w:val="lowerLetter"/>
      <w:lvlText w:val="%5."/>
      <w:lvlJc w:val="left"/>
      <w:pPr>
        <w:ind w:left="3759" w:hanging="360"/>
      </w:pPr>
    </w:lvl>
    <w:lvl w:ilvl="5" w:tplc="0809001B" w:tentative="1">
      <w:start w:val="1"/>
      <w:numFmt w:val="lowerRoman"/>
      <w:lvlText w:val="%6."/>
      <w:lvlJc w:val="right"/>
      <w:pPr>
        <w:ind w:left="4479" w:hanging="180"/>
      </w:pPr>
    </w:lvl>
    <w:lvl w:ilvl="6" w:tplc="0809000F" w:tentative="1">
      <w:start w:val="1"/>
      <w:numFmt w:val="decimal"/>
      <w:lvlText w:val="%7."/>
      <w:lvlJc w:val="left"/>
      <w:pPr>
        <w:ind w:left="5199" w:hanging="360"/>
      </w:pPr>
    </w:lvl>
    <w:lvl w:ilvl="7" w:tplc="08090019" w:tentative="1">
      <w:start w:val="1"/>
      <w:numFmt w:val="lowerLetter"/>
      <w:lvlText w:val="%8."/>
      <w:lvlJc w:val="left"/>
      <w:pPr>
        <w:ind w:left="5919" w:hanging="360"/>
      </w:pPr>
    </w:lvl>
    <w:lvl w:ilvl="8" w:tplc="0809001B" w:tentative="1">
      <w:start w:val="1"/>
      <w:numFmt w:val="lowerRoman"/>
      <w:lvlText w:val="%9."/>
      <w:lvlJc w:val="right"/>
      <w:pPr>
        <w:ind w:left="6639" w:hanging="180"/>
      </w:pPr>
    </w:lvl>
  </w:abstractNum>
  <w:abstractNum w:abstractNumId="16" w15:restartNumberingAfterBreak="0">
    <w:nsid w:val="1CB92B5F"/>
    <w:multiLevelType w:val="hybridMultilevel"/>
    <w:tmpl w:val="BAACE894"/>
    <w:lvl w:ilvl="0" w:tplc="D862A44C">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7" w15:restartNumberingAfterBreak="0">
    <w:nsid w:val="1EEA1ED2"/>
    <w:multiLevelType w:val="hybridMultilevel"/>
    <w:tmpl w:val="8DAA501E"/>
    <w:lvl w:ilvl="0" w:tplc="F836CDB8">
      <w:start w:val="1"/>
      <w:numFmt w:val="bullet"/>
      <w:pStyle w:val="ItadSubbullets"/>
      <w:lvlText w:val="o"/>
      <w:lvlJc w:val="left"/>
      <w:pPr>
        <w:ind w:left="1004" w:hanging="360"/>
      </w:pPr>
      <w:rPr>
        <w:rFonts w:ascii="Courier New" w:hAnsi="Courier New" w:cs="Courier New"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8" w15:restartNumberingAfterBreak="0">
    <w:nsid w:val="1F386F69"/>
    <w:multiLevelType w:val="hybridMultilevel"/>
    <w:tmpl w:val="DD687140"/>
    <w:lvl w:ilvl="0" w:tplc="0056618E">
      <w:start w:val="1"/>
      <w:numFmt w:val="bullet"/>
      <w:pStyle w:val="ItadBullets"/>
      <w:lvlText w:val=""/>
      <w:lvlJc w:val="left"/>
      <w:pPr>
        <w:ind w:left="107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3937DE9"/>
    <w:multiLevelType w:val="multilevel"/>
    <w:tmpl w:val="9AD0939C"/>
    <w:lvl w:ilvl="0">
      <w:start w:val="1"/>
      <w:numFmt w:val="bullet"/>
      <w:lvlText w:val=""/>
      <w:lvlJc w:val="left"/>
      <w:pPr>
        <w:tabs>
          <w:tab w:val="num" w:pos="720"/>
        </w:tabs>
        <w:ind w:left="720" w:hanging="360"/>
      </w:pPr>
      <w:rPr>
        <w:rFonts w:ascii="Wingdings" w:hAnsi="Wingding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287C4EBD"/>
    <w:multiLevelType w:val="multilevel"/>
    <w:tmpl w:val="07E89F68"/>
    <w:lvl w:ilvl="0">
      <w:start w:val="1"/>
      <w:numFmt w:val="decimal"/>
      <w:pStyle w:val="Heading1"/>
      <w:lvlText w:val="%1"/>
      <w:lvlJc w:val="left"/>
      <w:pPr>
        <w:tabs>
          <w:tab w:val="num" w:pos="567"/>
        </w:tabs>
        <w:ind w:left="0" w:firstLine="567"/>
      </w:pPr>
      <w:rPr>
        <w:specVanish w:val="0"/>
      </w:rPr>
    </w:lvl>
    <w:lvl w:ilvl="1">
      <w:start w:val="1"/>
      <w:numFmt w:val="decimal"/>
      <w:pStyle w:val="Heading2"/>
      <w:lvlText w:val="%1.%2"/>
      <w:lvlJc w:val="left"/>
      <w:pPr>
        <w:tabs>
          <w:tab w:val="num" w:pos="567"/>
        </w:tabs>
        <w:ind w:left="0" w:firstLine="567"/>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Heading3"/>
      <w:lvlText w:val="%1.%2.%3"/>
      <w:lvlJc w:val="left"/>
      <w:pPr>
        <w:tabs>
          <w:tab w:val="num" w:pos="113"/>
        </w:tabs>
        <w:ind w:left="-567" w:firstLine="567"/>
      </w:pPr>
      <w:rPr>
        <w:color w:val="3FB84E"/>
        <w:sz w:val="24"/>
        <w:szCs w:val="24"/>
        <w:specVanish w:val="0"/>
      </w:rPr>
    </w:lvl>
    <w:lvl w:ilvl="3">
      <w:start w:val="1"/>
      <w:numFmt w:val="decimal"/>
      <w:pStyle w:val="Heading4"/>
      <w:lvlText w:val="%1.%2.%3.%4"/>
      <w:lvlJc w:val="left"/>
      <w:pPr>
        <w:tabs>
          <w:tab w:val="num" w:pos="793"/>
        </w:tabs>
        <w:ind w:left="0" w:firstLine="567"/>
      </w:pPr>
      <w:rPr>
        <w:b w:val="0"/>
        <w:bCs w:val="0"/>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906"/>
        </w:tabs>
        <w:ind w:left="0" w:firstLine="906"/>
      </w:pPr>
      <w:rPr>
        <w:rFonts w:hint="default"/>
        <w:color w:val="3FB84E" w:themeColor="accent3"/>
      </w:rPr>
    </w:lvl>
    <w:lvl w:ilvl="5">
      <w:start w:val="1"/>
      <w:numFmt w:val="decimal"/>
      <w:lvlText w:val="%1.%2.%3.%4.%5.%6"/>
      <w:lvlJc w:val="left"/>
      <w:pPr>
        <w:tabs>
          <w:tab w:val="num" w:pos="1019"/>
        </w:tabs>
        <w:ind w:left="0" w:firstLine="1019"/>
      </w:pPr>
      <w:rPr>
        <w:rFonts w:hint="default"/>
        <w:color w:val="3FB84E" w:themeColor="accent3"/>
      </w:rPr>
    </w:lvl>
    <w:lvl w:ilvl="6">
      <w:start w:val="1"/>
      <w:numFmt w:val="decimal"/>
      <w:lvlText w:val="%1.%2.%3.%4.%5.%6.%7"/>
      <w:lvlJc w:val="left"/>
      <w:pPr>
        <w:tabs>
          <w:tab w:val="num" w:pos="1132"/>
        </w:tabs>
        <w:ind w:left="0" w:firstLine="1132"/>
      </w:pPr>
      <w:rPr>
        <w:rFonts w:hint="default"/>
        <w:color w:val="3FB84E" w:themeColor="accent3"/>
      </w:rPr>
    </w:lvl>
    <w:lvl w:ilvl="7">
      <w:start w:val="1"/>
      <w:numFmt w:val="decimal"/>
      <w:lvlText w:val="%1.%2.%3.%4.%5.%6.%7.%8"/>
      <w:lvlJc w:val="left"/>
      <w:pPr>
        <w:tabs>
          <w:tab w:val="num" w:pos="1245"/>
        </w:tabs>
        <w:ind w:left="0" w:firstLine="1245"/>
      </w:pPr>
      <w:rPr>
        <w:rFonts w:hint="default"/>
        <w:color w:val="3FB84E" w:themeColor="accent3"/>
      </w:rPr>
    </w:lvl>
    <w:lvl w:ilvl="8">
      <w:start w:val="1"/>
      <w:numFmt w:val="decimal"/>
      <w:lvlText w:val="%1.%2.%3.%4.%5.%6.%7.%8.%9"/>
      <w:lvlJc w:val="left"/>
      <w:pPr>
        <w:tabs>
          <w:tab w:val="num" w:pos="1358"/>
        </w:tabs>
        <w:ind w:left="0" w:firstLine="1358"/>
      </w:pPr>
      <w:rPr>
        <w:rFonts w:hint="default"/>
        <w:color w:val="3FB84E" w:themeColor="accent3"/>
      </w:rPr>
    </w:lvl>
  </w:abstractNum>
  <w:abstractNum w:abstractNumId="21" w15:restartNumberingAfterBreak="0">
    <w:nsid w:val="29CD46CB"/>
    <w:multiLevelType w:val="hybridMultilevel"/>
    <w:tmpl w:val="A7224B86"/>
    <w:lvl w:ilvl="0" w:tplc="0809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2" w15:restartNumberingAfterBreak="0">
    <w:nsid w:val="2A967311"/>
    <w:multiLevelType w:val="hybridMultilevel"/>
    <w:tmpl w:val="813EC114"/>
    <w:lvl w:ilvl="0" w:tplc="19264A3E">
      <w:start w:val="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2C4D4A6B"/>
    <w:multiLevelType w:val="hybridMultilevel"/>
    <w:tmpl w:val="E62CDD58"/>
    <w:lvl w:ilvl="0" w:tplc="D862A44C">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354B4B6E"/>
    <w:multiLevelType w:val="hybridMultilevel"/>
    <w:tmpl w:val="464C1D5A"/>
    <w:lvl w:ilvl="0" w:tplc="6EDA0D8E">
      <w:start w:val="1"/>
      <w:numFmt w:val="decimal"/>
      <w:lvlText w:val="Figure %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55C40C8"/>
    <w:multiLevelType w:val="hybridMultilevel"/>
    <w:tmpl w:val="49F6B394"/>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377243D6"/>
    <w:multiLevelType w:val="hybridMultilevel"/>
    <w:tmpl w:val="508A0E14"/>
    <w:lvl w:ilvl="0" w:tplc="0809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3CE85E03"/>
    <w:multiLevelType w:val="multilevel"/>
    <w:tmpl w:val="79DC7CB6"/>
    <w:lvl w:ilvl="0">
      <w:start w:val="1"/>
      <w:numFmt w:val="decimal"/>
      <w:pStyle w:val="Itadnumberedlist"/>
      <w:lvlText w:val="%1"/>
      <w:lvlJc w:val="left"/>
      <w:pPr>
        <w:tabs>
          <w:tab w:val="num" w:pos="567"/>
        </w:tabs>
        <w:ind w:left="0" w:firstLine="567"/>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567"/>
        </w:tabs>
        <w:ind w:left="0" w:firstLine="567"/>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680"/>
        </w:tabs>
        <w:ind w:left="0" w:firstLine="567"/>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793"/>
        </w:tabs>
        <w:ind w:left="0" w:firstLine="567"/>
      </w:pPr>
      <w:rPr>
        <w:b w:val="0"/>
        <w:bCs w:val="0"/>
        <w:i/>
        <w:iCs/>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906"/>
        </w:tabs>
        <w:ind w:left="0" w:firstLine="906"/>
      </w:pPr>
      <w:rPr>
        <w:rFonts w:hint="default"/>
        <w:color w:val="3FB84E" w:themeColor="accent3"/>
      </w:rPr>
    </w:lvl>
    <w:lvl w:ilvl="5">
      <w:start w:val="1"/>
      <w:numFmt w:val="decimal"/>
      <w:lvlText w:val="%1.%2.%3.%4.%5.%6"/>
      <w:lvlJc w:val="left"/>
      <w:pPr>
        <w:tabs>
          <w:tab w:val="num" w:pos="1019"/>
        </w:tabs>
        <w:ind w:left="0" w:firstLine="1019"/>
      </w:pPr>
      <w:rPr>
        <w:rFonts w:hint="default"/>
        <w:color w:val="3FB84E" w:themeColor="accent3"/>
      </w:rPr>
    </w:lvl>
    <w:lvl w:ilvl="6">
      <w:start w:val="1"/>
      <w:numFmt w:val="decimal"/>
      <w:lvlText w:val="%1.%2.%3.%4.%5.%6.%7"/>
      <w:lvlJc w:val="left"/>
      <w:pPr>
        <w:tabs>
          <w:tab w:val="num" w:pos="1132"/>
        </w:tabs>
        <w:ind w:left="0" w:firstLine="1132"/>
      </w:pPr>
      <w:rPr>
        <w:rFonts w:hint="default"/>
        <w:color w:val="3FB84E" w:themeColor="accent3"/>
      </w:rPr>
    </w:lvl>
    <w:lvl w:ilvl="7">
      <w:start w:val="1"/>
      <w:numFmt w:val="decimal"/>
      <w:lvlText w:val="%1.%2.%3.%4.%5.%6.%7.%8"/>
      <w:lvlJc w:val="left"/>
      <w:pPr>
        <w:tabs>
          <w:tab w:val="num" w:pos="1245"/>
        </w:tabs>
        <w:ind w:left="0" w:firstLine="1245"/>
      </w:pPr>
      <w:rPr>
        <w:rFonts w:hint="default"/>
        <w:color w:val="3FB84E" w:themeColor="accent3"/>
      </w:rPr>
    </w:lvl>
    <w:lvl w:ilvl="8">
      <w:start w:val="1"/>
      <w:numFmt w:val="decimal"/>
      <w:lvlText w:val="%1.%2.%3.%4.%5.%6.%7.%8.%9"/>
      <w:lvlJc w:val="left"/>
      <w:pPr>
        <w:tabs>
          <w:tab w:val="num" w:pos="1358"/>
        </w:tabs>
        <w:ind w:left="0" w:firstLine="1358"/>
      </w:pPr>
      <w:rPr>
        <w:rFonts w:hint="default"/>
        <w:color w:val="3FB84E" w:themeColor="accent3"/>
      </w:rPr>
    </w:lvl>
  </w:abstractNum>
  <w:abstractNum w:abstractNumId="28" w15:restartNumberingAfterBreak="0">
    <w:nsid w:val="3D6E5541"/>
    <w:multiLevelType w:val="hybridMultilevel"/>
    <w:tmpl w:val="D152E2B6"/>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421F73B7"/>
    <w:multiLevelType w:val="multilevel"/>
    <w:tmpl w:val="3354675E"/>
    <w:lvl w:ilvl="0">
      <w:start w:val="1"/>
      <w:numFmt w:val="bullet"/>
      <w:lvlText w:val=""/>
      <w:lvlJc w:val="left"/>
      <w:pPr>
        <w:tabs>
          <w:tab w:val="num" w:pos="720"/>
        </w:tabs>
        <w:ind w:left="720" w:hanging="360"/>
      </w:pPr>
      <w:rPr>
        <w:rFonts w:ascii="Wingdings" w:hAnsi="Wingding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43863191"/>
    <w:multiLevelType w:val="hybridMultilevel"/>
    <w:tmpl w:val="7B644214"/>
    <w:lvl w:ilvl="0" w:tplc="A0268436">
      <w:start w:val="1"/>
      <w:numFmt w:val="decimal"/>
      <w:pStyle w:val="Itadtablestyle"/>
      <w:lvlText w:val="Table %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3D50483"/>
    <w:multiLevelType w:val="hybridMultilevel"/>
    <w:tmpl w:val="8210390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2" w15:restartNumberingAfterBreak="0">
    <w:nsid w:val="45186315"/>
    <w:multiLevelType w:val="multilevel"/>
    <w:tmpl w:val="B88AFE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6B26BD1"/>
    <w:multiLevelType w:val="hybridMultilevel"/>
    <w:tmpl w:val="8F54191C"/>
    <w:lvl w:ilvl="0" w:tplc="0809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4" w15:restartNumberingAfterBreak="0">
    <w:nsid w:val="49307484"/>
    <w:multiLevelType w:val="hybridMultilevel"/>
    <w:tmpl w:val="C2BAEE0E"/>
    <w:lvl w:ilvl="0" w:tplc="D862A44C">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5" w15:restartNumberingAfterBreak="0">
    <w:nsid w:val="49F20787"/>
    <w:multiLevelType w:val="hybridMultilevel"/>
    <w:tmpl w:val="C270D36C"/>
    <w:lvl w:ilvl="0" w:tplc="0809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6" w15:restartNumberingAfterBreak="0">
    <w:nsid w:val="4B054FFC"/>
    <w:multiLevelType w:val="hybridMultilevel"/>
    <w:tmpl w:val="FEAE11B0"/>
    <w:lvl w:ilvl="0" w:tplc="0809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4C2147C0"/>
    <w:multiLevelType w:val="hybridMultilevel"/>
    <w:tmpl w:val="92BA5C60"/>
    <w:lvl w:ilvl="0" w:tplc="D862A44C">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8" w15:restartNumberingAfterBreak="0">
    <w:nsid w:val="4D5D2A57"/>
    <w:multiLevelType w:val="hybridMultilevel"/>
    <w:tmpl w:val="1F009F96"/>
    <w:lvl w:ilvl="0" w:tplc="08090005">
      <w:start w:val="1"/>
      <w:numFmt w:val="bullet"/>
      <w:lvlText w:val=""/>
      <w:lvlJc w:val="left"/>
      <w:pPr>
        <w:ind w:left="360" w:hanging="360"/>
      </w:pPr>
      <w:rPr>
        <w:rFonts w:ascii="Wingdings" w:hAnsi="Wingdings" w:hint="default"/>
        <w:color w:val="3B3B3C" w:themeColor="text1"/>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9" w15:restartNumberingAfterBreak="0">
    <w:nsid w:val="4EE7481D"/>
    <w:multiLevelType w:val="hybridMultilevel"/>
    <w:tmpl w:val="EDA2E5FE"/>
    <w:lvl w:ilvl="0" w:tplc="ABFC85B8">
      <w:start w:val="30"/>
      <w:numFmt w:val="bullet"/>
      <w:lvlText w:val="-"/>
      <w:lvlJc w:val="left"/>
      <w:pPr>
        <w:ind w:left="720" w:hanging="360"/>
      </w:pPr>
      <w:rPr>
        <w:rFonts w:ascii="Calibri" w:eastAsiaTheme="minorHAnsi" w:hAnsi="Calibri" w:cs="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0" w15:restartNumberingAfterBreak="0">
    <w:nsid w:val="53C04596"/>
    <w:multiLevelType w:val="multilevel"/>
    <w:tmpl w:val="BF34B896"/>
    <w:lvl w:ilvl="0">
      <w:start w:val="4"/>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 w15:restartNumberingAfterBreak="0">
    <w:nsid w:val="54773309"/>
    <w:multiLevelType w:val="hybridMultilevel"/>
    <w:tmpl w:val="1E58674C"/>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55DB7B48"/>
    <w:multiLevelType w:val="hybridMultilevel"/>
    <w:tmpl w:val="74C8B00A"/>
    <w:lvl w:ilvl="0" w:tplc="FFFFFFFF">
      <w:start w:val="1"/>
      <w:numFmt w:val="decimal"/>
      <w:lvlText w:val="%1."/>
      <w:lvlJc w:val="left"/>
      <w:pPr>
        <w:ind w:left="360" w:hanging="360"/>
      </w:pPr>
    </w:lvl>
    <w:lvl w:ilvl="1" w:tplc="D862A44C">
      <w:start w:val="1"/>
      <w:numFmt w:val="bullet"/>
      <w:lvlText w:val=""/>
      <w:lvlJc w:val="left"/>
      <w:pPr>
        <w:ind w:left="360" w:hanging="360"/>
      </w:pPr>
      <w:rPr>
        <w:rFonts w:ascii="Wingdings" w:hAnsi="Wingdings" w:hint="default"/>
      </w:r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43" w15:restartNumberingAfterBreak="0">
    <w:nsid w:val="5B685E88"/>
    <w:multiLevelType w:val="hybridMultilevel"/>
    <w:tmpl w:val="9D38F264"/>
    <w:lvl w:ilvl="0" w:tplc="08090005">
      <w:start w:val="1"/>
      <w:numFmt w:val="bullet"/>
      <w:lvlText w:val=""/>
      <w:lvlJc w:val="left"/>
      <w:pPr>
        <w:ind w:left="417" w:hanging="360"/>
      </w:pPr>
      <w:rPr>
        <w:rFonts w:ascii="Wingdings" w:hAnsi="Wingdings" w:hint="default"/>
      </w:rPr>
    </w:lvl>
    <w:lvl w:ilvl="1" w:tplc="08090003" w:tentative="1">
      <w:start w:val="1"/>
      <w:numFmt w:val="bullet"/>
      <w:lvlText w:val="o"/>
      <w:lvlJc w:val="left"/>
      <w:pPr>
        <w:ind w:left="1137" w:hanging="360"/>
      </w:pPr>
      <w:rPr>
        <w:rFonts w:ascii="Courier New" w:hAnsi="Courier New" w:cs="Courier New" w:hint="default"/>
      </w:rPr>
    </w:lvl>
    <w:lvl w:ilvl="2" w:tplc="08090005" w:tentative="1">
      <w:start w:val="1"/>
      <w:numFmt w:val="bullet"/>
      <w:lvlText w:val=""/>
      <w:lvlJc w:val="left"/>
      <w:pPr>
        <w:ind w:left="1857" w:hanging="360"/>
      </w:pPr>
      <w:rPr>
        <w:rFonts w:ascii="Wingdings" w:hAnsi="Wingdings" w:hint="default"/>
      </w:rPr>
    </w:lvl>
    <w:lvl w:ilvl="3" w:tplc="08090001" w:tentative="1">
      <w:start w:val="1"/>
      <w:numFmt w:val="bullet"/>
      <w:lvlText w:val=""/>
      <w:lvlJc w:val="left"/>
      <w:pPr>
        <w:ind w:left="2577" w:hanging="360"/>
      </w:pPr>
      <w:rPr>
        <w:rFonts w:ascii="Symbol" w:hAnsi="Symbol" w:hint="default"/>
      </w:rPr>
    </w:lvl>
    <w:lvl w:ilvl="4" w:tplc="08090003" w:tentative="1">
      <w:start w:val="1"/>
      <w:numFmt w:val="bullet"/>
      <w:lvlText w:val="o"/>
      <w:lvlJc w:val="left"/>
      <w:pPr>
        <w:ind w:left="3297" w:hanging="360"/>
      </w:pPr>
      <w:rPr>
        <w:rFonts w:ascii="Courier New" w:hAnsi="Courier New" w:cs="Courier New" w:hint="default"/>
      </w:rPr>
    </w:lvl>
    <w:lvl w:ilvl="5" w:tplc="08090005" w:tentative="1">
      <w:start w:val="1"/>
      <w:numFmt w:val="bullet"/>
      <w:lvlText w:val=""/>
      <w:lvlJc w:val="left"/>
      <w:pPr>
        <w:ind w:left="4017" w:hanging="360"/>
      </w:pPr>
      <w:rPr>
        <w:rFonts w:ascii="Wingdings" w:hAnsi="Wingdings" w:hint="default"/>
      </w:rPr>
    </w:lvl>
    <w:lvl w:ilvl="6" w:tplc="08090001" w:tentative="1">
      <w:start w:val="1"/>
      <w:numFmt w:val="bullet"/>
      <w:lvlText w:val=""/>
      <w:lvlJc w:val="left"/>
      <w:pPr>
        <w:ind w:left="4737" w:hanging="360"/>
      </w:pPr>
      <w:rPr>
        <w:rFonts w:ascii="Symbol" w:hAnsi="Symbol" w:hint="default"/>
      </w:rPr>
    </w:lvl>
    <w:lvl w:ilvl="7" w:tplc="08090003" w:tentative="1">
      <w:start w:val="1"/>
      <w:numFmt w:val="bullet"/>
      <w:lvlText w:val="o"/>
      <w:lvlJc w:val="left"/>
      <w:pPr>
        <w:ind w:left="5457" w:hanging="360"/>
      </w:pPr>
      <w:rPr>
        <w:rFonts w:ascii="Courier New" w:hAnsi="Courier New" w:cs="Courier New" w:hint="default"/>
      </w:rPr>
    </w:lvl>
    <w:lvl w:ilvl="8" w:tplc="08090005" w:tentative="1">
      <w:start w:val="1"/>
      <w:numFmt w:val="bullet"/>
      <w:lvlText w:val=""/>
      <w:lvlJc w:val="left"/>
      <w:pPr>
        <w:ind w:left="6177" w:hanging="360"/>
      </w:pPr>
      <w:rPr>
        <w:rFonts w:ascii="Wingdings" w:hAnsi="Wingdings" w:hint="default"/>
      </w:rPr>
    </w:lvl>
  </w:abstractNum>
  <w:abstractNum w:abstractNumId="44" w15:restartNumberingAfterBreak="0">
    <w:nsid w:val="5B9408E9"/>
    <w:multiLevelType w:val="hybridMultilevel"/>
    <w:tmpl w:val="F2AC7696"/>
    <w:lvl w:ilvl="0" w:tplc="08090005">
      <w:start w:val="1"/>
      <w:numFmt w:val="bullet"/>
      <w:lvlText w:val=""/>
      <w:lvlJc w:val="left"/>
      <w:pPr>
        <w:ind w:left="360" w:hanging="360"/>
      </w:pPr>
      <w:rPr>
        <w:rFonts w:ascii="Wingdings" w:hAnsi="Wingdings" w:hint="default"/>
        <w:color w:val="3B3B3C" w:themeColor="text1"/>
        <w:sz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5" w15:restartNumberingAfterBreak="0">
    <w:nsid w:val="5CDD4A39"/>
    <w:multiLevelType w:val="hybridMultilevel"/>
    <w:tmpl w:val="B6883666"/>
    <w:lvl w:ilvl="0" w:tplc="FFFFFFFF">
      <w:start w:val="1"/>
      <w:numFmt w:val="decimal"/>
      <w:lvlText w:val="%1."/>
      <w:lvlJc w:val="left"/>
      <w:pPr>
        <w:ind w:left="360" w:hanging="360"/>
      </w:pPr>
    </w:lvl>
    <w:lvl w:ilvl="1" w:tplc="D862A44C">
      <w:start w:val="1"/>
      <w:numFmt w:val="bullet"/>
      <w:lvlText w:val=""/>
      <w:lvlJc w:val="left"/>
      <w:pPr>
        <w:ind w:left="360" w:hanging="360"/>
      </w:pPr>
      <w:rPr>
        <w:rFonts w:ascii="Wingdings" w:hAnsi="Wingdings" w:hint="default"/>
      </w:rPr>
    </w:lvl>
    <w:lvl w:ilvl="2" w:tplc="FFFFFFFF">
      <w:start w:val="1"/>
      <w:numFmt w:val="lowerRoman"/>
      <w:lvlText w:val="%3."/>
      <w:lvlJc w:val="right"/>
      <w:pPr>
        <w:ind w:left="1800" w:hanging="180"/>
      </w:pPr>
    </w:lvl>
    <w:lvl w:ilvl="3" w:tplc="FFFFFFFF">
      <w:start w:val="1"/>
      <w:numFmt w:val="decimal"/>
      <w:lvlText w:val="%4."/>
      <w:lvlJc w:val="left"/>
      <w:pPr>
        <w:ind w:left="2520" w:hanging="360"/>
      </w:pPr>
    </w:lvl>
    <w:lvl w:ilvl="4" w:tplc="FFFFFFFF">
      <w:start w:val="1"/>
      <w:numFmt w:val="lowerLetter"/>
      <w:lvlText w:val="%5."/>
      <w:lvlJc w:val="left"/>
      <w:pPr>
        <w:ind w:left="3240" w:hanging="360"/>
      </w:pPr>
    </w:lvl>
    <w:lvl w:ilvl="5" w:tplc="FFFFFFFF">
      <w:start w:val="1"/>
      <w:numFmt w:val="lowerRoman"/>
      <w:lvlText w:val="%6."/>
      <w:lvlJc w:val="right"/>
      <w:pPr>
        <w:ind w:left="3960" w:hanging="180"/>
      </w:pPr>
    </w:lvl>
    <w:lvl w:ilvl="6" w:tplc="FFFFFFFF">
      <w:start w:val="1"/>
      <w:numFmt w:val="decimal"/>
      <w:lvlText w:val="%7."/>
      <w:lvlJc w:val="left"/>
      <w:pPr>
        <w:ind w:left="4680" w:hanging="360"/>
      </w:pPr>
    </w:lvl>
    <w:lvl w:ilvl="7" w:tplc="FFFFFFFF">
      <w:start w:val="1"/>
      <w:numFmt w:val="lowerLetter"/>
      <w:lvlText w:val="%8."/>
      <w:lvlJc w:val="left"/>
      <w:pPr>
        <w:ind w:left="5400" w:hanging="360"/>
      </w:pPr>
    </w:lvl>
    <w:lvl w:ilvl="8" w:tplc="FFFFFFFF">
      <w:start w:val="1"/>
      <w:numFmt w:val="lowerRoman"/>
      <w:lvlText w:val="%9."/>
      <w:lvlJc w:val="right"/>
      <w:pPr>
        <w:ind w:left="6120" w:hanging="180"/>
      </w:pPr>
    </w:lvl>
  </w:abstractNum>
  <w:abstractNum w:abstractNumId="46" w15:restartNumberingAfterBreak="0">
    <w:nsid w:val="5FB61931"/>
    <w:multiLevelType w:val="hybridMultilevel"/>
    <w:tmpl w:val="334C4BE4"/>
    <w:lvl w:ilvl="0" w:tplc="DF6AA098">
      <w:start w:val="1"/>
      <w:numFmt w:val="bullet"/>
      <w:pStyle w:val="Textbox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47" w15:restartNumberingAfterBreak="0">
    <w:nsid w:val="60501FCD"/>
    <w:multiLevelType w:val="hybridMultilevel"/>
    <w:tmpl w:val="5218FBEE"/>
    <w:lvl w:ilvl="0" w:tplc="08090005">
      <w:start w:val="1"/>
      <w:numFmt w:val="bullet"/>
      <w:lvlText w:val=""/>
      <w:lvlJc w:val="left"/>
      <w:pPr>
        <w:ind w:left="360" w:hanging="360"/>
      </w:pPr>
      <w:rPr>
        <w:rFonts w:ascii="Wingdings" w:hAnsi="Wingdings" w:hint="default"/>
        <w:color w:val="3B3B3C" w:themeColor="text1"/>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62D96D62"/>
    <w:multiLevelType w:val="multilevel"/>
    <w:tmpl w:val="265AC04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668B1E63"/>
    <w:multiLevelType w:val="hybridMultilevel"/>
    <w:tmpl w:val="21946F4C"/>
    <w:lvl w:ilvl="0" w:tplc="0A9C5E5A">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0" w15:restartNumberingAfterBreak="0">
    <w:nsid w:val="67DD4E42"/>
    <w:multiLevelType w:val="hybridMultilevel"/>
    <w:tmpl w:val="147E75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15:restartNumberingAfterBreak="0">
    <w:nsid w:val="695E7A23"/>
    <w:multiLevelType w:val="multilevel"/>
    <w:tmpl w:val="69008696"/>
    <w:lvl w:ilvl="0">
      <w:start w:val="1"/>
      <w:numFmt w:val="bullet"/>
      <w:lvlText w:val=""/>
      <w:lvlJc w:val="left"/>
      <w:pPr>
        <w:tabs>
          <w:tab w:val="num" w:pos="720"/>
        </w:tabs>
        <w:ind w:left="720" w:hanging="360"/>
      </w:pPr>
      <w:rPr>
        <w:rFonts w:ascii="Wingdings" w:hAnsi="Wingding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6D8901C0"/>
    <w:multiLevelType w:val="hybridMultilevel"/>
    <w:tmpl w:val="A9B64872"/>
    <w:lvl w:ilvl="0" w:tplc="08090005">
      <w:start w:val="1"/>
      <w:numFmt w:val="bullet"/>
      <w:lvlText w:val=""/>
      <w:lvlJc w:val="left"/>
      <w:pPr>
        <w:ind w:left="720" w:hanging="360"/>
      </w:pPr>
      <w:rPr>
        <w:rFonts w:ascii="Wingdings" w:hAnsi="Wingdings" w:hint="default"/>
        <w:sz w:val="2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6ED537B7"/>
    <w:multiLevelType w:val="hybridMultilevel"/>
    <w:tmpl w:val="5C324E0C"/>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4" w15:restartNumberingAfterBreak="0">
    <w:nsid w:val="6EFD2CC4"/>
    <w:multiLevelType w:val="hybridMultilevel"/>
    <w:tmpl w:val="502C1252"/>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731420D6"/>
    <w:multiLevelType w:val="multilevel"/>
    <w:tmpl w:val="E61EB4AA"/>
    <w:lvl w:ilvl="0">
      <w:start w:val="2"/>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6" w15:restartNumberingAfterBreak="0">
    <w:nsid w:val="73C9308F"/>
    <w:multiLevelType w:val="multilevel"/>
    <w:tmpl w:val="13481C24"/>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57" w15:restartNumberingAfterBreak="0">
    <w:nsid w:val="79870A5D"/>
    <w:multiLevelType w:val="hybridMultilevel"/>
    <w:tmpl w:val="68D2B5C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A7C2FCE"/>
    <w:multiLevelType w:val="hybridMultilevel"/>
    <w:tmpl w:val="683C207C"/>
    <w:lvl w:ilvl="0" w:tplc="08090005">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9" w15:restartNumberingAfterBreak="0">
    <w:nsid w:val="7BC202AB"/>
    <w:multiLevelType w:val="hybridMultilevel"/>
    <w:tmpl w:val="28280898"/>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C4E0B02"/>
    <w:multiLevelType w:val="hybridMultilevel"/>
    <w:tmpl w:val="1F8A4182"/>
    <w:lvl w:ilvl="0" w:tplc="08090005">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1" w15:restartNumberingAfterBreak="0">
    <w:nsid w:val="7C6B7242"/>
    <w:multiLevelType w:val="multilevel"/>
    <w:tmpl w:val="C0028FC6"/>
    <w:lvl w:ilvl="0">
      <w:start w:val="1"/>
      <w:numFmt w:val="bullet"/>
      <w:lvlText w:val=""/>
      <w:lvlJc w:val="left"/>
      <w:pPr>
        <w:tabs>
          <w:tab w:val="num" w:pos="720"/>
        </w:tabs>
        <w:ind w:left="720" w:hanging="360"/>
      </w:pPr>
      <w:rPr>
        <w:rFonts w:ascii="Wingdings" w:hAnsi="Wingding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658463315">
    <w:abstractNumId w:val="18"/>
  </w:num>
  <w:num w:numId="2" w16cid:durableId="900365538">
    <w:abstractNumId w:val="20"/>
  </w:num>
  <w:num w:numId="3" w16cid:durableId="939215797">
    <w:abstractNumId w:val="9"/>
  </w:num>
  <w:num w:numId="4" w16cid:durableId="995690384">
    <w:abstractNumId w:val="17"/>
  </w:num>
  <w:num w:numId="5" w16cid:durableId="540634449">
    <w:abstractNumId w:val="30"/>
  </w:num>
  <w:num w:numId="6" w16cid:durableId="421266686">
    <w:abstractNumId w:val="24"/>
  </w:num>
  <w:num w:numId="7" w16cid:durableId="1010647396">
    <w:abstractNumId w:val="15"/>
  </w:num>
  <w:num w:numId="8" w16cid:durableId="297150872">
    <w:abstractNumId w:val="27"/>
  </w:num>
  <w:num w:numId="9" w16cid:durableId="769592291">
    <w:abstractNumId w:val="7"/>
  </w:num>
  <w:num w:numId="10" w16cid:durableId="1578830504">
    <w:abstractNumId w:val="54"/>
  </w:num>
  <w:num w:numId="11" w16cid:durableId="470900413">
    <w:abstractNumId w:val="33"/>
  </w:num>
  <w:num w:numId="12" w16cid:durableId="784541493">
    <w:abstractNumId w:val="26"/>
  </w:num>
  <w:num w:numId="13" w16cid:durableId="1884630661">
    <w:abstractNumId w:val="10"/>
  </w:num>
  <w:num w:numId="14" w16cid:durableId="1012803552">
    <w:abstractNumId w:val="60"/>
  </w:num>
  <w:num w:numId="15" w16cid:durableId="1687638867">
    <w:abstractNumId w:val="21"/>
  </w:num>
  <w:num w:numId="16" w16cid:durableId="118227176">
    <w:abstractNumId w:val="38"/>
  </w:num>
  <w:num w:numId="17" w16cid:durableId="578830720">
    <w:abstractNumId w:val="53"/>
  </w:num>
  <w:num w:numId="18" w16cid:durableId="45419898">
    <w:abstractNumId w:val="4"/>
  </w:num>
  <w:num w:numId="19" w16cid:durableId="1355112427">
    <w:abstractNumId w:val="44"/>
  </w:num>
  <w:num w:numId="20" w16cid:durableId="2008287209">
    <w:abstractNumId w:val="36"/>
  </w:num>
  <w:num w:numId="21" w16cid:durableId="909923471">
    <w:abstractNumId w:val="25"/>
  </w:num>
  <w:num w:numId="22" w16cid:durableId="947157637">
    <w:abstractNumId w:val="13"/>
  </w:num>
  <w:num w:numId="23" w16cid:durableId="674696722">
    <w:abstractNumId w:val="3"/>
  </w:num>
  <w:num w:numId="24" w16cid:durableId="921990843">
    <w:abstractNumId w:val="58"/>
  </w:num>
  <w:num w:numId="25" w16cid:durableId="1144851376">
    <w:abstractNumId w:val="39"/>
  </w:num>
  <w:num w:numId="26" w16cid:durableId="116409394">
    <w:abstractNumId w:val="46"/>
  </w:num>
  <w:num w:numId="27" w16cid:durableId="2098163523">
    <w:abstractNumId w:val="35"/>
  </w:num>
  <w:num w:numId="28" w16cid:durableId="33164582">
    <w:abstractNumId w:val="52"/>
  </w:num>
  <w:num w:numId="29" w16cid:durableId="1045830318">
    <w:abstractNumId w:val="6"/>
  </w:num>
  <w:num w:numId="30" w16cid:durableId="982002323">
    <w:abstractNumId w:val="56"/>
  </w:num>
  <w:num w:numId="31" w16cid:durableId="1143236083">
    <w:abstractNumId w:val="55"/>
  </w:num>
  <w:num w:numId="32" w16cid:durableId="893389589">
    <w:abstractNumId w:val="5"/>
  </w:num>
  <w:num w:numId="33" w16cid:durableId="480468051">
    <w:abstractNumId w:val="40"/>
  </w:num>
  <w:num w:numId="34" w16cid:durableId="1365056224">
    <w:abstractNumId w:val="48"/>
  </w:num>
  <w:num w:numId="35" w16cid:durableId="317459813">
    <w:abstractNumId w:val="12"/>
  </w:num>
  <w:num w:numId="36" w16cid:durableId="1217352302">
    <w:abstractNumId w:val="41"/>
  </w:num>
  <w:num w:numId="37" w16cid:durableId="1000549757">
    <w:abstractNumId w:val="1"/>
  </w:num>
  <w:num w:numId="38" w16cid:durableId="1529836621">
    <w:abstractNumId w:val="61"/>
  </w:num>
  <w:num w:numId="39" w16cid:durableId="1562598115">
    <w:abstractNumId w:val="11"/>
  </w:num>
  <w:num w:numId="40" w16cid:durableId="1565409528">
    <w:abstractNumId w:val="29"/>
  </w:num>
  <w:num w:numId="41" w16cid:durableId="1648784085">
    <w:abstractNumId w:val="19"/>
  </w:num>
  <w:num w:numId="42" w16cid:durableId="936448531">
    <w:abstractNumId w:val="51"/>
  </w:num>
  <w:num w:numId="43" w16cid:durableId="1447503487">
    <w:abstractNumId w:val="14"/>
  </w:num>
  <w:num w:numId="44" w16cid:durableId="1243027839">
    <w:abstractNumId w:val="45"/>
  </w:num>
  <w:num w:numId="45" w16cid:durableId="642125671">
    <w:abstractNumId w:val="42"/>
  </w:num>
  <w:num w:numId="46" w16cid:durableId="1165128989">
    <w:abstractNumId w:val="23"/>
  </w:num>
  <w:num w:numId="47" w16cid:durableId="1415660445">
    <w:abstractNumId w:val="34"/>
  </w:num>
  <w:num w:numId="48" w16cid:durableId="1793666553">
    <w:abstractNumId w:val="2"/>
  </w:num>
  <w:num w:numId="49" w16cid:durableId="1218124465">
    <w:abstractNumId w:val="37"/>
  </w:num>
  <w:num w:numId="50" w16cid:durableId="1396704931">
    <w:abstractNumId w:val="16"/>
  </w:num>
  <w:num w:numId="51" w16cid:durableId="586421250">
    <w:abstractNumId w:val="20"/>
  </w:num>
  <w:num w:numId="52" w16cid:durableId="1858692209">
    <w:abstractNumId w:val="20"/>
  </w:num>
  <w:num w:numId="53" w16cid:durableId="2083210378">
    <w:abstractNumId w:val="47"/>
  </w:num>
  <w:num w:numId="54" w16cid:durableId="642543230">
    <w:abstractNumId w:val="0"/>
  </w:num>
  <w:num w:numId="55" w16cid:durableId="431363153">
    <w:abstractNumId w:val="57"/>
  </w:num>
  <w:num w:numId="56" w16cid:durableId="958142744">
    <w:abstractNumId w:val="59"/>
  </w:num>
  <w:num w:numId="57" w16cid:durableId="1398550003">
    <w:abstractNumId w:val="32"/>
  </w:num>
  <w:num w:numId="58" w16cid:durableId="1687512933">
    <w:abstractNumId w:val="31"/>
  </w:num>
  <w:num w:numId="59" w16cid:durableId="847715753">
    <w:abstractNumId w:val="50"/>
  </w:num>
  <w:num w:numId="60" w16cid:durableId="1175723401">
    <w:abstractNumId w:val="28"/>
  </w:num>
  <w:num w:numId="61" w16cid:durableId="515536048">
    <w:abstractNumId w:val="7"/>
  </w:num>
  <w:num w:numId="62" w16cid:durableId="702438157">
    <w:abstractNumId w:val="7"/>
  </w:num>
  <w:num w:numId="63" w16cid:durableId="377823480">
    <w:abstractNumId w:val="20"/>
  </w:num>
  <w:num w:numId="64" w16cid:durableId="348143814">
    <w:abstractNumId w:val="20"/>
  </w:num>
  <w:num w:numId="65" w16cid:durableId="867303964">
    <w:abstractNumId w:val="20"/>
  </w:num>
  <w:num w:numId="66" w16cid:durableId="1116098953">
    <w:abstractNumId w:val="20"/>
  </w:num>
  <w:num w:numId="67" w16cid:durableId="808205581">
    <w:abstractNumId w:val="20"/>
  </w:num>
  <w:num w:numId="68" w16cid:durableId="21711585">
    <w:abstractNumId w:val="20"/>
  </w:num>
  <w:num w:numId="69" w16cid:durableId="1458766127">
    <w:abstractNumId w:val="20"/>
  </w:num>
  <w:num w:numId="70" w16cid:durableId="1452899264">
    <w:abstractNumId w:val="20"/>
  </w:num>
  <w:num w:numId="71" w16cid:durableId="1846944175">
    <w:abstractNumId w:val="20"/>
  </w:num>
  <w:num w:numId="72" w16cid:durableId="2107577665">
    <w:abstractNumId w:val="20"/>
  </w:num>
  <w:num w:numId="73" w16cid:durableId="804129100">
    <w:abstractNumId w:val="20"/>
  </w:num>
  <w:num w:numId="74" w16cid:durableId="1251934489">
    <w:abstractNumId w:val="20"/>
  </w:num>
  <w:num w:numId="75" w16cid:durableId="1355495024">
    <w:abstractNumId w:val="20"/>
  </w:num>
  <w:num w:numId="76" w16cid:durableId="110750363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1583173530">
    <w:abstractNumId w:val="22"/>
  </w:num>
  <w:num w:numId="78" w16cid:durableId="1864317231">
    <w:abstractNumId w:val="20"/>
    <w:lvlOverride w:ilvl="0">
      <w:startOverride w:val="2"/>
    </w:lvlOverride>
    <w:lvlOverride w:ilvl="1">
      <w:startOverride w:val="1"/>
    </w:lvlOverride>
    <w:lvlOverride w:ilvl="2">
      <w:startOverride w:val="3"/>
    </w:lvlOverride>
  </w:num>
  <w:num w:numId="79" w16cid:durableId="1305046624">
    <w:abstractNumId w:val="20"/>
  </w:num>
  <w:num w:numId="80" w16cid:durableId="384178779">
    <w:abstractNumId w:val="20"/>
  </w:num>
  <w:num w:numId="81" w16cid:durableId="514344311">
    <w:abstractNumId w:val="20"/>
  </w:num>
  <w:num w:numId="82" w16cid:durableId="1988777519">
    <w:abstractNumId w:val="20"/>
  </w:num>
  <w:num w:numId="83" w16cid:durableId="2025667331">
    <w:abstractNumId w:val="20"/>
  </w:num>
  <w:num w:numId="84" w16cid:durableId="731932448">
    <w:abstractNumId w:val="20"/>
  </w:num>
  <w:num w:numId="85" w16cid:durableId="337388287">
    <w:abstractNumId w:val="20"/>
  </w:num>
  <w:num w:numId="86" w16cid:durableId="1960604372">
    <w:abstractNumId w:val="20"/>
  </w:num>
  <w:num w:numId="87" w16cid:durableId="2140611967">
    <w:abstractNumId w:val="20"/>
  </w:num>
  <w:num w:numId="88" w16cid:durableId="1896115558">
    <w:abstractNumId w:val="20"/>
  </w:num>
  <w:num w:numId="89" w16cid:durableId="342243248">
    <w:abstractNumId w:val="20"/>
  </w:num>
  <w:num w:numId="90" w16cid:durableId="213544840">
    <w:abstractNumId w:val="20"/>
  </w:num>
  <w:num w:numId="91" w16cid:durableId="1455442684">
    <w:abstractNumId w:val="20"/>
  </w:num>
  <w:num w:numId="92" w16cid:durableId="1491099266">
    <w:abstractNumId w:val="20"/>
  </w:num>
  <w:num w:numId="93" w16cid:durableId="1044450380">
    <w:abstractNumId w:val="20"/>
  </w:num>
  <w:num w:numId="94" w16cid:durableId="1576624928">
    <w:abstractNumId w:val="20"/>
  </w:num>
  <w:num w:numId="95" w16cid:durableId="1409882345">
    <w:abstractNumId w:val="20"/>
  </w:num>
  <w:num w:numId="96" w16cid:durableId="2118206917">
    <w:abstractNumId w:val="20"/>
  </w:num>
  <w:num w:numId="97" w16cid:durableId="1404179931">
    <w:abstractNumId w:val="20"/>
  </w:num>
  <w:num w:numId="98" w16cid:durableId="1622614718">
    <w:abstractNumId w:val="20"/>
  </w:num>
  <w:num w:numId="99" w16cid:durableId="1549804874">
    <w:abstractNumId w:val="20"/>
  </w:num>
  <w:num w:numId="100" w16cid:durableId="547373540">
    <w:abstractNumId w:val="20"/>
  </w:num>
  <w:num w:numId="101" w16cid:durableId="1930888795">
    <w:abstractNumId w:val="46"/>
  </w:num>
  <w:num w:numId="102" w16cid:durableId="2086680714">
    <w:abstractNumId w:val="46"/>
  </w:num>
  <w:num w:numId="103" w16cid:durableId="205803365">
    <w:abstractNumId w:val="46"/>
  </w:num>
  <w:num w:numId="104" w16cid:durableId="488209888">
    <w:abstractNumId w:val="43"/>
  </w:num>
  <w:num w:numId="105" w16cid:durableId="479276201">
    <w:abstractNumId w:val="49"/>
  </w:num>
  <w:numIdMacAtCleanup w:val="1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DateAndTime/>
  <w:embedTrueTypeFonts/>
  <w:saveSubsetFonts/>
  <w:activeWritingStyle w:appName="MSWord" w:lang="en-IE" w:vendorID="64" w:dllVersion="4096" w:nlCheck="1" w:checkStyle="0"/>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proofState w:spelling="clean" w:grammar="clean"/>
  <w:stylePaneFormatFilter w:val="5F04" w:allStyles="0" w:customStyles="0" w:latentStyles="1" w:stylesInUse="0" w:headingStyles="0" w:numberingStyles="0" w:tableStyles="0" w:directFormattingOnRuns="1" w:directFormattingOnParagraphs="1" w:directFormattingOnNumbering="1" w:directFormattingOnTables="1" w:clearFormatting="1" w:top3HeadingStyles="0" w:visibleStyles="1" w:alternateStyleNames="0"/>
  <w:stylePaneSortMethod w:val="0000"/>
  <w:defaultTabStop w:val="720"/>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TMwMDG3tDQwMTM3MTdX0lEKTi0uzszPAykwtKgFAGC32CotAAAA"/>
  </w:docVars>
  <w:rsids>
    <w:rsidRoot w:val="004C2E28"/>
    <w:rsid w:val="00000053"/>
    <w:rsid w:val="000004E0"/>
    <w:rsid w:val="00000A43"/>
    <w:rsid w:val="00000C8F"/>
    <w:rsid w:val="00000EFA"/>
    <w:rsid w:val="00000FA9"/>
    <w:rsid w:val="00001372"/>
    <w:rsid w:val="000019AD"/>
    <w:rsid w:val="000022F5"/>
    <w:rsid w:val="000028A1"/>
    <w:rsid w:val="000029ED"/>
    <w:rsid w:val="00002D31"/>
    <w:rsid w:val="00002DC3"/>
    <w:rsid w:val="00004179"/>
    <w:rsid w:val="00004AB8"/>
    <w:rsid w:val="00004CFB"/>
    <w:rsid w:val="000059D5"/>
    <w:rsid w:val="00005A16"/>
    <w:rsid w:val="00005F6F"/>
    <w:rsid w:val="00005F8B"/>
    <w:rsid w:val="0000609E"/>
    <w:rsid w:val="00006FF3"/>
    <w:rsid w:val="0000738E"/>
    <w:rsid w:val="00007497"/>
    <w:rsid w:val="00007676"/>
    <w:rsid w:val="0001045B"/>
    <w:rsid w:val="0001057A"/>
    <w:rsid w:val="0001091F"/>
    <w:rsid w:val="00010A9E"/>
    <w:rsid w:val="0001101B"/>
    <w:rsid w:val="000117F2"/>
    <w:rsid w:val="00011E2B"/>
    <w:rsid w:val="000122D0"/>
    <w:rsid w:val="00012942"/>
    <w:rsid w:val="00012A32"/>
    <w:rsid w:val="00012EE7"/>
    <w:rsid w:val="00012F12"/>
    <w:rsid w:val="000134D3"/>
    <w:rsid w:val="000147E9"/>
    <w:rsid w:val="00014B11"/>
    <w:rsid w:val="000155E3"/>
    <w:rsid w:val="00015C54"/>
    <w:rsid w:val="00016049"/>
    <w:rsid w:val="00016A96"/>
    <w:rsid w:val="00017382"/>
    <w:rsid w:val="0001743C"/>
    <w:rsid w:val="00020E19"/>
    <w:rsid w:val="000217AD"/>
    <w:rsid w:val="00021B7D"/>
    <w:rsid w:val="0002264D"/>
    <w:rsid w:val="00022738"/>
    <w:rsid w:val="00022811"/>
    <w:rsid w:val="00022A93"/>
    <w:rsid w:val="0002330F"/>
    <w:rsid w:val="000234B9"/>
    <w:rsid w:val="00023FA3"/>
    <w:rsid w:val="000242EB"/>
    <w:rsid w:val="0002432C"/>
    <w:rsid w:val="0002497A"/>
    <w:rsid w:val="00024B94"/>
    <w:rsid w:val="00024F2F"/>
    <w:rsid w:val="00024F6F"/>
    <w:rsid w:val="00025184"/>
    <w:rsid w:val="00025ED7"/>
    <w:rsid w:val="00026704"/>
    <w:rsid w:val="00026B2C"/>
    <w:rsid w:val="00027055"/>
    <w:rsid w:val="000277EA"/>
    <w:rsid w:val="000278C4"/>
    <w:rsid w:val="00030540"/>
    <w:rsid w:val="0003058B"/>
    <w:rsid w:val="00030C6F"/>
    <w:rsid w:val="0003102D"/>
    <w:rsid w:val="0003171B"/>
    <w:rsid w:val="00031F80"/>
    <w:rsid w:val="0003207F"/>
    <w:rsid w:val="0003209D"/>
    <w:rsid w:val="00032457"/>
    <w:rsid w:val="00032EE7"/>
    <w:rsid w:val="00032F5D"/>
    <w:rsid w:val="00032FB0"/>
    <w:rsid w:val="00033027"/>
    <w:rsid w:val="000333D0"/>
    <w:rsid w:val="00033D3C"/>
    <w:rsid w:val="000340E1"/>
    <w:rsid w:val="00034246"/>
    <w:rsid w:val="000344B7"/>
    <w:rsid w:val="00034AF8"/>
    <w:rsid w:val="000351AC"/>
    <w:rsid w:val="00035332"/>
    <w:rsid w:val="00035C4E"/>
    <w:rsid w:val="0003615E"/>
    <w:rsid w:val="00036337"/>
    <w:rsid w:val="0003645A"/>
    <w:rsid w:val="000366EF"/>
    <w:rsid w:val="000367D1"/>
    <w:rsid w:val="000375CC"/>
    <w:rsid w:val="00037B71"/>
    <w:rsid w:val="00037B8C"/>
    <w:rsid w:val="000404A2"/>
    <w:rsid w:val="00040549"/>
    <w:rsid w:val="00040849"/>
    <w:rsid w:val="000408E1"/>
    <w:rsid w:val="000410A8"/>
    <w:rsid w:val="00041C53"/>
    <w:rsid w:val="0004496C"/>
    <w:rsid w:val="00044F29"/>
    <w:rsid w:val="00045217"/>
    <w:rsid w:val="000452DC"/>
    <w:rsid w:val="00045BD2"/>
    <w:rsid w:val="00045E21"/>
    <w:rsid w:val="00045EFA"/>
    <w:rsid w:val="00045F48"/>
    <w:rsid w:val="000460C7"/>
    <w:rsid w:val="00046E52"/>
    <w:rsid w:val="000470C4"/>
    <w:rsid w:val="00050B00"/>
    <w:rsid w:val="000510D6"/>
    <w:rsid w:val="00051109"/>
    <w:rsid w:val="000527D0"/>
    <w:rsid w:val="00052E11"/>
    <w:rsid w:val="00052E3D"/>
    <w:rsid w:val="00052F70"/>
    <w:rsid w:val="000530A0"/>
    <w:rsid w:val="00053BA0"/>
    <w:rsid w:val="000542B9"/>
    <w:rsid w:val="00054799"/>
    <w:rsid w:val="0005479B"/>
    <w:rsid w:val="0005498A"/>
    <w:rsid w:val="00056252"/>
    <w:rsid w:val="00056E8D"/>
    <w:rsid w:val="000570C5"/>
    <w:rsid w:val="00057155"/>
    <w:rsid w:val="00057A97"/>
    <w:rsid w:val="00060555"/>
    <w:rsid w:val="00060C52"/>
    <w:rsid w:val="00060F70"/>
    <w:rsid w:val="00062736"/>
    <w:rsid w:val="00062758"/>
    <w:rsid w:val="00062960"/>
    <w:rsid w:val="0006317D"/>
    <w:rsid w:val="00063567"/>
    <w:rsid w:val="000635A8"/>
    <w:rsid w:val="000642E1"/>
    <w:rsid w:val="00064712"/>
    <w:rsid w:val="000649DB"/>
    <w:rsid w:val="00064CEB"/>
    <w:rsid w:val="00064D90"/>
    <w:rsid w:val="00064ED1"/>
    <w:rsid w:val="00064F19"/>
    <w:rsid w:val="00064F48"/>
    <w:rsid w:val="000651DC"/>
    <w:rsid w:val="00065825"/>
    <w:rsid w:val="0006591D"/>
    <w:rsid w:val="00066126"/>
    <w:rsid w:val="0006656D"/>
    <w:rsid w:val="00066581"/>
    <w:rsid w:val="00066644"/>
    <w:rsid w:val="000669BD"/>
    <w:rsid w:val="00066BFA"/>
    <w:rsid w:val="00066E46"/>
    <w:rsid w:val="00066FDB"/>
    <w:rsid w:val="000673DD"/>
    <w:rsid w:val="000701C1"/>
    <w:rsid w:val="000704C4"/>
    <w:rsid w:val="000704E1"/>
    <w:rsid w:val="00071147"/>
    <w:rsid w:val="000713A8"/>
    <w:rsid w:val="00071CEB"/>
    <w:rsid w:val="00071D0B"/>
    <w:rsid w:val="000725AE"/>
    <w:rsid w:val="00072716"/>
    <w:rsid w:val="00072867"/>
    <w:rsid w:val="00073260"/>
    <w:rsid w:val="00073B5E"/>
    <w:rsid w:val="00074182"/>
    <w:rsid w:val="000746B2"/>
    <w:rsid w:val="00074F32"/>
    <w:rsid w:val="0007576A"/>
    <w:rsid w:val="00075921"/>
    <w:rsid w:val="00075A3E"/>
    <w:rsid w:val="00075B8B"/>
    <w:rsid w:val="000761F2"/>
    <w:rsid w:val="00076294"/>
    <w:rsid w:val="000767E3"/>
    <w:rsid w:val="00076E67"/>
    <w:rsid w:val="00077066"/>
    <w:rsid w:val="000771B2"/>
    <w:rsid w:val="00077343"/>
    <w:rsid w:val="0007746A"/>
    <w:rsid w:val="00077971"/>
    <w:rsid w:val="00077ADD"/>
    <w:rsid w:val="00077B26"/>
    <w:rsid w:val="00077CD1"/>
    <w:rsid w:val="000801C6"/>
    <w:rsid w:val="00080292"/>
    <w:rsid w:val="000802B4"/>
    <w:rsid w:val="0008073E"/>
    <w:rsid w:val="00080A51"/>
    <w:rsid w:val="00081065"/>
    <w:rsid w:val="00081813"/>
    <w:rsid w:val="000819D7"/>
    <w:rsid w:val="00081ED1"/>
    <w:rsid w:val="0008203C"/>
    <w:rsid w:val="000828DF"/>
    <w:rsid w:val="00082CBF"/>
    <w:rsid w:val="0008340B"/>
    <w:rsid w:val="00083770"/>
    <w:rsid w:val="00083886"/>
    <w:rsid w:val="00083937"/>
    <w:rsid w:val="00083FEB"/>
    <w:rsid w:val="0008429A"/>
    <w:rsid w:val="000844D1"/>
    <w:rsid w:val="00084610"/>
    <w:rsid w:val="000847D9"/>
    <w:rsid w:val="00085674"/>
    <w:rsid w:val="00085CB6"/>
    <w:rsid w:val="0008600C"/>
    <w:rsid w:val="00086594"/>
    <w:rsid w:val="0008681D"/>
    <w:rsid w:val="00086EE2"/>
    <w:rsid w:val="00087491"/>
    <w:rsid w:val="000906BF"/>
    <w:rsid w:val="00090A74"/>
    <w:rsid w:val="00090EF2"/>
    <w:rsid w:val="000910E3"/>
    <w:rsid w:val="0009114C"/>
    <w:rsid w:val="000918D5"/>
    <w:rsid w:val="0009191C"/>
    <w:rsid w:val="00092089"/>
    <w:rsid w:val="00093355"/>
    <w:rsid w:val="00093662"/>
    <w:rsid w:val="000938C1"/>
    <w:rsid w:val="00093B76"/>
    <w:rsid w:val="00093DEA"/>
    <w:rsid w:val="0009460F"/>
    <w:rsid w:val="00094C0F"/>
    <w:rsid w:val="000950C3"/>
    <w:rsid w:val="000959F9"/>
    <w:rsid w:val="00095A84"/>
    <w:rsid w:val="00095E4D"/>
    <w:rsid w:val="00095F43"/>
    <w:rsid w:val="0009646D"/>
    <w:rsid w:val="00096AA5"/>
    <w:rsid w:val="00096E6F"/>
    <w:rsid w:val="00096F5B"/>
    <w:rsid w:val="00097152"/>
    <w:rsid w:val="000978E8"/>
    <w:rsid w:val="000A0271"/>
    <w:rsid w:val="000A07FE"/>
    <w:rsid w:val="000A0B94"/>
    <w:rsid w:val="000A1370"/>
    <w:rsid w:val="000A1785"/>
    <w:rsid w:val="000A1CA5"/>
    <w:rsid w:val="000A337C"/>
    <w:rsid w:val="000A3EB2"/>
    <w:rsid w:val="000A4EF2"/>
    <w:rsid w:val="000A4FF5"/>
    <w:rsid w:val="000A5056"/>
    <w:rsid w:val="000A5529"/>
    <w:rsid w:val="000A5A14"/>
    <w:rsid w:val="000A5BC1"/>
    <w:rsid w:val="000A6151"/>
    <w:rsid w:val="000A6313"/>
    <w:rsid w:val="000A6AFD"/>
    <w:rsid w:val="000A79D1"/>
    <w:rsid w:val="000A7B0B"/>
    <w:rsid w:val="000A7D87"/>
    <w:rsid w:val="000A7F63"/>
    <w:rsid w:val="000B03C6"/>
    <w:rsid w:val="000B042D"/>
    <w:rsid w:val="000B062C"/>
    <w:rsid w:val="000B1AE2"/>
    <w:rsid w:val="000B232F"/>
    <w:rsid w:val="000B281E"/>
    <w:rsid w:val="000B2A16"/>
    <w:rsid w:val="000B2BE6"/>
    <w:rsid w:val="000B3072"/>
    <w:rsid w:val="000B492D"/>
    <w:rsid w:val="000B509B"/>
    <w:rsid w:val="000B5A81"/>
    <w:rsid w:val="000B68B5"/>
    <w:rsid w:val="000B6EEE"/>
    <w:rsid w:val="000B77D0"/>
    <w:rsid w:val="000B7815"/>
    <w:rsid w:val="000B782C"/>
    <w:rsid w:val="000B797B"/>
    <w:rsid w:val="000B7B96"/>
    <w:rsid w:val="000BC315"/>
    <w:rsid w:val="000C0466"/>
    <w:rsid w:val="000C0F3E"/>
    <w:rsid w:val="000C16AC"/>
    <w:rsid w:val="000C196E"/>
    <w:rsid w:val="000C19D3"/>
    <w:rsid w:val="000C1A16"/>
    <w:rsid w:val="000C1CA3"/>
    <w:rsid w:val="000C1F5A"/>
    <w:rsid w:val="000C1F86"/>
    <w:rsid w:val="000C219A"/>
    <w:rsid w:val="000C281E"/>
    <w:rsid w:val="000C2A18"/>
    <w:rsid w:val="000C2D5D"/>
    <w:rsid w:val="000C30A0"/>
    <w:rsid w:val="000C323F"/>
    <w:rsid w:val="000C366A"/>
    <w:rsid w:val="000C369B"/>
    <w:rsid w:val="000C3A3A"/>
    <w:rsid w:val="000C3B9F"/>
    <w:rsid w:val="000C427F"/>
    <w:rsid w:val="000C42F6"/>
    <w:rsid w:val="000C4718"/>
    <w:rsid w:val="000C4D9E"/>
    <w:rsid w:val="000C4E95"/>
    <w:rsid w:val="000C5935"/>
    <w:rsid w:val="000C602C"/>
    <w:rsid w:val="000C6826"/>
    <w:rsid w:val="000C6CDA"/>
    <w:rsid w:val="000C6FFD"/>
    <w:rsid w:val="000C7046"/>
    <w:rsid w:val="000C712F"/>
    <w:rsid w:val="000C74D7"/>
    <w:rsid w:val="000C7F98"/>
    <w:rsid w:val="000D011C"/>
    <w:rsid w:val="000D02EB"/>
    <w:rsid w:val="000D0960"/>
    <w:rsid w:val="000D0B6C"/>
    <w:rsid w:val="000D10D7"/>
    <w:rsid w:val="000D17D2"/>
    <w:rsid w:val="000D1FF9"/>
    <w:rsid w:val="000D2821"/>
    <w:rsid w:val="000D2A43"/>
    <w:rsid w:val="000D33B8"/>
    <w:rsid w:val="000D3553"/>
    <w:rsid w:val="000D3823"/>
    <w:rsid w:val="000D3D90"/>
    <w:rsid w:val="000D3DC7"/>
    <w:rsid w:val="000D4458"/>
    <w:rsid w:val="000D45B9"/>
    <w:rsid w:val="000D4909"/>
    <w:rsid w:val="000D498B"/>
    <w:rsid w:val="000D5786"/>
    <w:rsid w:val="000D6AC2"/>
    <w:rsid w:val="000D6B3A"/>
    <w:rsid w:val="000D6E73"/>
    <w:rsid w:val="000D74FF"/>
    <w:rsid w:val="000D7769"/>
    <w:rsid w:val="000D7A6D"/>
    <w:rsid w:val="000E059F"/>
    <w:rsid w:val="000E0828"/>
    <w:rsid w:val="000E0D53"/>
    <w:rsid w:val="000E0F93"/>
    <w:rsid w:val="000E155D"/>
    <w:rsid w:val="000E1891"/>
    <w:rsid w:val="000E1B36"/>
    <w:rsid w:val="000E1EBA"/>
    <w:rsid w:val="000E2706"/>
    <w:rsid w:val="000E2D7C"/>
    <w:rsid w:val="000E364B"/>
    <w:rsid w:val="000E3748"/>
    <w:rsid w:val="000E3797"/>
    <w:rsid w:val="000E3B0C"/>
    <w:rsid w:val="000E3C1C"/>
    <w:rsid w:val="000E3E7A"/>
    <w:rsid w:val="000E4293"/>
    <w:rsid w:val="000E4779"/>
    <w:rsid w:val="000E47F5"/>
    <w:rsid w:val="000E4A8F"/>
    <w:rsid w:val="000E547E"/>
    <w:rsid w:val="000E5680"/>
    <w:rsid w:val="000E5955"/>
    <w:rsid w:val="000E5DEB"/>
    <w:rsid w:val="000E5EAC"/>
    <w:rsid w:val="000E5EE0"/>
    <w:rsid w:val="000E6111"/>
    <w:rsid w:val="000E6127"/>
    <w:rsid w:val="000E6528"/>
    <w:rsid w:val="000E65A7"/>
    <w:rsid w:val="000E6AE0"/>
    <w:rsid w:val="000E6C8B"/>
    <w:rsid w:val="000E6E0E"/>
    <w:rsid w:val="000E72A3"/>
    <w:rsid w:val="000E7A0A"/>
    <w:rsid w:val="000F0580"/>
    <w:rsid w:val="000F0935"/>
    <w:rsid w:val="000F0D0D"/>
    <w:rsid w:val="000F1006"/>
    <w:rsid w:val="000F124E"/>
    <w:rsid w:val="000F12F8"/>
    <w:rsid w:val="000F20D6"/>
    <w:rsid w:val="000F2294"/>
    <w:rsid w:val="000F3933"/>
    <w:rsid w:val="000F3B2A"/>
    <w:rsid w:val="000F3DAA"/>
    <w:rsid w:val="000F466C"/>
    <w:rsid w:val="000F476D"/>
    <w:rsid w:val="000F4FCF"/>
    <w:rsid w:val="000F551A"/>
    <w:rsid w:val="000F58B8"/>
    <w:rsid w:val="000F5A85"/>
    <w:rsid w:val="000F5A8C"/>
    <w:rsid w:val="000F5E14"/>
    <w:rsid w:val="000F66DB"/>
    <w:rsid w:val="000F6D31"/>
    <w:rsid w:val="000F6EC5"/>
    <w:rsid w:val="000F7045"/>
    <w:rsid w:val="000F7177"/>
    <w:rsid w:val="000F745C"/>
    <w:rsid w:val="000F74AC"/>
    <w:rsid w:val="000F772C"/>
    <w:rsid w:val="000F7E78"/>
    <w:rsid w:val="0010001C"/>
    <w:rsid w:val="00100526"/>
    <w:rsid w:val="00100B62"/>
    <w:rsid w:val="00100E81"/>
    <w:rsid w:val="00100F75"/>
    <w:rsid w:val="0010131A"/>
    <w:rsid w:val="001018CA"/>
    <w:rsid w:val="00101C2B"/>
    <w:rsid w:val="00101C42"/>
    <w:rsid w:val="00101DE3"/>
    <w:rsid w:val="001022C7"/>
    <w:rsid w:val="00102984"/>
    <w:rsid w:val="00102E6C"/>
    <w:rsid w:val="00103193"/>
    <w:rsid w:val="0010335D"/>
    <w:rsid w:val="00103A03"/>
    <w:rsid w:val="00103DFF"/>
    <w:rsid w:val="001043E4"/>
    <w:rsid w:val="00104677"/>
    <w:rsid w:val="0010471D"/>
    <w:rsid w:val="00104AC1"/>
    <w:rsid w:val="00105319"/>
    <w:rsid w:val="00105495"/>
    <w:rsid w:val="00105CD0"/>
    <w:rsid w:val="00106238"/>
    <w:rsid w:val="0010624B"/>
    <w:rsid w:val="001064CC"/>
    <w:rsid w:val="001064D3"/>
    <w:rsid w:val="00106599"/>
    <w:rsid w:val="00106ECE"/>
    <w:rsid w:val="00107704"/>
    <w:rsid w:val="0011023B"/>
    <w:rsid w:val="00110264"/>
    <w:rsid w:val="00110662"/>
    <w:rsid w:val="00110723"/>
    <w:rsid w:val="00110935"/>
    <w:rsid w:val="00110A10"/>
    <w:rsid w:val="00110B79"/>
    <w:rsid w:val="00110DD3"/>
    <w:rsid w:val="00110FBD"/>
    <w:rsid w:val="0011102C"/>
    <w:rsid w:val="0011130C"/>
    <w:rsid w:val="00111840"/>
    <w:rsid w:val="001122A2"/>
    <w:rsid w:val="00112655"/>
    <w:rsid w:val="001130A1"/>
    <w:rsid w:val="0011326C"/>
    <w:rsid w:val="001132E5"/>
    <w:rsid w:val="001135C3"/>
    <w:rsid w:val="00113EAB"/>
    <w:rsid w:val="00114682"/>
    <w:rsid w:val="001147AB"/>
    <w:rsid w:val="00114994"/>
    <w:rsid w:val="00115008"/>
    <w:rsid w:val="001168A7"/>
    <w:rsid w:val="00116AEC"/>
    <w:rsid w:val="00117531"/>
    <w:rsid w:val="00117556"/>
    <w:rsid w:val="00117584"/>
    <w:rsid w:val="00120139"/>
    <w:rsid w:val="001201A1"/>
    <w:rsid w:val="001203C2"/>
    <w:rsid w:val="00120928"/>
    <w:rsid w:val="00120A18"/>
    <w:rsid w:val="001210BF"/>
    <w:rsid w:val="00121372"/>
    <w:rsid w:val="001215AD"/>
    <w:rsid w:val="00121620"/>
    <w:rsid w:val="00121848"/>
    <w:rsid w:val="001219D9"/>
    <w:rsid w:val="00121F53"/>
    <w:rsid w:val="00122080"/>
    <w:rsid w:val="00122388"/>
    <w:rsid w:val="00123259"/>
    <w:rsid w:val="00123567"/>
    <w:rsid w:val="00123CD0"/>
    <w:rsid w:val="0012408A"/>
    <w:rsid w:val="001244D7"/>
    <w:rsid w:val="00125454"/>
    <w:rsid w:val="001255BC"/>
    <w:rsid w:val="00125A00"/>
    <w:rsid w:val="00126FEF"/>
    <w:rsid w:val="0012737B"/>
    <w:rsid w:val="00127694"/>
    <w:rsid w:val="001305E1"/>
    <w:rsid w:val="001306B2"/>
    <w:rsid w:val="00130A4D"/>
    <w:rsid w:val="00130D66"/>
    <w:rsid w:val="00131957"/>
    <w:rsid w:val="00131BBE"/>
    <w:rsid w:val="0013226E"/>
    <w:rsid w:val="00132F0C"/>
    <w:rsid w:val="00133186"/>
    <w:rsid w:val="001332A9"/>
    <w:rsid w:val="00133661"/>
    <w:rsid w:val="00134BF5"/>
    <w:rsid w:val="00134D5A"/>
    <w:rsid w:val="0013507B"/>
    <w:rsid w:val="001350AF"/>
    <w:rsid w:val="00135B8A"/>
    <w:rsid w:val="00135FF0"/>
    <w:rsid w:val="0013624D"/>
    <w:rsid w:val="00136279"/>
    <w:rsid w:val="001364AC"/>
    <w:rsid w:val="00136576"/>
    <w:rsid w:val="0013677D"/>
    <w:rsid w:val="0013716A"/>
    <w:rsid w:val="001376CA"/>
    <w:rsid w:val="00140719"/>
    <w:rsid w:val="00140856"/>
    <w:rsid w:val="00140C1F"/>
    <w:rsid w:val="00140F00"/>
    <w:rsid w:val="00141360"/>
    <w:rsid w:val="001415D1"/>
    <w:rsid w:val="001416BF"/>
    <w:rsid w:val="00141CE7"/>
    <w:rsid w:val="00141CF6"/>
    <w:rsid w:val="00141DE7"/>
    <w:rsid w:val="001420DF"/>
    <w:rsid w:val="0014222B"/>
    <w:rsid w:val="001428F5"/>
    <w:rsid w:val="00143A95"/>
    <w:rsid w:val="00145559"/>
    <w:rsid w:val="00145AB2"/>
    <w:rsid w:val="00145F31"/>
    <w:rsid w:val="0014635E"/>
    <w:rsid w:val="00146588"/>
    <w:rsid w:val="00146E7B"/>
    <w:rsid w:val="00146FAA"/>
    <w:rsid w:val="001472EC"/>
    <w:rsid w:val="00147833"/>
    <w:rsid w:val="00147954"/>
    <w:rsid w:val="00147B15"/>
    <w:rsid w:val="001503E4"/>
    <w:rsid w:val="00150F81"/>
    <w:rsid w:val="00151232"/>
    <w:rsid w:val="0015133E"/>
    <w:rsid w:val="001517E0"/>
    <w:rsid w:val="0015233C"/>
    <w:rsid w:val="001531D8"/>
    <w:rsid w:val="00153532"/>
    <w:rsid w:val="00153E26"/>
    <w:rsid w:val="001547AF"/>
    <w:rsid w:val="00155326"/>
    <w:rsid w:val="00155418"/>
    <w:rsid w:val="00156251"/>
    <w:rsid w:val="00157D50"/>
    <w:rsid w:val="00157F62"/>
    <w:rsid w:val="001600A6"/>
    <w:rsid w:val="0016077C"/>
    <w:rsid w:val="001614DD"/>
    <w:rsid w:val="0016312B"/>
    <w:rsid w:val="00163C39"/>
    <w:rsid w:val="00163F93"/>
    <w:rsid w:val="001643E6"/>
    <w:rsid w:val="00164448"/>
    <w:rsid w:val="00164886"/>
    <w:rsid w:val="00164909"/>
    <w:rsid w:val="00165469"/>
    <w:rsid w:val="001655E4"/>
    <w:rsid w:val="001657DF"/>
    <w:rsid w:val="00166CED"/>
    <w:rsid w:val="00166E30"/>
    <w:rsid w:val="0016717F"/>
    <w:rsid w:val="0016768F"/>
    <w:rsid w:val="0016776A"/>
    <w:rsid w:val="0016778F"/>
    <w:rsid w:val="001677FD"/>
    <w:rsid w:val="00167A19"/>
    <w:rsid w:val="00171107"/>
    <w:rsid w:val="00171927"/>
    <w:rsid w:val="00171DA5"/>
    <w:rsid w:val="0017267F"/>
    <w:rsid w:val="001734EC"/>
    <w:rsid w:val="001736A8"/>
    <w:rsid w:val="00173A08"/>
    <w:rsid w:val="00173AED"/>
    <w:rsid w:val="00173BD3"/>
    <w:rsid w:val="00173E5A"/>
    <w:rsid w:val="00174DC3"/>
    <w:rsid w:val="0017598F"/>
    <w:rsid w:val="00175B32"/>
    <w:rsid w:val="00175D2E"/>
    <w:rsid w:val="00175FC8"/>
    <w:rsid w:val="00176064"/>
    <w:rsid w:val="00176307"/>
    <w:rsid w:val="00176537"/>
    <w:rsid w:val="00176782"/>
    <w:rsid w:val="00176A4F"/>
    <w:rsid w:val="0017701D"/>
    <w:rsid w:val="00177AE2"/>
    <w:rsid w:val="00177F3E"/>
    <w:rsid w:val="00180557"/>
    <w:rsid w:val="00180904"/>
    <w:rsid w:val="00180959"/>
    <w:rsid w:val="00180CFC"/>
    <w:rsid w:val="001811A9"/>
    <w:rsid w:val="001811F7"/>
    <w:rsid w:val="001812D9"/>
    <w:rsid w:val="0018168F"/>
    <w:rsid w:val="001817EC"/>
    <w:rsid w:val="00181864"/>
    <w:rsid w:val="00181C13"/>
    <w:rsid w:val="0018229C"/>
    <w:rsid w:val="00182E16"/>
    <w:rsid w:val="00184D27"/>
    <w:rsid w:val="00184DE5"/>
    <w:rsid w:val="0018517C"/>
    <w:rsid w:val="001851ED"/>
    <w:rsid w:val="00185577"/>
    <w:rsid w:val="00186039"/>
    <w:rsid w:val="001863FA"/>
    <w:rsid w:val="00186B71"/>
    <w:rsid w:val="001874BC"/>
    <w:rsid w:val="00187CAC"/>
    <w:rsid w:val="00187D6F"/>
    <w:rsid w:val="001900E6"/>
    <w:rsid w:val="00190793"/>
    <w:rsid w:val="001907C9"/>
    <w:rsid w:val="00190A7D"/>
    <w:rsid w:val="00191048"/>
    <w:rsid w:val="00191237"/>
    <w:rsid w:val="00191606"/>
    <w:rsid w:val="00191C1A"/>
    <w:rsid w:val="0019230A"/>
    <w:rsid w:val="0019276E"/>
    <w:rsid w:val="00192778"/>
    <w:rsid w:val="00192BEC"/>
    <w:rsid w:val="001931F9"/>
    <w:rsid w:val="00193DB4"/>
    <w:rsid w:val="00194CAE"/>
    <w:rsid w:val="001952B2"/>
    <w:rsid w:val="00195FA4"/>
    <w:rsid w:val="00195FA9"/>
    <w:rsid w:val="001961C5"/>
    <w:rsid w:val="001962E6"/>
    <w:rsid w:val="001969DB"/>
    <w:rsid w:val="00196C53"/>
    <w:rsid w:val="00196E39"/>
    <w:rsid w:val="00197456"/>
    <w:rsid w:val="0019745B"/>
    <w:rsid w:val="00197649"/>
    <w:rsid w:val="001976A8"/>
    <w:rsid w:val="00197782"/>
    <w:rsid w:val="00197D96"/>
    <w:rsid w:val="001A04E6"/>
    <w:rsid w:val="001A11B7"/>
    <w:rsid w:val="001A18E5"/>
    <w:rsid w:val="001A19A8"/>
    <w:rsid w:val="001A19D5"/>
    <w:rsid w:val="001A1C41"/>
    <w:rsid w:val="001A1E89"/>
    <w:rsid w:val="001A2505"/>
    <w:rsid w:val="001A2C76"/>
    <w:rsid w:val="001A2CBE"/>
    <w:rsid w:val="001A2E96"/>
    <w:rsid w:val="001A3103"/>
    <w:rsid w:val="001A3158"/>
    <w:rsid w:val="001A32DF"/>
    <w:rsid w:val="001A36E7"/>
    <w:rsid w:val="001A3729"/>
    <w:rsid w:val="001A3C66"/>
    <w:rsid w:val="001A4BDB"/>
    <w:rsid w:val="001A5377"/>
    <w:rsid w:val="001A5F60"/>
    <w:rsid w:val="001A699F"/>
    <w:rsid w:val="001A69C9"/>
    <w:rsid w:val="001A6ACF"/>
    <w:rsid w:val="001A6C7B"/>
    <w:rsid w:val="001A6F98"/>
    <w:rsid w:val="001A6FFB"/>
    <w:rsid w:val="001A7174"/>
    <w:rsid w:val="001B0B29"/>
    <w:rsid w:val="001B0BB1"/>
    <w:rsid w:val="001B14DA"/>
    <w:rsid w:val="001B1904"/>
    <w:rsid w:val="001B1E8D"/>
    <w:rsid w:val="001B1FB3"/>
    <w:rsid w:val="001B2251"/>
    <w:rsid w:val="001B35CC"/>
    <w:rsid w:val="001B3E34"/>
    <w:rsid w:val="001B4B88"/>
    <w:rsid w:val="001B4E50"/>
    <w:rsid w:val="001B58D9"/>
    <w:rsid w:val="001B5BE1"/>
    <w:rsid w:val="001B621C"/>
    <w:rsid w:val="001B698B"/>
    <w:rsid w:val="001B6D73"/>
    <w:rsid w:val="001B706E"/>
    <w:rsid w:val="001B7F72"/>
    <w:rsid w:val="001C01F4"/>
    <w:rsid w:val="001C1B63"/>
    <w:rsid w:val="001C1F76"/>
    <w:rsid w:val="001C1FAE"/>
    <w:rsid w:val="001C20AE"/>
    <w:rsid w:val="001C25CA"/>
    <w:rsid w:val="001C2659"/>
    <w:rsid w:val="001C490B"/>
    <w:rsid w:val="001C493F"/>
    <w:rsid w:val="001C4ECD"/>
    <w:rsid w:val="001C4F63"/>
    <w:rsid w:val="001C4FD7"/>
    <w:rsid w:val="001C4FEC"/>
    <w:rsid w:val="001C5366"/>
    <w:rsid w:val="001C54E2"/>
    <w:rsid w:val="001C57AC"/>
    <w:rsid w:val="001C5880"/>
    <w:rsid w:val="001C5AA5"/>
    <w:rsid w:val="001C5AC4"/>
    <w:rsid w:val="001C5E71"/>
    <w:rsid w:val="001C6034"/>
    <w:rsid w:val="001C6671"/>
    <w:rsid w:val="001C6800"/>
    <w:rsid w:val="001C6CE1"/>
    <w:rsid w:val="001C79A7"/>
    <w:rsid w:val="001C7A03"/>
    <w:rsid w:val="001C7D06"/>
    <w:rsid w:val="001D033E"/>
    <w:rsid w:val="001D03F9"/>
    <w:rsid w:val="001D0661"/>
    <w:rsid w:val="001D1F7D"/>
    <w:rsid w:val="001D260D"/>
    <w:rsid w:val="001D266A"/>
    <w:rsid w:val="001D297C"/>
    <w:rsid w:val="001D2C68"/>
    <w:rsid w:val="001D2FB4"/>
    <w:rsid w:val="001D383C"/>
    <w:rsid w:val="001D3EC1"/>
    <w:rsid w:val="001D42CF"/>
    <w:rsid w:val="001D49A1"/>
    <w:rsid w:val="001D5283"/>
    <w:rsid w:val="001D5463"/>
    <w:rsid w:val="001D5C91"/>
    <w:rsid w:val="001D5FD3"/>
    <w:rsid w:val="001D651D"/>
    <w:rsid w:val="001D6FE5"/>
    <w:rsid w:val="001D78E6"/>
    <w:rsid w:val="001D79B2"/>
    <w:rsid w:val="001E07DF"/>
    <w:rsid w:val="001E0D6F"/>
    <w:rsid w:val="001E120B"/>
    <w:rsid w:val="001E12AA"/>
    <w:rsid w:val="001E155C"/>
    <w:rsid w:val="001E1648"/>
    <w:rsid w:val="001E1B61"/>
    <w:rsid w:val="001E1E8D"/>
    <w:rsid w:val="001E1F35"/>
    <w:rsid w:val="001E27D4"/>
    <w:rsid w:val="001E27DA"/>
    <w:rsid w:val="001E2832"/>
    <w:rsid w:val="001E29DE"/>
    <w:rsid w:val="001E2E72"/>
    <w:rsid w:val="001E353C"/>
    <w:rsid w:val="001E3BC4"/>
    <w:rsid w:val="001E3F75"/>
    <w:rsid w:val="001E43AB"/>
    <w:rsid w:val="001E4733"/>
    <w:rsid w:val="001E4BB5"/>
    <w:rsid w:val="001E52D0"/>
    <w:rsid w:val="001E5AD2"/>
    <w:rsid w:val="001E5C8B"/>
    <w:rsid w:val="001E5E25"/>
    <w:rsid w:val="001E5EED"/>
    <w:rsid w:val="001E5F45"/>
    <w:rsid w:val="001E6104"/>
    <w:rsid w:val="001E630F"/>
    <w:rsid w:val="001E6934"/>
    <w:rsid w:val="001E6C65"/>
    <w:rsid w:val="001E6D84"/>
    <w:rsid w:val="001E73AC"/>
    <w:rsid w:val="001E73CD"/>
    <w:rsid w:val="001E7B2C"/>
    <w:rsid w:val="001F04CC"/>
    <w:rsid w:val="001F0E3B"/>
    <w:rsid w:val="001F1B8D"/>
    <w:rsid w:val="001F20F3"/>
    <w:rsid w:val="001F29E0"/>
    <w:rsid w:val="001F2B3D"/>
    <w:rsid w:val="001F2DDE"/>
    <w:rsid w:val="001F2E7D"/>
    <w:rsid w:val="001F3913"/>
    <w:rsid w:val="001F3A2A"/>
    <w:rsid w:val="001F3B8F"/>
    <w:rsid w:val="001F3F1B"/>
    <w:rsid w:val="001F44BE"/>
    <w:rsid w:val="001F4525"/>
    <w:rsid w:val="001F4843"/>
    <w:rsid w:val="001F50E1"/>
    <w:rsid w:val="001F529C"/>
    <w:rsid w:val="001F5B4C"/>
    <w:rsid w:val="001F601C"/>
    <w:rsid w:val="001F6132"/>
    <w:rsid w:val="001F643F"/>
    <w:rsid w:val="001F6577"/>
    <w:rsid w:val="001F6C5B"/>
    <w:rsid w:val="001F766B"/>
    <w:rsid w:val="001F76C7"/>
    <w:rsid w:val="001F7A19"/>
    <w:rsid w:val="001F7EE5"/>
    <w:rsid w:val="002004B0"/>
    <w:rsid w:val="00200C19"/>
    <w:rsid w:val="00200D45"/>
    <w:rsid w:val="00200E0D"/>
    <w:rsid w:val="0020104A"/>
    <w:rsid w:val="0020123E"/>
    <w:rsid w:val="00201607"/>
    <w:rsid w:val="00201AC5"/>
    <w:rsid w:val="00201AF5"/>
    <w:rsid w:val="00201CEE"/>
    <w:rsid w:val="00201D6E"/>
    <w:rsid w:val="00201F28"/>
    <w:rsid w:val="00202259"/>
    <w:rsid w:val="0020276A"/>
    <w:rsid w:val="002029EB"/>
    <w:rsid w:val="00202FAC"/>
    <w:rsid w:val="00203660"/>
    <w:rsid w:val="00204230"/>
    <w:rsid w:val="00204A08"/>
    <w:rsid w:val="00204D4A"/>
    <w:rsid w:val="00205155"/>
    <w:rsid w:val="00205947"/>
    <w:rsid w:val="00205996"/>
    <w:rsid w:val="002066A0"/>
    <w:rsid w:val="002068E1"/>
    <w:rsid w:val="00206BC7"/>
    <w:rsid w:val="002077D4"/>
    <w:rsid w:val="0021001A"/>
    <w:rsid w:val="002100C3"/>
    <w:rsid w:val="002111C6"/>
    <w:rsid w:val="002116F3"/>
    <w:rsid w:val="00211A0E"/>
    <w:rsid w:val="0021217A"/>
    <w:rsid w:val="00212759"/>
    <w:rsid w:val="002132F8"/>
    <w:rsid w:val="0021333A"/>
    <w:rsid w:val="00213EAE"/>
    <w:rsid w:val="0021421E"/>
    <w:rsid w:val="0021449C"/>
    <w:rsid w:val="0021452C"/>
    <w:rsid w:val="00214748"/>
    <w:rsid w:val="00214AC4"/>
    <w:rsid w:val="002153D8"/>
    <w:rsid w:val="00215994"/>
    <w:rsid w:val="00215A4E"/>
    <w:rsid w:val="0021613E"/>
    <w:rsid w:val="0021637C"/>
    <w:rsid w:val="00216A5B"/>
    <w:rsid w:val="00216C11"/>
    <w:rsid w:val="00216DFA"/>
    <w:rsid w:val="002170AC"/>
    <w:rsid w:val="00217258"/>
    <w:rsid w:val="00217BF5"/>
    <w:rsid w:val="00217C06"/>
    <w:rsid w:val="00220CAE"/>
    <w:rsid w:val="00220E11"/>
    <w:rsid w:val="00220F32"/>
    <w:rsid w:val="00220FC0"/>
    <w:rsid w:val="00221561"/>
    <w:rsid w:val="002219E7"/>
    <w:rsid w:val="002225FC"/>
    <w:rsid w:val="00222C91"/>
    <w:rsid w:val="00223110"/>
    <w:rsid w:val="002233AA"/>
    <w:rsid w:val="00223697"/>
    <w:rsid w:val="002238FC"/>
    <w:rsid w:val="00223BB9"/>
    <w:rsid w:val="00223FBF"/>
    <w:rsid w:val="002243AA"/>
    <w:rsid w:val="002244C3"/>
    <w:rsid w:val="00224526"/>
    <w:rsid w:val="002247A3"/>
    <w:rsid w:val="00224CF8"/>
    <w:rsid w:val="00225634"/>
    <w:rsid w:val="002257BE"/>
    <w:rsid w:val="0022580D"/>
    <w:rsid w:val="00225C01"/>
    <w:rsid w:val="00225D45"/>
    <w:rsid w:val="0022626C"/>
    <w:rsid w:val="00226292"/>
    <w:rsid w:val="00226A26"/>
    <w:rsid w:val="00226A46"/>
    <w:rsid w:val="00226A49"/>
    <w:rsid w:val="00226E0E"/>
    <w:rsid w:val="002272DA"/>
    <w:rsid w:val="00227996"/>
    <w:rsid w:val="00230004"/>
    <w:rsid w:val="00230E12"/>
    <w:rsid w:val="00231282"/>
    <w:rsid w:val="0023184E"/>
    <w:rsid w:val="00231DF1"/>
    <w:rsid w:val="0023234A"/>
    <w:rsid w:val="00233447"/>
    <w:rsid w:val="00233EF6"/>
    <w:rsid w:val="00234AA9"/>
    <w:rsid w:val="00235501"/>
    <w:rsid w:val="002356A6"/>
    <w:rsid w:val="0023581D"/>
    <w:rsid w:val="0023603B"/>
    <w:rsid w:val="00236060"/>
    <w:rsid w:val="0023641B"/>
    <w:rsid w:val="00236988"/>
    <w:rsid w:val="002372D6"/>
    <w:rsid w:val="00237B9D"/>
    <w:rsid w:val="00237DF5"/>
    <w:rsid w:val="00237EBE"/>
    <w:rsid w:val="00240297"/>
    <w:rsid w:val="0024063E"/>
    <w:rsid w:val="00240719"/>
    <w:rsid w:val="00240E69"/>
    <w:rsid w:val="002415BE"/>
    <w:rsid w:val="00242364"/>
    <w:rsid w:val="00242F94"/>
    <w:rsid w:val="0024332D"/>
    <w:rsid w:val="00243385"/>
    <w:rsid w:val="002433B9"/>
    <w:rsid w:val="002440EA"/>
    <w:rsid w:val="002445B8"/>
    <w:rsid w:val="00244FFB"/>
    <w:rsid w:val="0024505F"/>
    <w:rsid w:val="00245A1C"/>
    <w:rsid w:val="00245CE0"/>
    <w:rsid w:val="00245DEE"/>
    <w:rsid w:val="00245E44"/>
    <w:rsid w:val="00246D8F"/>
    <w:rsid w:val="00246E97"/>
    <w:rsid w:val="00246EFC"/>
    <w:rsid w:val="002470CA"/>
    <w:rsid w:val="002475B4"/>
    <w:rsid w:val="0024775C"/>
    <w:rsid w:val="00250382"/>
    <w:rsid w:val="00250392"/>
    <w:rsid w:val="00250646"/>
    <w:rsid w:val="00250A7B"/>
    <w:rsid w:val="00250FC8"/>
    <w:rsid w:val="002513CF"/>
    <w:rsid w:val="00251422"/>
    <w:rsid w:val="0025142D"/>
    <w:rsid w:val="002515CF"/>
    <w:rsid w:val="00251785"/>
    <w:rsid w:val="00252F68"/>
    <w:rsid w:val="00253223"/>
    <w:rsid w:val="0025339F"/>
    <w:rsid w:val="00253EF2"/>
    <w:rsid w:val="002545C3"/>
    <w:rsid w:val="00254713"/>
    <w:rsid w:val="002548CB"/>
    <w:rsid w:val="00254EEC"/>
    <w:rsid w:val="00256706"/>
    <w:rsid w:val="00256C6B"/>
    <w:rsid w:val="00256E8E"/>
    <w:rsid w:val="00257C74"/>
    <w:rsid w:val="00257EE2"/>
    <w:rsid w:val="002609D9"/>
    <w:rsid w:val="00260A19"/>
    <w:rsid w:val="0026116D"/>
    <w:rsid w:val="002611F2"/>
    <w:rsid w:val="00261F7B"/>
    <w:rsid w:val="002628ED"/>
    <w:rsid w:val="00262952"/>
    <w:rsid w:val="00262AA5"/>
    <w:rsid w:val="00262BEA"/>
    <w:rsid w:val="0026313D"/>
    <w:rsid w:val="002632A1"/>
    <w:rsid w:val="002635D1"/>
    <w:rsid w:val="0026393B"/>
    <w:rsid w:val="00264B23"/>
    <w:rsid w:val="002654DD"/>
    <w:rsid w:val="00265783"/>
    <w:rsid w:val="00265AA5"/>
    <w:rsid w:val="002662CD"/>
    <w:rsid w:val="0026684D"/>
    <w:rsid w:val="00266E64"/>
    <w:rsid w:val="0026739B"/>
    <w:rsid w:val="00267EA1"/>
    <w:rsid w:val="002700E8"/>
    <w:rsid w:val="0027010B"/>
    <w:rsid w:val="00270628"/>
    <w:rsid w:val="00270908"/>
    <w:rsid w:val="00270AC7"/>
    <w:rsid w:val="00270C9C"/>
    <w:rsid w:val="0027217F"/>
    <w:rsid w:val="00272528"/>
    <w:rsid w:val="002726FC"/>
    <w:rsid w:val="00272A6F"/>
    <w:rsid w:val="00272EE9"/>
    <w:rsid w:val="002731D6"/>
    <w:rsid w:val="00273469"/>
    <w:rsid w:val="002743F3"/>
    <w:rsid w:val="002748A1"/>
    <w:rsid w:val="002749FC"/>
    <w:rsid w:val="00274B4A"/>
    <w:rsid w:val="00274CAA"/>
    <w:rsid w:val="00274E0D"/>
    <w:rsid w:val="00274E13"/>
    <w:rsid w:val="0027536F"/>
    <w:rsid w:val="0027650D"/>
    <w:rsid w:val="002765B9"/>
    <w:rsid w:val="002765F3"/>
    <w:rsid w:val="002770C3"/>
    <w:rsid w:val="00277BB3"/>
    <w:rsid w:val="00280089"/>
    <w:rsid w:val="0028018A"/>
    <w:rsid w:val="0028034E"/>
    <w:rsid w:val="00280C28"/>
    <w:rsid w:val="00280DE1"/>
    <w:rsid w:val="00280FC9"/>
    <w:rsid w:val="0028152B"/>
    <w:rsid w:val="00281C9B"/>
    <w:rsid w:val="00281E90"/>
    <w:rsid w:val="0028235F"/>
    <w:rsid w:val="00282AE1"/>
    <w:rsid w:val="00282BDF"/>
    <w:rsid w:val="002830D6"/>
    <w:rsid w:val="00283294"/>
    <w:rsid w:val="00283657"/>
    <w:rsid w:val="00284063"/>
    <w:rsid w:val="00284689"/>
    <w:rsid w:val="00284CC4"/>
    <w:rsid w:val="002854FF"/>
    <w:rsid w:val="0028600E"/>
    <w:rsid w:val="00286877"/>
    <w:rsid w:val="00287825"/>
    <w:rsid w:val="00287C59"/>
    <w:rsid w:val="0029078A"/>
    <w:rsid w:val="002907E3"/>
    <w:rsid w:val="00290E6E"/>
    <w:rsid w:val="00291040"/>
    <w:rsid w:val="00291609"/>
    <w:rsid w:val="00291A98"/>
    <w:rsid w:val="00291ADB"/>
    <w:rsid w:val="00291D98"/>
    <w:rsid w:val="00291F7F"/>
    <w:rsid w:val="002921EA"/>
    <w:rsid w:val="00292713"/>
    <w:rsid w:val="00292B8C"/>
    <w:rsid w:val="00292FA8"/>
    <w:rsid w:val="0029317D"/>
    <w:rsid w:val="00293C5A"/>
    <w:rsid w:val="002940B1"/>
    <w:rsid w:val="00294107"/>
    <w:rsid w:val="002944F0"/>
    <w:rsid w:val="002949C5"/>
    <w:rsid w:val="00294DA6"/>
    <w:rsid w:val="0029584E"/>
    <w:rsid w:val="0029595A"/>
    <w:rsid w:val="00295B73"/>
    <w:rsid w:val="00295BAA"/>
    <w:rsid w:val="00295D0E"/>
    <w:rsid w:val="00296E6E"/>
    <w:rsid w:val="0029730A"/>
    <w:rsid w:val="0029743F"/>
    <w:rsid w:val="00297689"/>
    <w:rsid w:val="00297748"/>
    <w:rsid w:val="002978FB"/>
    <w:rsid w:val="00297AF5"/>
    <w:rsid w:val="002A00F8"/>
    <w:rsid w:val="002A0C4F"/>
    <w:rsid w:val="002A1415"/>
    <w:rsid w:val="002A18EF"/>
    <w:rsid w:val="002A1C97"/>
    <w:rsid w:val="002A22DA"/>
    <w:rsid w:val="002A2725"/>
    <w:rsid w:val="002A2833"/>
    <w:rsid w:val="002A308A"/>
    <w:rsid w:val="002A31A4"/>
    <w:rsid w:val="002A33CD"/>
    <w:rsid w:val="002A3A5D"/>
    <w:rsid w:val="002A3B57"/>
    <w:rsid w:val="002A432A"/>
    <w:rsid w:val="002A49C7"/>
    <w:rsid w:val="002A55A3"/>
    <w:rsid w:val="002A6C2C"/>
    <w:rsid w:val="002A6F0A"/>
    <w:rsid w:val="002A6F9B"/>
    <w:rsid w:val="002A7C51"/>
    <w:rsid w:val="002A7E9D"/>
    <w:rsid w:val="002A7F21"/>
    <w:rsid w:val="002B03C0"/>
    <w:rsid w:val="002B0723"/>
    <w:rsid w:val="002B0E54"/>
    <w:rsid w:val="002B16EC"/>
    <w:rsid w:val="002B2445"/>
    <w:rsid w:val="002B27B6"/>
    <w:rsid w:val="002B2B99"/>
    <w:rsid w:val="002B2ED9"/>
    <w:rsid w:val="002B3053"/>
    <w:rsid w:val="002B3DDC"/>
    <w:rsid w:val="002B3F0A"/>
    <w:rsid w:val="002B40B0"/>
    <w:rsid w:val="002B4315"/>
    <w:rsid w:val="002B4567"/>
    <w:rsid w:val="002B4C1A"/>
    <w:rsid w:val="002B4E01"/>
    <w:rsid w:val="002B51D3"/>
    <w:rsid w:val="002B5BDB"/>
    <w:rsid w:val="002B5DFC"/>
    <w:rsid w:val="002B67F0"/>
    <w:rsid w:val="002B6802"/>
    <w:rsid w:val="002B696C"/>
    <w:rsid w:val="002B6A6D"/>
    <w:rsid w:val="002B6B2E"/>
    <w:rsid w:val="002B6DE0"/>
    <w:rsid w:val="002B7477"/>
    <w:rsid w:val="002B7602"/>
    <w:rsid w:val="002B782D"/>
    <w:rsid w:val="002B7F91"/>
    <w:rsid w:val="002C010E"/>
    <w:rsid w:val="002C0331"/>
    <w:rsid w:val="002C041F"/>
    <w:rsid w:val="002C0C82"/>
    <w:rsid w:val="002C0DB4"/>
    <w:rsid w:val="002C11D2"/>
    <w:rsid w:val="002C124E"/>
    <w:rsid w:val="002C18E9"/>
    <w:rsid w:val="002C1E12"/>
    <w:rsid w:val="002C21AE"/>
    <w:rsid w:val="002C21CC"/>
    <w:rsid w:val="002C227F"/>
    <w:rsid w:val="002C2DB8"/>
    <w:rsid w:val="002C349A"/>
    <w:rsid w:val="002C359D"/>
    <w:rsid w:val="002C3B1F"/>
    <w:rsid w:val="002C3C60"/>
    <w:rsid w:val="002C3ED6"/>
    <w:rsid w:val="002C4A4A"/>
    <w:rsid w:val="002C4BF6"/>
    <w:rsid w:val="002C5270"/>
    <w:rsid w:val="002C5367"/>
    <w:rsid w:val="002C5BB4"/>
    <w:rsid w:val="002C5C88"/>
    <w:rsid w:val="002C63F7"/>
    <w:rsid w:val="002C6DF8"/>
    <w:rsid w:val="002C73D6"/>
    <w:rsid w:val="002C7690"/>
    <w:rsid w:val="002C7C3D"/>
    <w:rsid w:val="002C7CFE"/>
    <w:rsid w:val="002C7F53"/>
    <w:rsid w:val="002D06CD"/>
    <w:rsid w:val="002D06DF"/>
    <w:rsid w:val="002D0A4D"/>
    <w:rsid w:val="002D0D04"/>
    <w:rsid w:val="002D0D5B"/>
    <w:rsid w:val="002D0FF3"/>
    <w:rsid w:val="002D12BB"/>
    <w:rsid w:val="002D1600"/>
    <w:rsid w:val="002D19A6"/>
    <w:rsid w:val="002D19CD"/>
    <w:rsid w:val="002D223F"/>
    <w:rsid w:val="002D2497"/>
    <w:rsid w:val="002D2C0E"/>
    <w:rsid w:val="002D2D2C"/>
    <w:rsid w:val="002D2E7A"/>
    <w:rsid w:val="002D2F13"/>
    <w:rsid w:val="002D2F66"/>
    <w:rsid w:val="002D3D51"/>
    <w:rsid w:val="002D5768"/>
    <w:rsid w:val="002D58AB"/>
    <w:rsid w:val="002D6027"/>
    <w:rsid w:val="002D6304"/>
    <w:rsid w:val="002D6706"/>
    <w:rsid w:val="002D6CF4"/>
    <w:rsid w:val="002D738D"/>
    <w:rsid w:val="002D7467"/>
    <w:rsid w:val="002E071A"/>
    <w:rsid w:val="002E0920"/>
    <w:rsid w:val="002E0CB4"/>
    <w:rsid w:val="002E0D26"/>
    <w:rsid w:val="002E0F2E"/>
    <w:rsid w:val="002E1017"/>
    <w:rsid w:val="002E12BE"/>
    <w:rsid w:val="002E1907"/>
    <w:rsid w:val="002E1C50"/>
    <w:rsid w:val="002E1C58"/>
    <w:rsid w:val="002E254D"/>
    <w:rsid w:val="002E2618"/>
    <w:rsid w:val="002E2695"/>
    <w:rsid w:val="002E2905"/>
    <w:rsid w:val="002E30F5"/>
    <w:rsid w:val="002E3501"/>
    <w:rsid w:val="002E3C42"/>
    <w:rsid w:val="002E41F7"/>
    <w:rsid w:val="002E43FC"/>
    <w:rsid w:val="002E501E"/>
    <w:rsid w:val="002E556D"/>
    <w:rsid w:val="002E585C"/>
    <w:rsid w:val="002E5B79"/>
    <w:rsid w:val="002E5D49"/>
    <w:rsid w:val="002E618E"/>
    <w:rsid w:val="002E6398"/>
    <w:rsid w:val="002E6752"/>
    <w:rsid w:val="002E67D7"/>
    <w:rsid w:val="002E67FF"/>
    <w:rsid w:val="002E73BB"/>
    <w:rsid w:val="002E73E3"/>
    <w:rsid w:val="002E7680"/>
    <w:rsid w:val="002E7DAF"/>
    <w:rsid w:val="002F01DE"/>
    <w:rsid w:val="002F0494"/>
    <w:rsid w:val="002F06A4"/>
    <w:rsid w:val="002F076F"/>
    <w:rsid w:val="002F13A2"/>
    <w:rsid w:val="002F17A2"/>
    <w:rsid w:val="002F223F"/>
    <w:rsid w:val="002F2382"/>
    <w:rsid w:val="002F2EFD"/>
    <w:rsid w:val="002F3EC4"/>
    <w:rsid w:val="002F4034"/>
    <w:rsid w:val="002F4A57"/>
    <w:rsid w:val="002F4D9A"/>
    <w:rsid w:val="002F4E48"/>
    <w:rsid w:val="002F5125"/>
    <w:rsid w:val="002F59A4"/>
    <w:rsid w:val="002F5FA4"/>
    <w:rsid w:val="002F65EA"/>
    <w:rsid w:val="002F6B60"/>
    <w:rsid w:val="002F6C8C"/>
    <w:rsid w:val="002F6F1C"/>
    <w:rsid w:val="002F7161"/>
    <w:rsid w:val="002F71EB"/>
    <w:rsid w:val="002F7912"/>
    <w:rsid w:val="00300891"/>
    <w:rsid w:val="00301276"/>
    <w:rsid w:val="003012A2"/>
    <w:rsid w:val="003012CC"/>
    <w:rsid w:val="003016D8"/>
    <w:rsid w:val="00301847"/>
    <w:rsid w:val="00301ADF"/>
    <w:rsid w:val="00301E73"/>
    <w:rsid w:val="00302B8B"/>
    <w:rsid w:val="003030B4"/>
    <w:rsid w:val="0030330E"/>
    <w:rsid w:val="00303BF4"/>
    <w:rsid w:val="00303DEA"/>
    <w:rsid w:val="003047E5"/>
    <w:rsid w:val="00304862"/>
    <w:rsid w:val="00304FB0"/>
    <w:rsid w:val="0030565A"/>
    <w:rsid w:val="00305850"/>
    <w:rsid w:val="00305B58"/>
    <w:rsid w:val="00305B8A"/>
    <w:rsid w:val="003064B6"/>
    <w:rsid w:val="0030654C"/>
    <w:rsid w:val="00306D74"/>
    <w:rsid w:val="00306F85"/>
    <w:rsid w:val="00306F9F"/>
    <w:rsid w:val="003074C7"/>
    <w:rsid w:val="0030757D"/>
    <w:rsid w:val="00307994"/>
    <w:rsid w:val="00307B02"/>
    <w:rsid w:val="00307D3E"/>
    <w:rsid w:val="0031008C"/>
    <w:rsid w:val="0031067F"/>
    <w:rsid w:val="00310943"/>
    <w:rsid w:val="003111CD"/>
    <w:rsid w:val="003114FF"/>
    <w:rsid w:val="003118EF"/>
    <w:rsid w:val="003119BA"/>
    <w:rsid w:val="00311B56"/>
    <w:rsid w:val="00311E23"/>
    <w:rsid w:val="00311FEA"/>
    <w:rsid w:val="00312359"/>
    <w:rsid w:val="00312500"/>
    <w:rsid w:val="00312ABF"/>
    <w:rsid w:val="00312E41"/>
    <w:rsid w:val="003136E1"/>
    <w:rsid w:val="003141B4"/>
    <w:rsid w:val="0031432F"/>
    <w:rsid w:val="00314399"/>
    <w:rsid w:val="0031444E"/>
    <w:rsid w:val="00314877"/>
    <w:rsid w:val="00314A34"/>
    <w:rsid w:val="00314A4C"/>
    <w:rsid w:val="00314A69"/>
    <w:rsid w:val="00314C82"/>
    <w:rsid w:val="00314DD9"/>
    <w:rsid w:val="003153FC"/>
    <w:rsid w:val="0031550B"/>
    <w:rsid w:val="00315740"/>
    <w:rsid w:val="00315B79"/>
    <w:rsid w:val="00315EE3"/>
    <w:rsid w:val="0031641F"/>
    <w:rsid w:val="0031675E"/>
    <w:rsid w:val="003169E0"/>
    <w:rsid w:val="00316D2B"/>
    <w:rsid w:val="0031728A"/>
    <w:rsid w:val="003175B8"/>
    <w:rsid w:val="00317A3A"/>
    <w:rsid w:val="00320A67"/>
    <w:rsid w:val="00320C1A"/>
    <w:rsid w:val="00320E2F"/>
    <w:rsid w:val="00320EF5"/>
    <w:rsid w:val="0032150D"/>
    <w:rsid w:val="00321D80"/>
    <w:rsid w:val="003224CC"/>
    <w:rsid w:val="0032258F"/>
    <w:rsid w:val="00322F65"/>
    <w:rsid w:val="00323327"/>
    <w:rsid w:val="00323E28"/>
    <w:rsid w:val="003242E3"/>
    <w:rsid w:val="00324C71"/>
    <w:rsid w:val="00324E25"/>
    <w:rsid w:val="0032534C"/>
    <w:rsid w:val="00325542"/>
    <w:rsid w:val="003257C7"/>
    <w:rsid w:val="003258D5"/>
    <w:rsid w:val="0032613C"/>
    <w:rsid w:val="003265E5"/>
    <w:rsid w:val="003268CA"/>
    <w:rsid w:val="00326B37"/>
    <w:rsid w:val="00326F09"/>
    <w:rsid w:val="003270B4"/>
    <w:rsid w:val="003272D3"/>
    <w:rsid w:val="003273D3"/>
    <w:rsid w:val="00327DE9"/>
    <w:rsid w:val="00330966"/>
    <w:rsid w:val="00330A30"/>
    <w:rsid w:val="0033102E"/>
    <w:rsid w:val="00331E0E"/>
    <w:rsid w:val="0033229F"/>
    <w:rsid w:val="00332765"/>
    <w:rsid w:val="00332C68"/>
    <w:rsid w:val="003334C6"/>
    <w:rsid w:val="00333C8C"/>
    <w:rsid w:val="00333F26"/>
    <w:rsid w:val="003342F2"/>
    <w:rsid w:val="00334956"/>
    <w:rsid w:val="00335009"/>
    <w:rsid w:val="003350F4"/>
    <w:rsid w:val="003356AB"/>
    <w:rsid w:val="003360B3"/>
    <w:rsid w:val="00336339"/>
    <w:rsid w:val="0033640B"/>
    <w:rsid w:val="00336583"/>
    <w:rsid w:val="003366E3"/>
    <w:rsid w:val="00336D3C"/>
    <w:rsid w:val="00337010"/>
    <w:rsid w:val="003377CB"/>
    <w:rsid w:val="00340162"/>
    <w:rsid w:val="0034031C"/>
    <w:rsid w:val="00340386"/>
    <w:rsid w:val="00340809"/>
    <w:rsid w:val="00340C69"/>
    <w:rsid w:val="003410B8"/>
    <w:rsid w:val="00341954"/>
    <w:rsid w:val="00341970"/>
    <w:rsid w:val="00341BE3"/>
    <w:rsid w:val="003429F6"/>
    <w:rsid w:val="00342F12"/>
    <w:rsid w:val="00342F25"/>
    <w:rsid w:val="003431FE"/>
    <w:rsid w:val="003432D2"/>
    <w:rsid w:val="00343547"/>
    <w:rsid w:val="00343680"/>
    <w:rsid w:val="00344119"/>
    <w:rsid w:val="00344750"/>
    <w:rsid w:val="00344A8E"/>
    <w:rsid w:val="00344CA5"/>
    <w:rsid w:val="00344E06"/>
    <w:rsid w:val="003451A5"/>
    <w:rsid w:val="00345354"/>
    <w:rsid w:val="00345559"/>
    <w:rsid w:val="003455BF"/>
    <w:rsid w:val="00345D32"/>
    <w:rsid w:val="00345E7E"/>
    <w:rsid w:val="00345F9D"/>
    <w:rsid w:val="0034660E"/>
    <w:rsid w:val="00347227"/>
    <w:rsid w:val="003472A8"/>
    <w:rsid w:val="003473CC"/>
    <w:rsid w:val="0034754E"/>
    <w:rsid w:val="00347607"/>
    <w:rsid w:val="00347FC4"/>
    <w:rsid w:val="003503EB"/>
    <w:rsid w:val="00350CB7"/>
    <w:rsid w:val="003515DB"/>
    <w:rsid w:val="00351845"/>
    <w:rsid w:val="003518DF"/>
    <w:rsid w:val="003518E3"/>
    <w:rsid w:val="00351D4B"/>
    <w:rsid w:val="00351FAC"/>
    <w:rsid w:val="00352110"/>
    <w:rsid w:val="00352483"/>
    <w:rsid w:val="003527C1"/>
    <w:rsid w:val="00352921"/>
    <w:rsid w:val="00353059"/>
    <w:rsid w:val="0035325F"/>
    <w:rsid w:val="0035355E"/>
    <w:rsid w:val="00354165"/>
    <w:rsid w:val="00354C4E"/>
    <w:rsid w:val="00355187"/>
    <w:rsid w:val="003553E2"/>
    <w:rsid w:val="00355665"/>
    <w:rsid w:val="00355D8F"/>
    <w:rsid w:val="00356176"/>
    <w:rsid w:val="00356311"/>
    <w:rsid w:val="00356BC3"/>
    <w:rsid w:val="00356D2B"/>
    <w:rsid w:val="00357621"/>
    <w:rsid w:val="00357929"/>
    <w:rsid w:val="00357CAB"/>
    <w:rsid w:val="00357DCC"/>
    <w:rsid w:val="00360738"/>
    <w:rsid w:val="00360A69"/>
    <w:rsid w:val="00360EBB"/>
    <w:rsid w:val="0036139F"/>
    <w:rsid w:val="003614BB"/>
    <w:rsid w:val="00361FA7"/>
    <w:rsid w:val="003623FC"/>
    <w:rsid w:val="00362505"/>
    <w:rsid w:val="00362909"/>
    <w:rsid w:val="003636D3"/>
    <w:rsid w:val="003638E1"/>
    <w:rsid w:val="003642FB"/>
    <w:rsid w:val="003647BA"/>
    <w:rsid w:val="00364A3F"/>
    <w:rsid w:val="00364D97"/>
    <w:rsid w:val="00364FEE"/>
    <w:rsid w:val="003652B7"/>
    <w:rsid w:val="00365AB7"/>
    <w:rsid w:val="00365B12"/>
    <w:rsid w:val="00365FBF"/>
    <w:rsid w:val="00366742"/>
    <w:rsid w:val="003668EB"/>
    <w:rsid w:val="00366DEC"/>
    <w:rsid w:val="00370006"/>
    <w:rsid w:val="003701FB"/>
    <w:rsid w:val="0037056C"/>
    <w:rsid w:val="00371171"/>
    <w:rsid w:val="0037149B"/>
    <w:rsid w:val="00371B9A"/>
    <w:rsid w:val="00371D8F"/>
    <w:rsid w:val="0037245C"/>
    <w:rsid w:val="003724AE"/>
    <w:rsid w:val="00372520"/>
    <w:rsid w:val="0037259F"/>
    <w:rsid w:val="00372896"/>
    <w:rsid w:val="00372C24"/>
    <w:rsid w:val="00372D63"/>
    <w:rsid w:val="00373295"/>
    <w:rsid w:val="003732A8"/>
    <w:rsid w:val="003735DE"/>
    <w:rsid w:val="00373634"/>
    <w:rsid w:val="00374333"/>
    <w:rsid w:val="00374463"/>
    <w:rsid w:val="0037477E"/>
    <w:rsid w:val="00374C59"/>
    <w:rsid w:val="00375218"/>
    <w:rsid w:val="003755BF"/>
    <w:rsid w:val="003758BD"/>
    <w:rsid w:val="003765AB"/>
    <w:rsid w:val="0037667A"/>
    <w:rsid w:val="003770C0"/>
    <w:rsid w:val="00377381"/>
    <w:rsid w:val="00377AF1"/>
    <w:rsid w:val="00377B2B"/>
    <w:rsid w:val="00377B4A"/>
    <w:rsid w:val="00377BA8"/>
    <w:rsid w:val="003807A7"/>
    <w:rsid w:val="00381989"/>
    <w:rsid w:val="00381F7E"/>
    <w:rsid w:val="00382052"/>
    <w:rsid w:val="0038253D"/>
    <w:rsid w:val="00382617"/>
    <w:rsid w:val="0038277B"/>
    <w:rsid w:val="0038382D"/>
    <w:rsid w:val="0038383A"/>
    <w:rsid w:val="00383D42"/>
    <w:rsid w:val="00383EA9"/>
    <w:rsid w:val="003841A4"/>
    <w:rsid w:val="003844E3"/>
    <w:rsid w:val="00384C6A"/>
    <w:rsid w:val="00385368"/>
    <w:rsid w:val="003859CA"/>
    <w:rsid w:val="003861AF"/>
    <w:rsid w:val="00386940"/>
    <w:rsid w:val="00386A31"/>
    <w:rsid w:val="00386DD9"/>
    <w:rsid w:val="00386EAA"/>
    <w:rsid w:val="0038719D"/>
    <w:rsid w:val="003876FE"/>
    <w:rsid w:val="00387739"/>
    <w:rsid w:val="00387949"/>
    <w:rsid w:val="00387AC2"/>
    <w:rsid w:val="00387DE6"/>
    <w:rsid w:val="003904AD"/>
    <w:rsid w:val="00390503"/>
    <w:rsid w:val="00390727"/>
    <w:rsid w:val="00390962"/>
    <w:rsid w:val="00390A6B"/>
    <w:rsid w:val="00390DF3"/>
    <w:rsid w:val="00391404"/>
    <w:rsid w:val="00392035"/>
    <w:rsid w:val="003922D4"/>
    <w:rsid w:val="0039234C"/>
    <w:rsid w:val="003924BD"/>
    <w:rsid w:val="00392A43"/>
    <w:rsid w:val="00392DA5"/>
    <w:rsid w:val="003934D6"/>
    <w:rsid w:val="0039447B"/>
    <w:rsid w:val="00394860"/>
    <w:rsid w:val="00394CB1"/>
    <w:rsid w:val="0039520A"/>
    <w:rsid w:val="003954FE"/>
    <w:rsid w:val="003961C9"/>
    <w:rsid w:val="00396998"/>
    <w:rsid w:val="00396ABE"/>
    <w:rsid w:val="00396EC8"/>
    <w:rsid w:val="00396FB3"/>
    <w:rsid w:val="0039725D"/>
    <w:rsid w:val="00397516"/>
    <w:rsid w:val="0039792F"/>
    <w:rsid w:val="003A05A4"/>
    <w:rsid w:val="003A0CCD"/>
    <w:rsid w:val="003A0CEA"/>
    <w:rsid w:val="003A0EB1"/>
    <w:rsid w:val="003A0EF0"/>
    <w:rsid w:val="003A10AE"/>
    <w:rsid w:val="003A121D"/>
    <w:rsid w:val="003A122C"/>
    <w:rsid w:val="003A2166"/>
    <w:rsid w:val="003A26E7"/>
    <w:rsid w:val="003A2D8C"/>
    <w:rsid w:val="003A36E0"/>
    <w:rsid w:val="003A3CB7"/>
    <w:rsid w:val="003A3EB7"/>
    <w:rsid w:val="003A466E"/>
    <w:rsid w:val="003A47B5"/>
    <w:rsid w:val="003A4B29"/>
    <w:rsid w:val="003A57A8"/>
    <w:rsid w:val="003A6862"/>
    <w:rsid w:val="003A6B46"/>
    <w:rsid w:val="003A6CC3"/>
    <w:rsid w:val="003A7612"/>
    <w:rsid w:val="003B0457"/>
    <w:rsid w:val="003B0795"/>
    <w:rsid w:val="003B09BC"/>
    <w:rsid w:val="003B0F44"/>
    <w:rsid w:val="003B1429"/>
    <w:rsid w:val="003B150D"/>
    <w:rsid w:val="003B29A1"/>
    <w:rsid w:val="003B336F"/>
    <w:rsid w:val="003B3407"/>
    <w:rsid w:val="003B369F"/>
    <w:rsid w:val="003B3C3E"/>
    <w:rsid w:val="003B4E3C"/>
    <w:rsid w:val="003B61FA"/>
    <w:rsid w:val="003B623E"/>
    <w:rsid w:val="003B6737"/>
    <w:rsid w:val="003B6917"/>
    <w:rsid w:val="003B6FD2"/>
    <w:rsid w:val="003B77C2"/>
    <w:rsid w:val="003B7962"/>
    <w:rsid w:val="003B7FE3"/>
    <w:rsid w:val="003C182F"/>
    <w:rsid w:val="003C1D60"/>
    <w:rsid w:val="003C229C"/>
    <w:rsid w:val="003C30F5"/>
    <w:rsid w:val="003C340B"/>
    <w:rsid w:val="003C3D0D"/>
    <w:rsid w:val="003C4181"/>
    <w:rsid w:val="003C4438"/>
    <w:rsid w:val="003C445B"/>
    <w:rsid w:val="003C44B4"/>
    <w:rsid w:val="003C4851"/>
    <w:rsid w:val="003C510B"/>
    <w:rsid w:val="003C5146"/>
    <w:rsid w:val="003C5E92"/>
    <w:rsid w:val="003C5F46"/>
    <w:rsid w:val="003C6D75"/>
    <w:rsid w:val="003C6E16"/>
    <w:rsid w:val="003C79FD"/>
    <w:rsid w:val="003D001C"/>
    <w:rsid w:val="003D00DD"/>
    <w:rsid w:val="003D020D"/>
    <w:rsid w:val="003D05F9"/>
    <w:rsid w:val="003D09C8"/>
    <w:rsid w:val="003D0BE3"/>
    <w:rsid w:val="003D13AD"/>
    <w:rsid w:val="003D13EB"/>
    <w:rsid w:val="003D1F25"/>
    <w:rsid w:val="003D1FF3"/>
    <w:rsid w:val="003D21AD"/>
    <w:rsid w:val="003D23D2"/>
    <w:rsid w:val="003D2729"/>
    <w:rsid w:val="003D273A"/>
    <w:rsid w:val="003D281E"/>
    <w:rsid w:val="003D294F"/>
    <w:rsid w:val="003D2D2A"/>
    <w:rsid w:val="003D2D36"/>
    <w:rsid w:val="003D2DC2"/>
    <w:rsid w:val="003D2ECA"/>
    <w:rsid w:val="003D31E9"/>
    <w:rsid w:val="003D3404"/>
    <w:rsid w:val="003D39C0"/>
    <w:rsid w:val="003D48B1"/>
    <w:rsid w:val="003D5CEF"/>
    <w:rsid w:val="003D5DFE"/>
    <w:rsid w:val="003D6245"/>
    <w:rsid w:val="003D658D"/>
    <w:rsid w:val="003D698E"/>
    <w:rsid w:val="003D6A04"/>
    <w:rsid w:val="003D7102"/>
    <w:rsid w:val="003D729E"/>
    <w:rsid w:val="003D7965"/>
    <w:rsid w:val="003E00B8"/>
    <w:rsid w:val="003E0270"/>
    <w:rsid w:val="003E032D"/>
    <w:rsid w:val="003E032E"/>
    <w:rsid w:val="003E0415"/>
    <w:rsid w:val="003E0620"/>
    <w:rsid w:val="003E0AA8"/>
    <w:rsid w:val="003E0C95"/>
    <w:rsid w:val="003E0D95"/>
    <w:rsid w:val="003E1F72"/>
    <w:rsid w:val="003E213B"/>
    <w:rsid w:val="003E24D9"/>
    <w:rsid w:val="003E274B"/>
    <w:rsid w:val="003E3369"/>
    <w:rsid w:val="003E3780"/>
    <w:rsid w:val="003E3D6B"/>
    <w:rsid w:val="003E3DFE"/>
    <w:rsid w:val="003E43F5"/>
    <w:rsid w:val="003E490F"/>
    <w:rsid w:val="003E4B10"/>
    <w:rsid w:val="003E4FB1"/>
    <w:rsid w:val="003E51FF"/>
    <w:rsid w:val="003E5B5A"/>
    <w:rsid w:val="003E64AB"/>
    <w:rsid w:val="003E6D86"/>
    <w:rsid w:val="003E7253"/>
    <w:rsid w:val="003E73F3"/>
    <w:rsid w:val="003E76E0"/>
    <w:rsid w:val="003E76FC"/>
    <w:rsid w:val="003E7824"/>
    <w:rsid w:val="003E7D64"/>
    <w:rsid w:val="003F0776"/>
    <w:rsid w:val="003F087D"/>
    <w:rsid w:val="003F0C6E"/>
    <w:rsid w:val="003F1011"/>
    <w:rsid w:val="003F1183"/>
    <w:rsid w:val="003F13C6"/>
    <w:rsid w:val="003F146B"/>
    <w:rsid w:val="003F19FD"/>
    <w:rsid w:val="003F1EFB"/>
    <w:rsid w:val="003F1FC3"/>
    <w:rsid w:val="003F20D6"/>
    <w:rsid w:val="003F251D"/>
    <w:rsid w:val="003F2B3E"/>
    <w:rsid w:val="003F2FDE"/>
    <w:rsid w:val="003F33D1"/>
    <w:rsid w:val="003F3601"/>
    <w:rsid w:val="003F3739"/>
    <w:rsid w:val="003F3A17"/>
    <w:rsid w:val="003F3A9D"/>
    <w:rsid w:val="003F3AB4"/>
    <w:rsid w:val="003F3D54"/>
    <w:rsid w:val="003F3DC7"/>
    <w:rsid w:val="003F402D"/>
    <w:rsid w:val="003F40AA"/>
    <w:rsid w:val="003F4246"/>
    <w:rsid w:val="003F4484"/>
    <w:rsid w:val="003F4780"/>
    <w:rsid w:val="003F48D8"/>
    <w:rsid w:val="003F4A34"/>
    <w:rsid w:val="003F4D5E"/>
    <w:rsid w:val="003F51B1"/>
    <w:rsid w:val="003F56FA"/>
    <w:rsid w:val="003F5719"/>
    <w:rsid w:val="003F5837"/>
    <w:rsid w:val="003F5920"/>
    <w:rsid w:val="003F5C7B"/>
    <w:rsid w:val="003F5E68"/>
    <w:rsid w:val="003F5ED9"/>
    <w:rsid w:val="003F73AA"/>
    <w:rsid w:val="003F773B"/>
    <w:rsid w:val="003F7A3F"/>
    <w:rsid w:val="003F7AFE"/>
    <w:rsid w:val="00400A24"/>
    <w:rsid w:val="00400AC1"/>
    <w:rsid w:val="004014F4"/>
    <w:rsid w:val="00401663"/>
    <w:rsid w:val="00401776"/>
    <w:rsid w:val="004017C3"/>
    <w:rsid w:val="00401B4F"/>
    <w:rsid w:val="00401B95"/>
    <w:rsid w:val="00402916"/>
    <w:rsid w:val="00403290"/>
    <w:rsid w:val="00403461"/>
    <w:rsid w:val="00403890"/>
    <w:rsid w:val="004040AA"/>
    <w:rsid w:val="00404EF3"/>
    <w:rsid w:val="00404F99"/>
    <w:rsid w:val="0040559B"/>
    <w:rsid w:val="00405746"/>
    <w:rsid w:val="004057C2"/>
    <w:rsid w:val="00405B5B"/>
    <w:rsid w:val="004063AA"/>
    <w:rsid w:val="0040654A"/>
    <w:rsid w:val="00406810"/>
    <w:rsid w:val="004069FC"/>
    <w:rsid w:val="00406C8C"/>
    <w:rsid w:val="0040711A"/>
    <w:rsid w:val="00407C6F"/>
    <w:rsid w:val="00407E39"/>
    <w:rsid w:val="0041030C"/>
    <w:rsid w:val="004104D7"/>
    <w:rsid w:val="0041050A"/>
    <w:rsid w:val="004107F8"/>
    <w:rsid w:val="0041082E"/>
    <w:rsid w:val="0041095B"/>
    <w:rsid w:val="00410CDA"/>
    <w:rsid w:val="00410FBE"/>
    <w:rsid w:val="00411603"/>
    <w:rsid w:val="00411930"/>
    <w:rsid w:val="0041194B"/>
    <w:rsid w:val="00411A32"/>
    <w:rsid w:val="00412C94"/>
    <w:rsid w:val="00412EA7"/>
    <w:rsid w:val="00413117"/>
    <w:rsid w:val="00414137"/>
    <w:rsid w:val="0041477C"/>
    <w:rsid w:val="00414C33"/>
    <w:rsid w:val="00414C9D"/>
    <w:rsid w:val="00414FD4"/>
    <w:rsid w:val="004157B9"/>
    <w:rsid w:val="00415986"/>
    <w:rsid w:val="00415B1B"/>
    <w:rsid w:val="00415EB2"/>
    <w:rsid w:val="00417F01"/>
    <w:rsid w:val="004206B6"/>
    <w:rsid w:val="00420815"/>
    <w:rsid w:val="00420B21"/>
    <w:rsid w:val="00420B38"/>
    <w:rsid w:val="0042146E"/>
    <w:rsid w:val="004223E7"/>
    <w:rsid w:val="00422733"/>
    <w:rsid w:val="0042343E"/>
    <w:rsid w:val="004242AE"/>
    <w:rsid w:val="0042450E"/>
    <w:rsid w:val="004248E1"/>
    <w:rsid w:val="00424B7F"/>
    <w:rsid w:val="00424EB8"/>
    <w:rsid w:val="0042546B"/>
    <w:rsid w:val="0042556B"/>
    <w:rsid w:val="0042597A"/>
    <w:rsid w:val="00425CB7"/>
    <w:rsid w:val="00425EEF"/>
    <w:rsid w:val="004265FE"/>
    <w:rsid w:val="00426BB1"/>
    <w:rsid w:val="00427092"/>
    <w:rsid w:val="00427867"/>
    <w:rsid w:val="00427F50"/>
    <w:rsid w:val="0043093E"/>
    <w:rsid w:val="00431500"/>
    <w:rsid w:val="00431E6B"/>
    <w:rsid w:val="00431EE3"/>
    <w:rsid w:val="00432299"/>
    <w:rsid w:val="004323DA"/>
    <w:rsid w:val="00432B77"/>
    <w:rsid w:val="00434E4C"/>
    <w:rsid w:val="004356B4"/>
    <w:rsid w:val="0043588D"/>
    <w:rsid w:val="00435F75"/>
    <w:rsid w:val="004363B4"/>
    <w:rsid w:val="004363E2"/>
    <w:rsid w:val="00436C74"/>
    <w:rsid w:val="00437058"/>
    <w:rsid w:val="004376CC"/>
    <w:rsid w:val="004378D0"/>
    <w:rsid w:val="004407A2"/>
    <w:rsid w:val="004407AF"/>
    <w:rsid w:val="004411A2"/>
    <w:rsid w:val="004411CF"/>
    <w:rsid w:val="004416AC"/>
    <w:rsid w:val="0044182E"/>
    <w:rsid w:val="004428B9"/>
    <w:rsid w:val="00442974"/>
    <w:rsid w:val="00442EE1"/>
    <w:rsid w:val="00443031"/>
    <w:rsid w:val="004435E6"/>
    <w:rsid w:val="0044387F"/>
    <w:rsid w:val="00443FBE"/>
    <w:rsid w:val="0044448E"/>
    <w:rsid w:val="00444B77"/>
    <w:rsid w:val="00444F6E"/>
    <w:rsid w:val="004453E6"/>
    <w:rsid w:val="00445496"/>
    <w:rsid w:val="004454A9"/>
    <w:rsid w:val="00445648"/>
    <w:rsid w:val="00445CB9"/>
    <w:rsid w:val="00445F84"/>
    <w:rsid w:val="0044668E"/>
    <w:rsid w:val="00446DC4"/>
    <w:rsid w:val="004474B8"/>
    <w:rsid w:val="00447716"/>
    <w:rsid w:val="0044774F"/>
    <w:rsid w:val="00450058"/>
    <w:rsid w:val="00450071"/>
    <w:rsid w:val="0045048E"/>
    <w:rsid w:val="0045091B"/>
    <w:rsid w:val="00450F1B"/>
    <w:rsid w:val="0045167F"/>
    <w:rsid w:val="004519DB"/>
    <w:rsid w:val="00451D2E"/>
    <w:rsid w:val="00451FB8"/>
    <w:rsid w:val="00452349"/>
    <w:rsid w:val="00452356"/>
    <w:rsid w:val="0045297B"/>
    <w:rsid w:val="00452A42"/>
    <w:rsid w:val="004533D3"/>
    <w:rsid w:val="004538B1"/>
    <w:rsid w:val="00453B07"/>
    <w:rsid w:val="00453ECF"/>
    <w:rsid w:val="0045413B"/>
    <w:rsid w:val="004541BB"/>
    <w:rsid w:val="0045464C"/>
    <w:rsid w:val="0045506D"/>
    <w:rsid w:val="0045530C"/>
    <w:rsid w:val="00455B90"/>
    <w:rsid w:val="00456015"/>
    <w:rsid w:val="0045671B"/>
    <w:rsid w:val="00456C36"/>
    <w:rsid w:val="00456FCA"/>
    <w:rsid w:val="00457AF8"/>
    <w:rsid w:val="00457C69"/>
    <w:rsid w:val="00457CDB"/>
    <w:rsid w:val="004600AB"/>
    <w:rsid w:val="004602C9"/>
    <w:rsid w:val="00461885"/>
    <w:rsid w:val="004619EC"/>
    <w:rsid w:val="004620D1"/>
    <w:rsid w:val="0046335E"/>
    <w:rsid w:val="0046345A"/>
    <w:rsid w:val="00464DEA"/>
    <w:rsid w:val="00465831"/>
    <w:rsid w:val="00465CA6"/>
    <w:rsid w:val="00466266"/>
    <w:rsid w:val="00466D80"/>
    <w:rsid w:val="00466F5A"/>
    <w:rsid w:val="004671CD"/>
    <w:rsid w:val="00467565"/>
    <w:rsid w:val="004677C2"/>
    <w:rsid w:val="004677C3"/>
    <w:rsid w:val="00467D12"/>
    <w:rsid w:val="00467EC1"/>
    <w:rsid w:val="0047007B"/>
    <w:rsid w:val="00470168"/>
    <w:rsid w:val="00470226"/>
    <w:rsid w:val="00470499"/>
    <w:rsid w:val="004704E3"/>
    <w:rsid w:val="004707CB"/>
    <w:rsid w:val="004716DF"/>
    <w:rsid w:val="00471B54"/>
    <w:rsid w:val="004726F1"/>
    <w:rsid w:val="00472DFB"/>
    <w:rsid w:val="00473198"/>
    <w:rsid w:val="0047342D"/>
    <w:rsid w:val="00473772"/>
    <w:rsid w:val="00473CBB"/>
    <w:rsid w:val="00474096"/>
    <w:rsid w:val="004743AE"/>
    <w:rsid w:val="0047487D"/>
    <w:rsid w:val="0047528D"/>
    <w:rsid w:val="00475401"/>
    <w:rsid w:val="0047561F"/>
    <w:rsid w:val="004756A2"/>
    <w:rsid w:val="004757F6"/>
    <w:rsid w:val="00476113"/>
    <w:rsid w:val="0047650C"/>
    <w:rsid w:val="0047670E"/>
    <w:rsid w:val="00476737"/>
    <w:rsid w:val="00477029"/>
    <w:rsid w:val="004771F9"/>
    <w:rsid w:val="00480BE7"/>
    <w:rsid w:val="00480DFB"/>
    <w:rsid w:val="0048157F"/>
    <w:rsid w:val="00481F48"/>
    <w:rsid w:val="00482142"/>
    <w:rsid w:val="00482615"/>
    <w:rsid w:val="0048369B"/>
    <w:rsid w:val="00483CBE"/>
    <w:rsid w:val="00483FC0"/>
    <w:rsid w:val="00484408"/>
    <w:rsid w:val="00484D6A"/>
    <w:rsid w:val="00484E97"/>
    <w:rsid w:val="00484EDD"/>
    <w:rsid w:val="0048523F"/>
    <w:rsid w:val="004858C7"/>
    <w:rsid w:val="00485C81"/>
    <w:rsid w:val="00485D71"/>
    <w:rsid w:val="00485FD4"/>
    <w:rsid w:val="004864B2"/>
    <w:rsid w:val="00487710"/>
    <w:rsid w:val="00487FD4"/>
    <w:rsid w:val="004903FC"/>
    <w:rsid w:val="00490537"/>
    <w:rsid w:val="00490857"/>
    <w:rsid w:val="0049111C"/>
    <w:rsid w:val="0049113A"/>
    <w:rsid w:val="004928E8"/>
    <w:rsid w:val="0049325A"/>
    <w:rsid w:val="004935D1"/>
    <w:rsid w:val="004937A5"/>
    <w:rsid w:val="004942E9"/>
    <w:rsid w:val="004947C1"/>
    <w:rsid w:val="00494891"/>
    <w:rsid w:val="00494A94"/>
    <w:rsid w:val="00494B9F"/>
    <w:rsid w:val="00495042"/>
    <w:rsid w:val="004964D6"/>
    <w:rsid w:val="00496E43"/>
    <w:rsid w:val="00497112"/>
    <w:rsid w:val="0049715A"/>
    <w:rsid w:val="004973CD"/>
    <w:rsid w:val="004978DF"/>
    <w:rsid w:val="00497924"/>
    <w:rsid w:val="00497C94"/>
    <w:rsid w:val="004A0292"/>
    <w:rsid w:val="004A03CB"/>
    <w:rsid w:val="004A05F9"/>
    <w:rsid w:val="004A13A7"/>
    <w:rsid w:val="004A1459"/>
    <w:rsid w:val="004A1466"/>
    <w:rsid w:val="004A17FB"/>
    <w:rsid w:val="004A1AB0"/>
    <w:rsid w:val="004A1B73"/>
    <w:rsid w:val="004A1D18"/>
    <w:rsid w:val="004A21BD"/>
    <w:rsid w:val="004A22CA"/>
    <w:rsid w:val="004A2406"/>
    <w:rsid w:val="004A2697"/>
    <w:rsid w:val="004A276C"/>
    <w:rsid w:val="004A31D5"/>
    <w:rsid w:val="004A34F0"/>
    <w:rsid w:val="004A3DC6"/>
    <w:rsid w:val="004A3E41"/>
    <w:rsid w:val="004A430B"/>
    <w:rsid w:val="004A456F"/>
    <w:rsid w:val="004A4B07"/>
    <w:rsid w:val="004A539C"/>
    <w:rsid w:val="004A5590"/>
    <w:rsid w:val="004A575A"/>
    <w:rsid w:val="004A58FB"/>
    <w:rsid w:val="004A622E"/>
    <w:rsid w:val="004A6427"/>
    <w:rsid w:val="004A6F05"/>
    <w:rsid w:val="004A728E"/>
    <w:rsid w:val="004B078D"/>
    <w:rsid w:val="004B0B33"/>
    <w:rsid w:val="004B0DBF"/>
    <w:rsid w:val="004B1054"/>
    <w:rsid w:val="004B171B"/>
    <w:rsid w:val="004B1E50"/>
    <w:rsid w:val="004B258F"/>
    <w:rsid w:val="004B25BD"/>
    <w:rsid w:val="004B32A8"/>
    <w:rsid w:val="004B49A8"/>
    <w:rsid w:val="004B4D57"/>
    <w:rsid w:val="004B5362"/>
    <w:rsid w:val="004B5723"/>
    <w:rsid w:val="004B576C"/>
    <w:rsid w:val="004B5972"/>
    <w:rsid w:val="004B598F"/>
    <w:rsid w:val="004B5C29"/>
    <w:rsid w:val="004B61E3"/>
    <w:rsid w:val="004B6A4B"/>
    <w:rsid w:val="004B6D1A"/>
    <w:rsid w:val="004B6EF8"/>
    <w:rsid w:val="004B7C53"/>
    <w:rsid w:val="004C05C9"/>
    <w:rsid w:val="004C065E"/>
    <w:rsid w:val="004C0ABA"/>
    <w:rsid w:val="004C1262"/>
    <w:rsid w:val="004C128B"/>
    <w:rsid w:val="004C17C3"/>
    <w:rsid w:val="004C1EBE"/>
    <w:rsid w:val="004C1FEA"/>
    <w:rsid w:val="004C2E28"/>
    <w:rsid w:val="004C2E9A"/>
    <w:rsid w:val="004C3378"/>
    <w:rsid w:val="004C3664"/>
    <w:rsid w:val="004C3E04"/>
    <w:rsid w:val="004C4453"/>
    <w:rsid w:val="004C4683"/>
    <w:rsid w:val="004C47B8"/>
    <w:rsid w:val="004C49E8"/>
    <w:rsid w:val="004C59A8"/>
    <w:rsid w:val="004C5B3C"/>
    <w:rsid w:val="004C5F98"/>
    <w:rsid w:val="004C63AB"/>
    <w:rsid w:val="004D00CE"/>
    <w:rsid w:val="004D03E5"/>
    <w:rsid w:val="004D1368"/>
    <w:rsid w:val="004D1FB3"/>
    <w:rsid w:val="004D209F"/>
    <w:rsid w:val="004D21E5"/>
    <w:rsid w:val="004D2248"/>
    <w:rsid w:val="004D2B19"/>
    <w:rsid w:val="004D2E31"/>
    <w:rsid w:val="004D2F9F"/>
    <w:rsid w:val="004D34B8"/>
    <w:rsid w:val="004D374E"/>
    <w:rsid w:val="004D40E4"/>
    <w:rsid w:val="004D41DB"/>
    <w:rsid w:val="004D4417"/>
    <w:rsid w:val="004D4AC4"/>
    <w:rsid w:val="004D5650"/>
    <w:rsid w:val="004D57C2"/>
    <w:rsid w:val="004D5974"/>
    <w:rsid w:val="004D6407"/>
    <w:rsid w:val="004D6B70"/>
    <w:rsid w:val="004D6BC1"/>
    <w:rsid w:val="004D7199"/>
    <w:rsid w:val="004D773D"/>
    <w:rsid w:val="004D79C8"/>
    <w:rsid w:val="004D79F9"/>
    <w:rsid w:val="004D7FC2"/>
    <w:rsid w:val="004E039F"/>
    <w:rsid w:val="004E1722"/>
    <w:rsid w:val="004E175F"/>
    <w:rsid w:val="004E1762"/>
    <w:rsid w:val="004E1AAE"/>
    <w:rsid w:val="004E1EDC"/>
    <w:rsid w:val="004E1FC1"/>
    <w:rsid w:val="004E310F"/>
    <w:rsid w:val="004E3313"/>
    <w:rsid w:val="004E341C"/>
    <w:rsid w:val="004E3650"/>
    <w:rsid w:val="004E39BF"/>
    <w:rsid w:val="004E4449"/>
    <w:rsid w:val="004E4BEB"/>
    <w:rsid w:val="004E4CD1"/>
    <w:rsid w:val="004E52C0"/>
    <w:rsid w:val="004E5F66"/>
    <w:rsid w:val="004E6217"/>
    <w:rsid w:val="004E7474"/>
    <w:rsid w:val="004F04F7"/>
    <w:rsid w:val="004F05F2"/>
    <w:rsid w:val="004F0B81"/>
    <w:rsid w:val="004F0DF2"/>
    <w:rsid w:val="004F0EED"/>
    <w:rsid w:val="004F1099"/>
    <w:rsid w:val="004F2021"/>
    <w:rsid w:val="004F2115"/>
    <w:rsid w:val="004F3480"/>
    <w:rsid w:val="004F3CF4"/>
    <w:rsid w:val="004F4AE3"/>
    <w:rsid w:val="004F5651"/>
    <w:rsid w:val="004F5962"/>
    <w:rsid w:val="004F5ACF"/>
    <w:rsid w:val="004F6953"/>
    <w:rsid w:val="004F6D86"/>
    <w:rsid w:val="004F70D8"/>
    <w:rsid w:val="004F7E9D"/>
    <w:rsid w:val="00500BCF"/>
    <w:rsid w:val="00500D5B"/>
    <w:rsid w:val="0050185A"/>
    <w:rsid w:val="00501C6A"/>
    <w:rsid w:val="00502227"/>
    <w:rsid w:val="00502530"/>
    <w:rsid w:val="0050268C"/>
    <w:rsid w:val="00502EE2"/>
    <w:rsid w:val="005033D0"/>
    <w:rsid w:val="00503572"/>
    <w:rsid w:val="00503AA5"/>
    <w:rsid w:val="00503F76"/>
    <w:rsid w:val="005040D0"/>
    <w:rsid w:val="005043AA"/>
    <w:rsid w:val="00504705"/>
    <w:rsid w:val="005049D5"/>
    <w:rsid w:val="00504C24"/>
    <w:rsid w:val="00504E64"/>
    <w:rsid w:val="0050508E"/>
    <w:rsid w:val="00505315"/>
    <w:rsid w:val="0050578F"/>
    <w:rsid w:val="00505907"/>
    <w:rsid w:val="00505E75"/>
    <w:rsid w:val="00505EF3"/>
    <w:rsid w:val="005068D0"/>
    <w:rsid w:val="0050696B"/>
    <w:rsid w:val="0050717F"/>
    <w:rsid w:val="005077F8"/>
    <w:rsid w:val="00510497"/>
    <w:rsid w:val="005106CC"/>
    <w:rsid w:val="00510C14"/>
    <w:rsid w:val="0051109B"/>
    <w:rsid w:val="0051116F"/>
    <w:rsid w:val="00511304"/>
    <w:rsid w:val="005113A8"/>
    <w:rsid w:val="00511F61"/>
    <w:rsid w:val="00512B23"/>
    <w:rsid w:val="00512F37"/>
    <w:rsid w:val="00512F9C"/>
    <w:rsid w:val="00513B29"/>
    <w:rsid w:val="005146C4"/>
    <w:rsid w:val="00514F2D"/>
    <w:rsid w:val="00514F9A"/>
    <w:rsid w:val="00515EDB"/>
    <w:rsid w:val="00516360"/>
    <w:rsid w:val="00516D17"/>
    <w:rsid w:val="00516DF8"/>
    <w:rsid w:val="00516F7D"/>
    <w:rsid w:val="00517976"/>
    <w:rsid w:val="0052025D"/>
    <w:rsid w:val="0052085C"/>
    <w:rsid w:val="00520BC1"/>
    <w:rsid w:val="00520CBD"/>
    <w:rsid w:val="0052243C"/>
    <w:rsid w:val="005228FB"/>
    <w:rsid w:val="005229B1"/>
    <w:rsid w:val="00522DD2"/>
    <w:rsid w:val="00523B31"/>
    <w:rsid w:val="00523B56"/>
    <w:rsid w:val="00523D9F"/>
    <w:rsid w:val="00523DB2"/>
    <w:rsid w:val="00523EDA"/>
    <w:rsid w:val="005241B1"/>
    <w:rsid w:val="00524300"/>
    <w:rsid w:val="00524615"/>
    <w:rsid w:val="0052491B"/>
    <w:rsid w:val="00524E4F"/>
    <w:rsid w:val="00525A14"/>
    <w:rsid w:val="00525F6C"/>
    <w:rsid w:val="005266F9"/>
    <w:rsid w:val="00526DC5"/>
    <w:rsid w:val="00527072"/>
    <w:rsid w:val="005272AB"/>
    <w:rsid w:val="005278ED"/>
    <w:rsid w:val="00527B69"/>
    <w:rsid w:val="00530396"/>
    <w:rsid w:val="00530686"/>
    <w:rsid w:val="0053095E"/>
    <w:rsid w:val="00530AD8"/>
    <w:rsid w:val="005310D4"/>
    <w:rsid w:val="00531AB8"/>
    <w:rsid w:val="005326D6"/>
    <w:rsid w:val="00532721"/>
    <w:rsid w:val="00532A63"/>
    <w:rsid w:val="00532C41"/>
    <w:rsid w:val="00532F46"/>
    <w:rsid w:val="0053320E"/>
    <w:rsid w:val="00533374"/>
    <w:rsid w:val="005337D9"/>
    <w:rsid w:val="005338CF"/>
    <w:rsid w:val="00533AB5"/>
    <w:rsid w:val="00533D24"/>
    <w:rsid w:val="00533F55"/>
    <w:rsid w:val="00533FD7"/>
    <w:rsid w:val="005349D6"/>
    <w:rsid w:val="00534AF8"/>
    <w:rsid w:val="00535350"/>
    <w:rsid w:val="0053538F"/>
    <w:rsid w:val="005353BE"/>
    <w:rsid w:val="00535408"/>
    <w:rsid w:val="00535853"/>
    <w:rsid w:val="00535B0D"/>
    <w:rsid w:val="00535FC3"/>
    <w:rsid w:val="00536034"/>
    <w:rsid w:val="0053611F"/>
    <w:rsid w:val="00536F97"/>
    <w:rsid w:val="00537122"/>
    <w:rsid w:val="00537BFE"/>
    <w:rsid w:val="00540442"/>
    <w:rsid w:val="005408B2"/>
    <w:rsid w:val="00540E7C"/>
    <w:rsid w:val="005411B2"/>
    <w:rsid w:val="0054143E"/>
    <w:rsid w:val="00541F3A"/>
    <w:rsid w:val="005425F9"/>
    <w:rsid w:val="005432DE"/>
    <w:rsid w:val="005433F5"/>
    <w:rsid w:val="005446FA"/>
    <w:rsid w:val="005450AC"/>
    <w:rsid w:val="00545119"/>
    <w:rsid w:val="005454B4"/>
    <w:rsid w:val="0054559B"/>
    <w:rsid w:val="005455B7"/>
    <w:rsid w:val="005457D2"/>
    <w:rsid w:val="00545918"/>
    <w:rsid w:val="00545BC0"/>
    <w:rsid w:val="00545F9C"/>
    <w:rsid w:val="00546674"/>
    <w:rsid w:val="0054668C"/>
    <w:rsid w:val="005468BB"/>
    <w:rsid w:val="0054701E"/>
    <w:rsid w:val="00547933"/>
    <w:rsid w:val="00547F73"/>
    <w:rsid w:val="00550DF3"/>
    <w:rsid w:val="00550EF8"/>
    <w:rsid w:val="00551416"/>
    <w:rsid w:val="005518D5"/>
    <w:rsid w:val="00551D88"/>
    <w:rsid w:val="00552E9E"/>
    <w:rsid w:val="005534C4"/>
    <w:rsid w:val="005539D3"/>
    <w:rsid w:val="00553E27"/>
    <w:rsid w:val="0055439A"/>
    <w:rsid w:val="005544F4"/>
    <w:rsid w:val="00554648"/>
    <w:rsid w:val="00554839"/>
    <w:rsid w:val="00554A1E"/>
    <w:rsid w:val="00554B70"/>
    <w:rsid w:val="00555C95"/>
    <w:rsid w:val="00555F2B"/>
    <w:rsid w:val="0055653C"/>
    <w:rsid w:val="005567CC"/>
    <w:rsid w:val="00556B51"/>
    <w:rsid w:val="00557147"/>
    <w:rsid w:val="00557A33"/>
    <w:rsid w:val="00557E64"/>
    <w:rsid w:val="0056162A"/>
    <w:rsid w:val="00561883"/>
    <w:rsid w:val="00561EE5"/>
    <w:rsid w:val="005624A6"/>
    <w:rsid w:val="005624C6"/>
    <w:rsid w:val="00562582"/>
    <w:rsid w:val="00562856"/>
    <w:rsid w:val="00562E45"/>
    <w:rsid w:val="00563357"/>
    <w:rsid w:val="005633E1"/>
    <w:rsid w:val="00563B66"/>
    <w:rsid w:val="00563D39"/>
    <w:rsid w:val="00564066"/>
    <w:rsid w:val="00564C1A"/>
    <w:rsid w:val="00564DFB"/>
    <w:rsid w:val="00565128"/>
    <w:rsid w:val="00565371"/>
    <w:rsid w:val="00565A70"/>
    <w:rsid w:val="00565BB3"/>
    <w:rsid w:val="00565BC2"/>
    <w:rsid w:val="00565DD2"/>
    <w:rsid w:val="00565EC4"/>
    <w:rsid w:val="00565F62"/>
    <w:rsid w:val="005670F8"/>
    <w:rsid w:val="00567142"/>
    <w:rsid w:val="005672FB"/>
    <w:rsid w:val="005705C8"/>
    <w:rsid w:val="00571809"/>
    <w:rsid w:val="0057224A"/>
    <w:rsid w:val="00572304"/>
    <w:rsid w:val="005728EE"/>
    <w:rsid w:val="00572B51"/>
    <w:rsid w:val="00572E37"/>
    <w:rsid w:val="00573F42"/>
    <w:rsid w:val="0057405F"/>
    <w:rsid w:val="00574114"/>
    <w:rsid w:val="00574213"/>
    <w:rsid w:val="00574770"/>
    <w:rsid w:val="00574796"/>
    <w:rsid w:val="005749AB"/>
    <w:rsid w:val="005754D2"/>
    <w:rsid w:val="005756BD"/>
    <w:rsid w:val="00576351"/>
    <w:rsid w:val="005766D4"/>
    <w:rsid w:val="00576C33"/>
    <w:rsid w:val="00576E02"/>
    <w:rsid w:val="005771D7"/>
    <w:rsid w:val="0057770E"/>
    <w:rsid w:val="00577832"/>
    <w:rsid w:val="0057788F"/>
    <w:rsid w:val="005807EF"/>
    <w:rsid w:val="005813E4"/>
    <w:rsid w:val="00581A39"/>
    <w:rsid w:val="00581E05"/>
    <w:rsid w:val="00582808"/>
    <w:rsid w:val="00582C4C"/>
    <w:rsid w:val="00582C9C"/>
    <w:rsid w:val="005837DA"/>
    <w:rsid w:val="00584783"/>
    <w:rsid w:val="005847A0"/>
    <w:rsid w:val="00584917"/>
    <w:rsid w:val="00584CD2"/>
    <w:rsid w:val="00584F9A"/>
    <w:rsid w:val="0058557C"/>
    <w:rsid w:val="00585A32"/>
    <w:rsid w:val="00585C49"/>
    <w:rsid w:val="00585DD1"/>
    <w:rsid w:val="00585E7D"/>
    <w:rsid w:val="00585F19"/>
    <w:rsid w:val="00586007"/>
    <w:rsid w:val="0058652F"/>
    <w:rsid w:val="005866F5"/>
    <w:rsid w:val="0058675B"/>
    <w:rsid w:val="00587399"/>
    <w:rsid w:val="005873B3"/>
    <w:rsid w:val="005876A5"/>
    <w:rsid w:val="0058791C"/>
    <w:rsid w:val="00587C9E"/>
    <w:rsid w:val="00587D57"/>
    <w:rsid w:val="0059028A"/>
    <w:rsid w:val="00590648"/>
    <w:rsid w:val="005906F6"/>
    <w:rsid w:val="00590B45"/>
    <w:rsid w:val="005912A2"/>
    <w:rsid w:val="00591AE9"/>
    <w:rsid w:val="00591F43"/>
    <w:rsid w:val="00592034"/>
    <w:rsid w:val="00593859"/>
    <w:rsid w:val="00593DA7"/>
    <w:rsid w:val="00593E1C"/>
    <w:rsid w:val="00594474"/>
    <w:rsid w:val="0059472A"/>
    <w:rsid w:val="00594922"/>
    <w:rsid w:val="00595693"/>
    <w:rsid w:val="00595D43"/>
    <w:rsid w:val="00596418"/>
    <w:rsid w:val="005970FA"/>
    <w:rsid w:val="0059741E"/>
    <w:rsid w:val="00597578"/>
    <w:rsid w:val="00597AE6"/>
    <w:rsid w:val="00597BD5"/>
    <w:rsid w:val="00597D54"/>
    <w:rsid w:val="005A0049"/>
    <w:rsid w:val="005A05CE"/>
    <w:rsid w:val="005A0971"/>
    <w:rsid w:val="005A0FF6"/>
    <w:rsid w:val="005A1375"/>
    <w:rsid w:val="005A13D0"/>
    <w:rsid w:val="005A144A"/>
    <w:rsid w:val="005A1582"/>
    <w:rsid w:val="005A1C79"/>
    <w:rsid w:val="005A21C5"/>
    <w:rsid w:val="005A31AC"/>
    <w:rsid w:val="005A32F4"/>
    <w:rsid w:val="005A3FB7"/>
    <w:rsid w:val="005A425D"/>
    <w:rsid w:val="005A51C7"/>
    <w:rsid w:val="005A5637"/>
    <w:rsid w:val="005A56DC"/>
    <w:rsid w:val="005A5DA6"/>
    <w:rsid w:val="005A627D"/>
    <w:rsid w:val="005A6F75"/>
    <w:rsid w:val="005A729F"/>
    <w:rsid w:val="005A7443"/>
    <w:rsid w:val="005A7766"/>
    <w:rsid w:val="005A7E0A"/>
    <w:rsid w:val="005A7EF2"/>
    <w:rsid w:val="005B010A"/>
    <w:rsid w:val="005B080F"/>
    <w:rsid w:val="005B0C4C"/>
    <w:rsid w:val="005B0E95"/>
    <w:rsid w:val="005B100A"/>
    <w:rsid w:val="005B10E8"/>
    <w:rsid w:val="005B113F"/>
    <w:rsid w:val="005B1264"/>
    <w:rsid w:val="005B1378"/>
    <w:rsid w:val="005B175B"/>
    <w:rsid w:val="005B1A33"/>
    <w:rsid w:val="005B1D47"/>
    <w:rsid w:val="005B2031"/>
    <w:rsid w:val="005B2111"/>
    <w:rsid w:val="005B22B0"/>
    <w:rsid w:val="005B22D0"/>
    <w:rsid w:val="005B22F4"/>
    <w:rsid w:val="005B236F"/>
    <w:rsid w:val="005B2385"/>
    <w:rsid w:val="005B2E81"/>
    <w:rsid w:val="005B3498"/>
    <w:rsid w:val="005B3581"/>
    <w:rsid w:val="005B36CC"/>
    <w:rsid w:val="005B389D"/>
    <w:rsid w:val="005B3B51"/>
    <w:rsid w:val="005B3EAA"/>
    <w:rsid w:val="005B40D9"/>
    <w:rsid w:val="005B4661"/>
    <w:rsid w:val="005B5DBE"/>
    <w:rsid w:val="005B5E51"/>
    <w:rsid w:val="005B6532"/>
    <w:rsid w:val="005B6911"/>
    <w:rsid w:val="005B6B3D"/>
    <w:rsid w:val="005B708E"/>
    <w:rsid w:val="005B776E"/>
    <w:rsid w:val="005C0238"/>
    <w:rsid w:val="005C03E4"/>
    <w:rsid w:val="005C0E1C"/>
    <w:rsid w:val="005C140A"/>
    <w:rsid w:val="005C1943"/>
    <w:rsid w:val="005C2A23"/>
    <w:rsid w:val="005C34B9"/>
    <w:rsid w:val="005C370E"/>
    <w:rsid w:val="005C3929"/>
    <w:rsid w:val="005C3B85"/>
    <w:rsid w:val="005C4309"/>
    <w:rsid w:val="005C4761"/>
    <w:rsid w:val="005C49BE"/>
    <w:rsid w:val="005C4A5C"/>
    <w:rsid w:val="005C54F8"/>
    <w:rsid w:val="005C5920"/>
    <w:rsid w:val="005C5D9D"/>
    <w:rsid w:val="005C6033"/>
    <w:rsid w:val="005C65E5"/>
    <w:rsid w:val="005C67B7"/>
    <w:rsid w:val="005C6A2E"/>
    <w:rsid w:val="005C6FBD"/>
    <w:rsid w:val="005C7140"/>
    <w:rsid w:val="005C7480"/>
    <w:rsid w:val="005C77FA"/>
    <w:rsid w:val="005C7935"/>
    <w:rsid w:val="005D1649"/>
    <w:rsid w:val="005D1724"/>
    <w:rsid w:val="005D19ED"/>
    <w:rsid w:val="005D1E89"/>
    <w:rsid w:val="005D2BF3"/>
    <w:rsid w:val="005D2FD8"/>
    <w:rsid w:val="005D30C2"/>
    <w:rsid w:val="005D33D8"/>
    <w:rsid w:val="005D3B45"/>
    <w:rsid w:val="005D41F5"/>
    <w:rsid w:val="005D55B2"/>
    <w:rsid w:val="005D5CE3"/>
    <w:rsid w:val="005D6801"/>
    <w:rsid w:val="005D68B3"/>
    <w:rsid w:val="005D6B2C"/>
    <w:rsid w:val="005D70C0"/>
    <w:rsid w:val="005D7678"/>
    <w:rsid w:val="005D781D"/>
    <w:rsid w:val="005E0C9C"/>
    <w:rsid w:val="005E0E8B"/>
    <w:rsid w:val="005E0ED0"/>
    <w:rsid w:val="005E138F"/>
    <w:rsid w:val="005E1C6E"/>
    <w:rsid w:val="005E2185"/>
    <w:rsid w:val="005E22EE"/>
    <w:rsid w:val="005E2587"/>
    <w:rsid w:val="005E27B1"/>
    <w:rsid w:val="005E2B6F"/>
    <w:rsid w:val="005E2C10"/>
    <w:rsid w:val="005E3557"/>
    <w:rsid w:val="005E392A"/>
    <w:rsid w:val="005E3938"/>
    <w:rsid w:val="005E39BA"/>
    <w:rsid w:val="005E427A"/>
    <w:rsid w:val="005E454B"/>
    <w:rsid w:val="005E45BC"/>
    <w:rsid w:val="005E4F55"/>
    <w:rsid w:val="005E50F6"/>
    <w:rsid w:val="005E5112"/>
    <w:rsid w:val="005E524B"/>
    <w:rsid w:val="005E5A56"/>
    <w:rsid w:val="005E5D9A"/>
    <w:rsid w:val="005E611A"/>
    <w:rsid w:val="005E615B"/>
    <w:rsid w:val="005E661F"/>
    <w:rsid w:val="005E69ED"/>
    <w:rsid w:val="005E7126"/>
    <w:rsid w:val="005E725F"/>
    <w:rsid w:val="005E75BF"/>
    <w:rsid w:val="005F00A9"/>
    <w:rsid w:val="005F00CB"/>
    <w:rsid w:val="005F0177"/>
    <w:rsid w:val="005F01B7"/>
    <w:rsid w:val="005F07A7"/>
    <w:rsid w:val="005F08B0"/>
    <w:rsid w:val="005F1014"/>
    <w:rsid w:val="005F1C00"/>
    <w:rsid w:val="005F1D60"/>
    <w:rsid w:val="005F2DF9"/>
    <w:rsid w:val="005F3093"/>
    <w:rsid w:val="005F3333"/>
    <w:rsid w:val="005F3702"/>
    <w:rsid w:val="005F3739"/>
    <w:rsid w:val="005F383E"/>
    <w:rsid w:val="005F38B6"/>
    <w:rsid w:val="005F39C0"/>
    <w:rsid w:val="005F39FD"/>
    <w:rsid w:val="005F5061"/>
    <w:rsid w:val="005F532E"/>
    <w:rsid w:val="005F534B"/>
    <w:rsid w:val="005F590D"/>
    <w:rsid w:val="005F59AA"/>
    <w:rsid w:val="005F61AF"/>
    <w:rsid w:val="005F61D0"/>
    <w:rsid w:val="005F63A2"/>
    <w:rsid w:val="005F68CC"/>
    <w:rsid w:val="005F7142"/>
    <w:rsid w:val="005F7940"/>
    <w:rsid w:val="005F7E6E"/>
    <w:rsid w:val="00600064"/>
    <w:rsid w:val="00601BD0"/>
    <w:rsid w:val="00602356"/>
    <w:rsid w:val="00602AF2"/>
    <w:rsid w:val="00603455"/>
    <w:rsid w:val="0060368E"/>
    <w:rsid w:val="006040A6"/>
    <w:rsid w:val="006042CE"/>
    <w:rsid w:val="006048A0"/>
    <w:rsid w:val="00605636"/>
    <w:rsid w:val="006063F1"/>
    <w:rsid w:val="00606C4E"/>
    <w:rsid w:val="00606D4E"/>
    <w:rsid w:val="00606E1A"/>
    <w:rsid w:val="00607360"/>
    <w:rsid w:val="006079B6"/>
    <w:rsid w:val="00610708"/>
    <w:rsid w:val="00610828"/>
    <w:rsid w:val="00610D96"/>
    <w:rsid w:val="006110DA"/>
    <w:rsid w:val="0061180C"/>
    <w:rsid w:val="00611926"/>
    <w:rsid w:val="00611C24"/>
    <w:rsid w:val="00611C9C"/>
    <w:rsid w:val="00612BB7"/>
    <w:rsid w:val="00612E00"/>
    <w:rsid w:val="006132E2"/>
    <w:rsid w:val="0061371E"/>
    <w:rsid w:val="006139C5"/>
    <w:rsid w:val="00613F8E"/>
    <w:rsid w:val="006142D3"/>
    <w:rsid w:val="00614531"/>
    <w:rsid w:val="0061461B"/>
    <w:rsid w:val="00614646"/>
    <w:rsid w:val="00614994"/>
    <w:rsid w:val="006153B8"/>
    <w:rsid w:val="00615B6B"/>
    <w:rsid w:val="00615F36"/>
    <w:rsid w:val="0061686D"/>
    <w:rsid w:val="00617EF5"/>
    <w:rsid w:val="00620447"/>
    <w:rsid w:val="006204DA"/>
    <w:rsid w:val="006205E1"/>
    <w:rsid w:val="00620904"/>
    <w:rsid w:val="00620EB0"/>
    <w:rsid w:val="006212F5"/>
    <w:rsid w:val="00621AEE"/>
    <w:rsid w:val="0062287C"/>
    <w:rsid w:val="00622E26"/>
    <w:rsid w:val="00623010"/>
    <w:rsid w:val="006238A2"/>
    <w:rsid w:val="00623A32"/>
    <w:rsid w:val="00623C37"/>
    <w:rsid w:val="00624402"/>
    <w:rsid w:val="006246E0"/>
    <w:rsid w:val="00624FC3"/>
    <w:rsid w:val="0062520E"/>
    <w:rsid w:val="006256DB"/>
    <w:rsid w:val="00625781"/>
    <w:rsid w:val="0062585A"/>
    <w:rsid w:val="00625AD4"/>
    <w:rsid w:val="00625B2C"/>
    <w:rsid w:val="00625FB9"/>
    <w:rsid w:val="00626E44"/>
    <w:rsid w:val="006271E9"/>
    <w:rsid w:val="00627323"/>
    <w:rsid w:val="0062741F"/>
    <w:rsid w:val="006275D0"/>
    <w:rsid w:val="00627B0D"/>
    <w:rsid w:val="00630483"/>
    <w:rsid w:val="00630735"/>
    <w:rsid w:val="00630BBD"/>
    <w:rsid w:val="006311AE"/>
    <w:rsid w:val="00631568"/>
    <w:rsid w:val="006315A3"/>
    <w:rsid w:val="006324FB"/>
    <w:rsid w:val="00633A68"/>
    <w:rsid w:val="00633AE8"/>
    <w:rsid w:val="006342D2"/>
    <w:rsid w:val="0063437A"/>
    <w:rsid w:val="00634637"/>
    <w:rsid w:val="00634860"/>
    <w:rsid w:val="00634B55"/>
    <w:rsid w:val="006352CD"/>
    <w:rsid w:val="00635512"/>
    <w:rsid w:val="0063557A"/>
    <w:rsid w:val="00635725"/>
    <w:rsid w:val="006358F3"/>
    <w:rsid w:val="00635C8B"/>
    <w:rsid w:val="00636155"/>
    <w:rsid w:val="00636188"/>
    <w:rsid w:val="0063641B"/>
    <w:rsid w:val="006368B7"/>
    <w:rsid w:val="0063691F"/>
    <w:rsid w:val="00636A01"/>
    <w:rsid w:val="00636B84"/>
    <w:rsid w:val="00636B95"/>
    <w:rsid w:val="006370F9"/>
    <w:rsid w:val="00637156"/>
    <w:rsid w:val="00637299"/>
    <w:rsid w:val="006379EE"/>
    <w:rsid w:val="00637D1D"/>
    <w:rsid w:val="00637D5F"/>
    <w:rsid w:val="006404A6"/>
    <w:rsid w:val="00641795"/>
    <w:rsid w:val="00641B20"/>
    <w:rsid w:val="0064225B"/>
    <w:rsid w:val="00642482"/>
    <w:rsid w:val="0064284F"/>
    <w:rsid w:val="00642F86"/>
    <w:rsid w:val="006433F8"/>
    <w:rsid w:val="00643CA8"/>
    <w:rsid w:val="0064419C"/>
    <w:rsid w:val="006444C3"/>
    <w:rsid w:val="00644C6E"/>
    <w:rsid w:val="00644EFA"/>
    <w:rsid w:val="006455D4"/>
    <w:rsid w:val="00645AC6"/>
    <w:rsid w:val="00646315"/>
    <w:rsid w:val="0064642A"/>
    <w:rsid w:val="006464EB"/>
    <w:rsid w:val="0064682C"/>
    <w:rsid w:val="0064688D"/>
    <w:rsid w:val="00646F01"/>
    <w:rsid w:val="006471FB"/>
    <w:rsid w:val="0064766B"/>
    <w:rsid w:val="006477BD"/>
    <w:rsid w:val="00647A36"/>
    <w:rsid w:val="0065011A"/>
    <w:rsid w:val="0065045B"/>
    <w:rsid w:val="00650DFF"/>
    <w:rsid w:val="006514D5"/>
    <w:rsid w:val="00651501"/>
    <w:rsid w:val="006516BA"/>
    <w:rsid w:val="006516E0"/>
    <w:rsid w:val="006517BE"/>
    <w:rsid w:val="00651A24"/>
    <w:rsid w:val="00651C58"/>
    <w:rsid w:val="00651D15"/>
    <w:rsid w:val="00652294"/>
    <w:rsid w:val="00652C66"/>
    <w:rsid w:val="00653005"/>
    <w:rsid w:val="00654201"/>
    <w:rsid w:val="00654244"/>
    <w:rsid w:val="00654893"/>
    <w:rsid w:val="0065495A"/>
    <w:rsid w:val="0065497C"/>
    <w:rsid w:val="00654DF6"/>
    <w:rsid w:val="00654E54"/>
    <w:rsid w:val="0065554B"/>
    <w:rsid w:val="00655EE7"/>
    <w:rsid w:val="00656856"/>
    <w:rsid w:val="006568E8"/>
    <w:rsid w:val="00657143"/>
    <w:rsid w:val="006578C2"/>
    <w:rsid w:val="0066006D"/>
    <w:rsid w:val="006605CB"/>
    <w:rsid w:val="0066085A"/>
    <w:rsid w:val="0066140D"/>
    <w:rsid w:val="006618CA"/>
    <w:rsid w:val="00661EA4"/>
    <w:rsid w:val="00662944"/>
    <w:rsid w:val="00662AB7"/>
    <w:rsid w:val="00662C9F"/>
    <w:rsid w:val="00663934"/>
    <w:rsid w:val="006640EC"/>
    <w:rsid w:val="006641B5"/>
    <w:rsid w:val="00664257"/>
    <w:rsid w:val="0066428A"/>
    <w:rsid w:val="006645BF"/>
    <w:rsid w:val="006648AD"/>
    <w:rsid w:val="00664F16"/>
    <w:rsid w:val="0066533C"/>
    <w:rsid w:val="00665A90"/>
    <w:rsid w:val="00666081"/>
    <w:rsid w:val="0066666C"/>
    <w:rsid w:val="006667EB"/>
    <w:rsid w:val="00666D3C"/>
    <w:rsid w:val="00666E12"/>
    <w:rsid w:val="00667C2D"/>
    <w:rsid w:val="00667ED5"/>
    <w:rsid w:val="00667F14"/>
    <w:rsid w:val="0067020B"/>
    <w:rsid w:val="00670290"/>
    <w:rsid w:val="0067033A"/>
    <w:rsid w:val="006703E1"/>
    <w:rsid w:val="00670890"/>
    <w:rsid w:val="00670AB2"/>
    <w:rsid w:val="00670FAE"/>
    <w:rsid w:val="00671EA0"/>
    <w:rsid w:val="006723E6"/>
    <w:rsid w:val="006727DA"/>
    <w:rsid w:val="0067364F"/>
    <w:rsid w:val="00673BEC"/>
    <w:rsid w:val="00674203"/>
    <w:rsid w:val="00674F08"/>
    <w:rsid w:val="006755A0"/>
    <w:rsid w:val="00675F63"/>
    <w:rsid w:val="006764EA"/>
    <w:rsid w:val="0067711F"/>
    <w:rsid w:val="00677137"/>
    <w:rsid w:val="00680529"/>
    <w:rsid w:val="006815EB"/>
    <w:rsid w:val="0068228C"/>
    <w:rsid w:val="00682826"/>
    <w:rsid w:val="006829C8"/>
    <w:rsid w:val="00683903"/>
    <w:rsid w:val="00684610"/>
    <w:rsid w:val="00684665"/>
    <w:rsid w:val="006855B3"/>
    <w:rsid w:val="00685C08"/>
    <w:rsid w:val="006863A4"/>
    <w:rsid w:val="00686605"/>
    <w:rsid w:val="0068692B"/>
    <w:rsid w:val="00687176"/>
    <w:rsid w:val="006872E0"/>
    <w:rsid w:val="00687C2C"/>
    <w:rsid w:val="00690474"/>
    <w:rsid w:val="006905A2"/>
    <w:rsid w:val="0069138E"/>
    <w:rsid w:val="00691E2B"/>
    <w:rsid w:val="006922EB"/>
    <w:rsid w:val="006922FB"/>
    <w:rsid w:val="006924B0"/>
    <w:rsid w:val="0069284B"/>
    <w:rsid w:val="00692CE6"/>
    <w:rsid w:val="00693376"/>
    <w:rsid w:val="006934BA"/>
    <w:rsid w:val="00693C9D"/>
    <w:rsid w:val="00693D4E"/>
    <w:rsid w:val="0069441E"/>
    <w:rsid w:val="00694A71"/>
    <w:rsid w:val="00694B2A"/>
    <w:rsid w:val="00694B89"/>
    <w:rsid w:val="00695008"/>
    <w:rsid w:val="006954D1"/>
    <w:rsid w:val="006959C1"/>
    <w:rsid w:val="00695BAA"/>
    <w:rsid w:val="00695F45"/>
    <w:rsid w:val="00695F6F"/>
    <w:rsid w:val="00695FC2"/>
    <w:rsid w:val="006965FA"/>
    <w:rsid w:val="00697231"/>
    <w:rsid w:val="00697348"/>
    <w:rsid w:val="00697431"/>
    <w:rsid w:val="006A02B6"/>
    <w:rsid w:val="006A044A"/>
    <w:rsid w:val="006A12DE"/>
    <w:rsid w:val="006A1473"/>
    <w:rsid w:val="006A15CE"/>
    <w:rsid w:val="006A1DC5"/>
    <w:rsid w:val="006A22B2"/>
    <w:rsid w:val="006A2D97"/>
    <w:rsid w:val="006A2F64"/>
    <w:rsid w:val="006A3B37"/>
    <w:rsid w:val="006A4163"/>
    <w:rsid w:val="006A4508"/>
    <w:rsid w:val="006A4642"/>
    <w:rsid w:val="006A49B1"/>
    <w:rsid w:val="006A4BD2"/>
    <w:rsid w:val="006A504A"/>
    <w:rsid w:val="006A5214"/>
    <w:rsid w:val="006A522D"/>
    <w:rsid w:val="006A576B"/>
    <w:rsid w:val="006A613F"/>
    <w:rsid w:val="006A61A8"/>
    <w:rsid w:val="006A64BA"/>
    <w:rsid w:val="006A676B"/>
    <w:rsid w:val="006A68DA"/>
    <w:rsid w:val="006A6BA2"/>
    <w:rsid w:val="006A6F37"/>
    <w:rsid w:val="006A6F6B"/>
    <w:rsid w:val="006A72DC"/>
    <w:rsid w:val="006A768B"/>
    <w:rsid w:val="006A7CB4"/>
    <w:rsid w:val="006B08A2"/>
    <w:rsid w:val="006B0989"/>
    <w:rsid w:val="006B0ACA"/>
    <w:rsid w:val="006B1075"/>
    <w:rsid w:val="006B15D9"/>
    <w:rsid w:val="006B199D"/>
    <w:rsid w:val="006B1BA6"/>
    <w:rsid w:val="006B1D1D"/>
    <w:rsid w:val="006B277A"/>
    <w:rsid w:val="006B27A6"/>
    <w:rsid w:val="006B2A38"/>
    <w:rsid w:val="006B2CB5"/>
    <w:rsid w:val="006B2D1B"/>
    <w:rsid w:val="006B2E61"/>
    <w:rsid w:val="006B2E97"/>
    <w:rsid w:val="006B38A8"/>
    <w:rsid w:val="006B3DD5"/>
    <w:rsid w:val="006B4306"/>
    <w:rsid w:val="006B4593"/>
    <w:rsid w:val="006B4AE4"/>
    <w:rsid w:val="006B51E1"/>
    <w:rsid w:val="006B51EC"/>
    <w:rsid w:val="006B5237"/>
    <w:rsid w:val="006B53D0"/>
    <w:rsid w:val="006B56B2"/>
    <w:rsid w:val="006B587A"/>
    <w:rsid w:val="006B6B77"/>
    <w:rsid w:val="006B71D9"/>
    <w:rsid w:val="006B7581"/>
    <w:rsid w:val="006B7FC1"/>
    <w:rsid w:val="006C01D6"/>
    <w:rsid w:val="006C12DD"/>
    <w:rsid w:val="006C16B0"/>
    <w:rsid w:val="006C1DF8"/>
    <w:rsid w:val="006C2020"/>
    <w:rsid w:val="006C2565"/>
    <w:rsid w:val="006C2833"/>
    <w:rsid w:val="006C2B3D"/>
    <w:rsid w:val="006C2BA4"/>
    <w:rsid w:val="006C2FB8"/>
    <w:rsid w:val="006C2FD9"/>
    <w:rsid w:val="006C31E6"/>
    <w:rsid w:val="006C38C1"/>
    <w:rsid w:val="006C3D29"/>
    <w:rsid w:val="006C442F"/>
    <w:rsid w:val="006C44AE"/>
    <w:rsid w:val="006C46C0"/>
    <w:rsid w:val="006C4C84"/>
    <w:rsid w:val="006C4F29"/>
    <w:rsid w:val="006C516C"/>
    <w:rsid w:val="006C53FC"/>
    <w:rsid w:val="006C5E16"/>
    <w:rsid w:val="006C64C0"/>
    <w:rsid w:val="006C654F"/>
    <w:rsid w:val="006C7714"/>
    <w:rsid w:val="006C7C38"/>
    <w:rsid w:val="006D010D"/>
    <w:rsid w:val="006D0244"/>
    <w:rsid w:val="006D0485"/>
    <w:rsid w:val="006D04A2"/>
    <w:rsid w:val="006D088A"/>
    <w:rsid w:val="006D0927"/>
    <w:rsid w:val="006D0FCB"/>
    <w:rsid w:val="006D138E"/>
    <w:rsid w:val="006D1B1E"/>
    <w:rsid w:val="006D23E8"/>
    <w:rsid w:val="006D2B63"/>
    <w:rsid w:val="006D2C5D"/>
    <w:rsid w:val="006D2FD4"/>
    <w:rsid w:val="006D30AB"/>
    <w:rsid w:val="006D35AC"/>
    <w:rsid w:val="006D3B14"/>
    <w:rsid w:val="006D3B6A"/>
    <w:rsid w:val="006D3DEE"/>
    <w:rsid w:val="006D3DFC"/>
    <w:rsid w:val="006D3F99"/>
    <w:rsid w:val="006D4276"/>
    <w:rsid w:val="006D4390"/>
    <w:rsid w:val="006D46DC"/>
    <w:rsid w:val="006D4D19"/>
    <w:rsid w:val="006D4E06"/>
    <w:rsid w:val="006D5011"/>
    <w:rsid w:val="006D50A8"/>
    <w:rsid w:val="006D57FE"/>
    <w:rsid w:val="006D60D4"/>
    <w:rsid w:val="006D67D3"/>
    <w:rsid w:val="006D69C4"/>
    <w:rsid w:val="006D6CA0"/>
    <w:rsid w:val="006D7325"/>
    <w:rsid w:val="006D7590"/>
    <w:rsid w:val="006E00E8"/>
    <w:rsid w:val="006E042E"/>
    <w:rsid w:val="006E04B2"/>
    <w:rsid w:val="006E06D0"/>
    <w:rsid w:val="006E0815"/>
    <w:rsid w:val="006E0DFD"/>
    <w:rsid w:val="006E1506"/>
    <w:rsid w:val="006E1825"/>
    <w:rsid w:val="006E2770"/>
    <w:rsid w:val="006E2B5E"/>
    <w:rsid w:val="006E2DD8"/>
    <w:rsid w:val="006E2EB5"/>
    <w:rsid w:val="006E3027"/>
    <w:rsid w:val="006E30F8"/>
    <w:rsid w:val="006E37CC"/>
    <w:rsid w:val="006E4091"/>
    <w:rsid w:val="006E42F0"/>
    <w:rsid w:val="006E4978"/>
    <w:rsid w:val="006E533B"/>
    <w:rsid w:val="006E5525"/>
    <w:rsid w:val="006E5948"/>
    <w:rsid w:val="006E5A5A"/>
    <w:rsid w:val="006E5B16"/>
    <w:rsid w:val="006E61DF"/>
    <w:rsid w:val="006E704B"/>
    <w:rsid w:val="006E712B"/>
    <w:rsid w:val="006F0000"/>
    <w:rsid w:val="006F018C"/>
    <w:rsid w:val="006F0672"/>
    <w:rsid w:val="006F13C0"/>
    <w:rsid w:val="006F1981"/>
    <w:rsid w:val="006F1C72"/>
    <w:rsid w:val="006F203E"/>
    <w:rsid w:val="006F277C"/>
    <w:rsid w:val="006F2DED"/>
    <w:rsid w:val="006F355A"/>
    <w:rsid w:val="006F38EC"/>
    <w:rsid w:val="006F3AE1"/>
    <w:rsid w:val="006F3E4A"/>
    <w:rsid w:val="006F42C5"/>
    <w:rsid w:val="006F46F6"/>
    <w:rsid w:val="006F4DCF"/>
    <w:rsid w:val="006F504D"/>
    <w:rsid w:val="006F51B7"/>
    <w:rsid w:val="006F5884"/>
    <w:rsid w:val="006F63AE"/>
    <w:rsid w:val="006F643E"/>
    <w:rsid w:val="006F6780"/>
    <w:rsid w:val="006F6CBF"/>
    <w:rsid w:val="006F7016"/>
    <w:rsid w:val="006F7AB1"/>
    <w:rsid w:val="006F7B35"/>
    <w:rsid w:val="0070077C"/>
    <w:rsid w:val="007008DA"/>
    <w:rsid w:val="0070095A"/>
    <w:rsid w:val="00700C66"/>
    <w:rsid w:val="0070116C"/>
    <w:rsid w:val="00701A17"/>
    <w:rsid w:val="00701E70"/>
    <w:rsid w:val="00702B1D"/>
    <w:rsid w:val="007031D0"/>
    <w:rsid w:val="00703481"/>
    <w:rsid w:val="00703D29"/>
    <w:rsid w:val="00703DCA"/>
    <w:rsid w:val="007048E6"/>
    <w:rsid w:val="007050B0"/>
    <w:rsid w:val="007052A4"/>
    <w:rsid w:val="0070542C"/>
    <w:rsid w:val="0070544B"/>
    <w:rsid w:val="00705BA7"/>
    <w:rsid w:val="007060EC"/>
    <w:rsid w:val="0070633D"/>
    <w:rsid w:val="007064CF"/>
    <w:rsid w:val="00706543"/>
    <w:rsid w:val="00706B0A"/>
    <w:rsid w:val="00706F58"/>
    <w:rsid w:val="00707581"/>
    <w:rsid w:val="007075DE"/>
    <w:rsid w:val="0070785E"/>
    <w:rsid w:val="0070788D"/>
    <w:rsid w:val="0070AAE0"/>
    <w:rsid w:val="007106A9"/>
    <w:rsid w:val="007107AB"/>
    <w:rsid w:val="007109DD"/>
    <w:rsid w:val="00710BF0"/>
    <w:rsid w:val="00711246"/>
    <w:rsid w:val="00711506"/>
    <w:rsid w:val="00711C9F"/>
    <w:rsid w:val="007120BB"/>
    <w:rsid w:val="00712B05"/>
    <w:rsid w:val="00712FF1"/>
    <w:rsid w:val="00713067"/>
    <w:rsid w:val="00713356"/>
    <w:rsid w:val="00713DB9"/>
    <w:rsid w:val="0071491B"/>
    <w:rsid w:val="00714E38"/>
    <w:rsid w:val="00714F24"/>
    <w:rsid w:val="00715146"/>
    <w:rsid w:val="007152F1"/>
    <w:rsid w:val="00715642"/>
    <w:rsid w:val="007161A9"/>
    <w:rsid w:val="0071627D"/>
    <w:rsid w:val="007162D4"/>
    <w:rsid w:val="0071684A"/>
    <w:rsid w:val="0071696D"/>
    <w:rsid w:val="00716DC0"/>
    <w:rsid w:val="0071756C"/>
    <w:rsid w:val="007178D6"/>
    <w:rsid w:val="00717A7A"/>
    <w:rsid w:val="00720006"/>
    <w:rsid w:val="007200C5"/>
    <w:rsid w:val="00720302"/>
    <w:rsid w:val="00720323"/>
    <w:rsid w:val="00720D17"/>
    <w:rsid w:val="00720E53"/>
    <w:rsid w:val="0072143C"/>
    <w:rsid w:val="00721F96"/>
    <w:rsid w:val="00722269"/>
    <w:rsid w:val="00722653"/>
    <w:rsid w:val="0072301B"/>
    <w:rsid w:val="00723229"/>
    <w:rsid w:val="00723A8B"/>
    <w:rsid w:val="00723B6A"/>
    <w:rsid w:val="00723F6C"/>
    <w:rsid w:val="00724204"/>
    <w:rsid w:val="00725337"/>
    <w:rsid w:val="00725A7E"/>
    <w:rsid w:val="00725C91"/>
    <w:rsid w:val="007269AF"/>
    <w:rsid w:val="00726C6F"/>
    <w:rsid w:val="00726CE3"/>
    <w:rsid w:val="007278EF"/>
    <w:rsid w:val="00727976"/>
    <w:rsid w:val="00727FDE"/>
    <w:rsid w:val="0073037B"/>
    <w:rsid w:val="00730917"/>
    <w:rsid w:val="00730D8C"/>
    <w:rsid w:val="00731C04"/>
    <w:rsid w:val="0073201C"/>
    <w:rsid w:val="00732243"/>
    <w:rsid w:val="00732429"/>
    <w:rsid w:val="007328BC"/>
    <w:rsid w:val="00734269"/>
    <w:rsid w:val="00734389"/>
    <w:rsid w:val="007346C7"/>
    <w:rsid w:val="00734A64"/>
    <w:rsid w:val="00734B53"/>
    <w:rsid w:val="007360F4"/>
    <w:rsid w:val="007362C0"/>
    <w:rsid w:val="0073700F"/>
    <w:rsid w:val="00737035"/>
    <w:rsid w:val="007379FD"/>
    <w:rsid w:val="0073DBD6"/>
    <w:rsid w:val="00740056"/>
    <w:rsid w:val="00740EF4"/>
    <w:rsid w:val="00740F47"/>
    <w:rsid w:val="007415DD"/>
    <w:rsid w:val="0074194A"/>
    <w:rsid w:val="00741B21"/>
    <w:rsid w:val="00742913"/>
    <w:rsid w:val="00742E0A"/>
    <w:rsid w:val="00743178"/>
    <w:rsid w:val="00743589"/>
    <w:rsid w:val="00743914"/>
    <w:rsid w:val="007443C5"/>
    <w:rsid w:val="00744522"/>
    <w:rsid w:val="00744F88"/>
    <w:rsid w:val="007453D8"/>
    <w:rsid w:val="007459F4"/>
    <w:rsid w:val="00745A88"/>
    <w:rsid w:val="00746542"/>
    <w:rsid w:val="00746D02"/>
    <w:rsid w:val="007477EC"/>
    <w:rsid w:val="00747811"/>
    <w:rsid w:val="00747A98"/>
    <w:rsid w:val="00747DAD"/>
    <w:rsid w:val="00750195"/>
    <w:rsid w:val="0075028A"/>
    <w:rsid w:val="0075040C"/>
    <w:rsid w:val="0075063B"/>
    <w:rsid w:val="00750CD1"/>
    <w:rsid w:val="00751440"/>
    <w:rsid w:val="00751789"/>
    <w:rsid w:val="007517B2"/>
    <w:rsid w:val="007521D3"/>
    <w:rsid w:val="00752481"/>
    <w:rsid w:val="007524CA"/>
    <w:rsid w:val="007526F5"/>
    <w:rsid w:val="007529DE"/>
    <w:rsid w:val="00752D46"/>
    <w:rsid w:val="007531A7"/>
    <w:rsid w:val="00753999"/>
    <w:rsid w:val="00753DB5"/>
    <w:rsid w:val="00753FFE"/>
    <w:rsid w:val="007540A5"/>
    <w:rsid w:val="00754133"/>
    <w:rsid w:val="00754449"/>
    <w:rsid w:val="00754721"/>
    <w:rsid w:val="0075508B"/>
    <w:rsid w:val="00755596"/>
    <w:rsid w:val="007555D0"/>
    <w:rsid w:val="007558B4"/>
    <w:rsid w:val="00755D15"/>
    <w:rsid w:val="00756F15"/>
    <w:rsid w:val="00757199"/>
    <w:rsid w:val="0075763C"/>
    <w:rsid w:val="00757B36"/>
    <w:rsid w:val="00757FB0"/>
    <w:rsid w:val="007601B3"/>
    <w:rsid w:val="007604CA"/>
    <w:rsid w:val="00760AB5"/>
    <w:rsid w:val="00760C5E"/>
    <w:rsid w:val="00761222"/>
    <w:rsid w:val="0076139F"/>
    <w:rsid w:val="00761748"/>
    <w:rsid w:val="00761C3F"/>
    <w:rsid w:val="007622F8"/>
    <w:rsid w:val="00762550"/>
    <w:rsid w:val="007628A7"/>
    <w:rsid w:val="007629EC"/>
    <w:rsid w:val="00762CA8"/>
    <w:rsid w:val="00762D65"/>
    <w:rsid w:val="00762DBF"/>
    <w:rsid w:val="00764349"/>
    <w:rsid w:val="00764566"/>
    <w:rsid w:val="00764995"/>
    <w:rsid w:val="00765136"/>
    <w:rsid w:val="0076563E"/>
    <w:rsid w:val="00765AF6"/>
    <w:rsid w:val="00765EE6"/>
    <w:rsid w:val="00765FF1"/>
    <w:rsid w:val="00766187"/>
    <w:rsid w:val="007663D0"/>
    <w:rsid w:val="00766676"/>
    <w:rsid w:val="00766A13"/>
    <w:rsid w:val="00766AD3"/>
    <w:rsid w:val="0076711B"/>
    <w:rsid w:val="007673A5"/>
    <w:rsid w:val="007678BC"/>
    <w:rsid w:val="00770340"/>
    <w:rsid w:val="00770880"/>
    <w:rsid w:val="007712B3"/>
    <w:rsid w:val="00771626"/>
    <w:rsid w:val="00771A88"/>
    <w:rsid w:val="00771E94"/>
    <w:rsid w:val="0077245D"/>
    <w:rsid w:val="0077278F"/>
    <w:rsid w:val="007729B3"/>
    <w:rsid w:val="00772DAE"/>
    <w:rsid w:val="007733E3"/>
    <w:rsid w:val="007740CE"/>
    <w:rsid w:val="007749E4"/>
    <w:rsid w:val="00774B95"/>
    <w:rsid w:val="00774C71"/>
    <w:rsid w:val="007753B6"/>
    <w:rsid w:val="007753CF"/>
    <w:rsid w:val="0077550D"/>
    <w:rsid w:val="00776CAB"/>
    <w:rsid w:val="007772BD"/>
    <w:rsid w:val="00777F82"/>
    <w:rsid w:val="00780277"/>
    <w:rsid w:val="007802E6"/>
    <w:rsid w:val="007806AC"/>
    <w:rsid w:val="00780754"/>
    <w:rsid w:val="00780C9E"/>
    <w:rsid w:val="007811EB"/>
    <w:rsid w:val="007819F4"/>
    <w:rsid w:val="00781CDC"/>
    <w:rsid w:val="00781E88"/>
    <w:rsid w:val="007826D8"/>
    <w:rsid w:val="00782744"/>
    <w:rsid w:val="00782EC6"/>
    <w:rsid w:val="00782FE9"/>
    <w:rsid w:val="007832E3"/>
    <w:rsid w:val="00783321"/>
    <w:rsid w:val="007835D6"/>
    <w:rsid w:val="00783F60"/>
    <w:rsid w:val="0078418C"/>
    <w:rsid w:val="007841ED"/>
    <w:rsid w:val="00784477"/>
    <w:rsid w:val="00785418"/>
    <w:rsid w:val="00785739"/>
    <w:rsid w:val="00785956"/>
    <w:rsid w:val="00785985"/>
    <w:rsid w:val="00785C01"/>
    <w:rsid w:val="00785E41"/>
    <w:rsid w:val="0078658E"/>
    <w:rsid w:val="00790411"/>
    <w:rsid w:val="00790892"/>
    <w:rsid w:val="00790A86"/>
    <w:rsid w:val="00790C06"/>
    <w:rsid w:val="0079107C"/>
    <w:rsid w:val="00791914"/>
    <w:rsid w:val="007919DD"/>
    <w:rsid w:val="00791C85"/>
    <w:rsid w:val="007920E7"/>
    <w:rsid w:val="007926BD"/>
    <w:rsid w:val="00792A94"/>
    <w:rsid w:val="00792AFC"/>
    <w:rsid w:val="007931C3"/>
    <w:rsid w:val="0079322F"/>
    <w:rsid w:val="0079380F"/>
    <w:rsid w:val="00793A1C"/>
    <w:rsid w:val="00793B7A"/>
    <w:rsid w:val="00793C46"/>
    <w:rsid w:val="00794059"/>
    <w:rsid w:val="00794A0E"/>
    <w:rsid w:val="00794C76"/>
    <w:rsid w:val="00795560"/>
    <w:rsid w:val="0079589D"/>
    <w:rsid w:val="00795935"/>
    <w:rsid w:val="00796989"/>
    <w:rsid w:val="0079737C"/>
    <w:rsid w:val="007979E6"/>
    <w:rsid w:val="00797A58"/>
    <w:rsid w:val="00797D0C"/>
    <w:rsid w:val="007A00C0"/>
    <w:rsid w:val="007A020D"/>
    <w:rsid w:val="007A03C0"/>
    <w:rsid w:val="007A08C5"/>
    <w:rsid w:val="007A0D5E"/>
    <w:rsid w:val="007A0E5C"/>
    <w:rsid w:val="007A1A08"/>
    <w:rsid w:val="007A2485"/>
    <w:rsid w:val="007A322A"/>
    <w:rsid w:val="007A3682"/>
    <w:rsid w:val="007A3D4C"/>
    <w:rsid w:val="007A4129"/>
    <w:rsid w:val="007A4154"/>
    <w:rsid w:val="007A4269"/>
    <w:rsid w:val="007A562B"/>
    <w:rsid w:val="007A574D"/>
    <w:rsid w:val="007A6226"/>
    <w:rsid w:val="007A62DD"/>
    <w:rsid w:val="007A69F9"/>
    <w:rsid w:val="007A71C6"/>
    <w:rsid w:val="007A726B"/>
    <w:rsid w:val="007A7466"/>
    <w:rsid w:val="007A781C"/>
    <w:rsid w:val="007A7938"/>
    <w:rsid w:val="007A7E0F"/>
    <w:rsid w:val="007B007E"/>
    <w:rsid w:val="007B023D"/>
    <w:rsid w:val="007B038C"/>
    <w:rsid w:val="007B06B9"/>
    <w:rsid w:val="007B0701"/>
    <w:rsid w:val="007B0D32"/>
    <w:rsid w:val="007B11B0"/>
    <w:rsid w:val="007B1214"/>
    <w:rsid w:val="007B14B2"/>
    <w:rsid w:val="007B1FC7"/>
    <w:rsid w:val="007B23DB"/>
    <w:rsid w:val="007B259B"/>
    <w:rsid w:val="007B2E7F"/>
    <w:rsid w:val="007B3485"/>
    <w:rsid w:val="007B38BD"/>
    <w:rsid w:val="007B39DF"/>
    <w:rsid w:val="007B4863"/>
    <w:rsid w:val="007B48BC"/>
    <w:rsid w:val="007B4BC7"/>
    <w:rsid w:val="007B4EA3"/>
    <w:rsid w:val="007B4F7F"/>
    <w:rsid w:val="007B4FE7"/>
    <w:rsid w:val="007B50AD"/>
    <w:rsid w:val="007B5A1C"/>
    <w:rsid w:val="007B5BA3"/>
    <w:rsid w:val="007B63EA"/>
    <w:rsid w:val="007B6A92"/>
    <w:rsid w:val="007B6CE9"/>
    <w:rsid w:val="007B7341"/>
    <w:rsid w:val="007B7B0A"/>
    <w:rsid w:val="007B7D0B"/>
    <w:rsid w:val="007B7FC6"/>
    <w:rsid w:val="007C04AC"/>
    <w:rsid w:val="007C101D"/>
    <w:rsid w:val="007C105D"/>
    <w:rsid w:val="007C1779"/>
    <w:rsid w:val="007C18C6"/>
    <w:rsid w:val="007C1BB0"/>
    <w:rsid w:val="007C1BC7"/>
    <w:rsid w:val="007C1C0B"/>
    <w:rsid w:val="007C2103"/>
    <w:rsid w:val="007C216A"/>
    <w:rsid w:val="007C21BB"/>
    <w:rsid w:val="007C235A"/>
    <w:rsid w:val="007C2549"/>
    <w:rsid w:val="007C2689"/>
    <w:rsid w:val="007C28D9"/>
    <w:rsid w:val="007C2D79"/>
    <w:rsid w:val="007C3001"/>
    <w:rsid w:val="007C3400"/>
    <w:rsid w:val="007C3E7E"/>
    <w:rsid w:val="007C3F17"/>
    <w:rsid w:val="007C439A"/>
    <w:rsid w:val="007C45F7"/>
    <w:rsid w:val="007C4C12"/>
    <w:rsid w:val="007C5A8B"/>
    <w:rsid w:val="007C5ED7"/>
    <w:rsid w:val="007C72A2"/>
    <w:rsid w:val="007C7300"/>
    <w:rsid w:val="007C731D"/>
    <w:rsid w:val="007C7A9D"/>
    <w:rsid w:val="007C7D9B"/>
    <w:rsid w:val="007D0F72"/>
    <w:rsid w:val="007D151C"/>
    <w:rsid w:val="007D189C"/>
    <w:rsid w:val="007D18A3"/>
    <w:rsid w:val="007D1B55"/>
    <w:rsid w:val="007D2135"/>
    <w:rsid w:val="007D23A1"/>
    <w:rsid w:val="007D2740"/>
    <w:rsid w:val="007D2E99"/>
    <w:rsid w:val="007D2EFB"/>
    <w:rsid w:val="007D3216"/>
    <w:rsid w:val="007D381B"/>
    <w:rsid w:val="007D3937"/>
    <w:rsid w:val="007D3CBC"/>
    <w:rsid w:val="007D41A3"/>
    <w:rsid w:val="007D4C25"/>
    <w:rsid w:val="007D55BC"/>
    <w:rsid w:val="007D56F4"/>
    <w:rsid w:val="007D5702"/>
    <w:rsid w:val="007D5945"/>
    <w:rsid w:val="007D5A87"/>
    <w:rsid w:val="007D5AF6"/>
    <w:rsid w:val="007D5B61"/>
    <w:rsid w:val="007D6324"/>
    <w:rsid w:val="007D633D"/>
    <w:rsid w:val="007D6413"/>
    <w:rsid w:val="007D688C"/>
    <w:rsid w:val="007D7124"/>
    <w:rsid w:val="007D78BD"/>
    <w:rsid w:val="007D7B17"/>
    <w:rsid w:val="007D7D65"/>
    <w:rsid w:val="007E02E6"/>
    <w:rsid w:val="007E0660"/>
    <w:rsid w:val="007E0929"/>
    <w:rsid w:val="007E092D"/>
    <w:rsid w:val="007E0BDD"/>
    <w:rsid w:val="007E0D0B"/>
    <w:rsid w:val="007E102E"/>
    <w:rsid w:val="007E1080"/>
    <w:rsid w:val="007E13C2"/>
    <w:rsid w:val="007E1D9E"/>
    <w:rsid w:val="007E1E99"/>
    <w:rsid w:val="007E20F2"/>
    <w:rsid w:val="007E2F4B"/>
    <w:rsid w:val="007E372F"/>
    <w:rsid w:val="007E3B47"/>
    <w:rsid w:val="007E495E"/>
    <w:rsid w:val="007E55E0"/>
    <w:rsid w:val="007E5703"/>
    <w:rsid w:val="007E5774"/>
    <w:rsid w:val="007E6DD2"/>
    <w:rsid w:val="007E6E7F"/>
    <w:rsid w:val="007E71F7"/>
    <w:rsid w:val="007F0087"/>
    <w:rsid w:val="007F05C5"/>
    <w:rsid w:val="007F115F"/>
    <w:rsid w:val="007F1187"/>
    <w:rsid w:val="007F12FE"/>
    <w:rsid w:val="007F1970"/>
    <w:rsid w:val="007F1B1F"/>
    <w:rsid w:val="007F1D01"/>
    <w:rsid w:val="007F1D7D"/>
    <w:rsid w:val="007F1FF2"/>
    <w:rsid w:val="007F2128"/>
    <w:rsid w:val="007F2185"/>
    <w:rsid w:val="007F25D5"/>
    <w:rsid w:val="007F2916"/>
    <w:rsid w:val="007F2AA7"/>
    <w:rsid w:val="007F38BD"/>
    <w:rsid w:val="007F38F1"/>
    <w:rsid w:val="007F3CC5"/>
    <w:rsid w:val="007F3E6C"/>
    <w:rsid w:val="007F4313"/>
    <w:rsid w:val="007F4DF1"/>
    <w:rsid w:val="007F5050"/>
    <w:rsid w:val="007F5610"/>
    <w:rsid w:val="007F653C"/>
    <w:rsid w:val="007F6561"/>
    <w:rsid w:val="007F6670"/>
    <w:rsid w:val="007F69FA"/>
    <w:rsid w:val="007F6D8D"/>
    <w:rsid w:val="007F792B"/>
    <w:rsid w:val="007F7AE7"/>
    <w:rsid w:val="007F7D6F"/>
    <w:rsid w:val="00800077"/>
    <w:rsid w:val="008004C6"/>
    <w:rsid w:val="008007B7"/>
    <w:rsid w:val="00800B18"/>
    <w:rsid w:val="00800F7F"/>
    <w:rsid w:val="00801559"/>
    <w:rsid w:val="00801A1A"/>
    <w:rsid w:val="00801A65"/>
    <w:rsid w:val="00801C40"/>
    <w:rsid w:val="00802167"/>
    <w:rsid w:val="0080336D"/>
    <w:rsid w:val="00803396"/>
    <w:rsid w:val="0080347C"/>
    <w:rsid w:val="00803ACF"/>
    <w:rsid w:val="00803EA4"/>
    <w:rsid w:val="00803F81"/>
    <w:rsid w:val="0080412E"/>
    <w:rsid w:val="008041DC"/>
    <w:rsid w:val="008042BA"/>
    <w:rsid w:val="00804527"/>
    <w:rsid w:val="00804C3A"/>
    <w:rsid w:val="00804E4C"/>
    <w:rsid w:val="00804E6F"/>
    <w:rsid w:val="0080542E"/>
    <w:rsid w:val="008055DB"/>
    <w:rsid w:val="008068B2"/>
    <w:rsid w:val="00807642"/>
    <w:rsid w:val="008102EA"/>
    <w:rsid w:val="00810718"/>
    <w:rsid w:val="00810867"/>
    <w:rsid w:val="00810AA6"/>
    <w:rsid w:val="00810E7D"/>
    <w:rsid w:val="00810F72"/>
    <w:rsid w:val="00811731"/>
    <w:rsid w:val="00812094"/>
    <w:rsid w:val="00812433"/>
    <w:rsid w:val="008129F9"/>
    <w:rsid w:val="00812D9B"/>
    <w:rsid w:val="008132A3"/>
    <w:rsid w:val="00813341"/>
    <w:rsid w:val="00813D85"/>
    <w:rsid w:val="00813ED0"/>
    <w:rsid w:val="0081412B"/>
    <w:rsid w:val="0081421E"/>
    <w:rsid w:val="008147D5"/>
    <w:rsid w:val="00814CA7"/>
    <w:rsid w:val="00814FFE"/>
    <w:rsid w:val="008156B9"/>
    <w:rsid w:val="00816425"/>
    <w:rsid w:val="00816513"/>
    <w:rsid w:val="00816E83"/>
    <w:rsid w:val="0081718E"/>
    <w:rsid w:val="008173E0"/>
    <w:rsid w:val="00817928"/>
    <w:rsid w:val="00817A9E"/>
    <w:rsid w:val="0082039E"/>
    <w:rsid w:val="00820CA0"/>
    <w:rsid w:val="0082179F"/>
    <w:rsid w:val="00821A3F"/>
    <w:rsid w:val="00821B62"/>
    <w:rsid w:val="008230C2"/>
    <w:rsid w:val="00823182"/>
    <w:rsid w:val="00823272"/>
    <w:rsid w:val="0082349C"/>
    <w:rsid w:val="00823721"/>
    <w:rsid w:val="008238B4"/>
    <w:rsid w:val="008239F8"/>
    <w:rsid w:val="00824A8D"/>
    <w:rsid w:val="00824AB6"/>
    <w:rsid w:val="00824B41"/>
    <w:rsid w:val="00824DC8"/>
    <w:rsid w:val="00825297"/>
    <w:rsid w:val="00825B76"/>
    <w:rsid w:val="00825CDF"/>
    <w:rsid w:val="00825E56"/>
    <w:rsid w:val="0082604D"/>
    <w:rsid w:val="008264F4"/>
    <w:rsid w:val="008265E9"/>
    <w:rsid w:val="008266D6"/>
    <w:rsid w:val="00826898"/>
    <w:rsid w:val="00826A75"/>
    <w:rsid w:val="00826BC7"/>
    <w:rsid w:val="0082707B"/>
    <w:rsid w:val="00827806"/>
    <w:rsid w:val="00827903"/>
    <w:rsid w:val="008279A8"/>
    <w:rsid w:val="00827C75"/>
    <w:rsid w:val="00830AD5"/>
    <w:rsid w:val="00830ADC"/>
    <w:rsid w:val="00831914"/>
    <w:rsid w:val="00831A26"/>
    <w:rsid w:val="00831A2F"/>
    <w:rsid w:val="008324D4"/>
    <w:rsid w:val="00832763"/>
    <w:rsid w:val="00832E0F"/>
    <w:rsid w:val="0083359A"/>
    <w:rsid w:val="008335E4"/>
    <w:rsid w:val="00833BCC"/>
    <w:rsid w:val="00834176"/>
    <w:rsid w:val="008341DB"/>
    <w:rsid w:val="0083441E"/>
    <w:rsid w:val="008345CD"/>
    <w:rsid w:val="00834CBB"/>
    <w:rsid w:val="00836364"/>
    <w:rsid w:val="00836BB1"/>
    <w:rsid w:val="0083736F"/>
    <w:rsid w:val="00837577"/>
    <w:rsid w:val="0083757C"/>
    <w:rsid w:val="00837A2F"/>
    <w:rsid w:val="00840310"/>
    <w:rsid w:val="00840A8D"/>
    <w:rsid w:val="00840BC5"/>
    <w:rsid w:val="00840C09"/>
    <w:rsid w:val="00840DEB"/>
    <w:rsid w:val="00840F15"/>
    <w:rsid w:val="008414B6"/>
    <w:rsid w:val="00841898"/>
    <w:rsid w:val="00841ACE"/>
    <w:rsid w:val="0084242A"/>
    <w:rsid w:val="0084263C"/>
    <w:rsid w:val="00842A50"/>
    <w:rsid w:val="00843FA5"/>
    <w:rsid w:val="00844253"/>
    <w:rsid w:val="008449DB"/>
    <w:rsid w:val="00844B4C"/>
    <w:rsid w:val="00844FA8"/>
    <w:rsid w:val="00845A16"/>
    <w:rsid w:val="00845AAA"/>
    <w:rsid w:val="00845C3B"/>
    <w:rsid w:val="00845DC4"/>
    <w:rsid w:val="00845E46"/>
    <w:rsid w:val="00845FC2"/>
    <w:rsid w:val="008461DA"/>
    <w:rsid w:val="00846516"/>
    <w:rsid w:val="00847FC5"/>
    <w:rsid w:val="0085022A"/>
    <w:rsid w:val="0085095C"/>
    <w:rsid w:val="00850B95"/>
    <w:rsid w:val="00851BFF"/>
    <w:rsid w:val="00851DE2"/>
    <w:rsid w:val="00851DE6"/>
    <w:rsid w:val="008526B0"/>
    <w:rsid w:val="0085287D"/>
    <w:rsid w:val="00852E4E"/>
    <w:rsid w:val="008532C6"/>
    <w:rsid w:val="00853D7E"/>
    <w:rsid w:val="00854698"/>
    <w:rsid w:val="00854CDA"/>
    <w:rsid w:val="00854F07"/>
    <w:rsid w:val="00855440"/>
    <w:rsid w:val="00855806"/>
    <w:rsid w:val="008558B3"/>
    <w:rsid w:val="00855AAA"/>
    <w:rsid w:val="00855CFF"/>
    <w:rsid w:val="00856178"/>
    <w:rsid w:val="00856A6C"/>
    <w:rsid w:val="00857004"/>
    <w:rsid w:val="00857571"/>
    <w:rsid w:val="00857C02"/>
    <w:rsid w:val="00857E9F"/>
    <w:rsid w:val="0086018F"/>
    <w:rsid w:val="008603F0"/>
    <w:rsid w:val="00860932"/>
    <w:rsid w:val="00861254"/>
    <w:rsid w:val="00861982"/>
    <w:rsid w:val="00861C71"/>
    <w:rsid w:val="00861D30"/>
    <w:rsid w:val="00862066"/>
    <w:rsid w:val="00862358"/>
    <w:rsid w:val="00864446"/>
    <w:rsid w:val="00865439"/>
    <w:rsid w:val="00865471"/>
    <w:rsid w:val="0086557C"/>
    <w:rsid w:val="008658EE"/>
    <w:rsid w:val="00865A84"/>
    <w:rsid w:val="00866179"/>
    <w:rsid w:val="00866453"/>
    <w:rsid w:val="008667AE"/>
    <w:rsid w:val="00866830"/>
    <w:rsid w:val="00867214"/>
    <w:rsid w:val="008673C6"/>
    <w:rsid w:val="00867526"/>
    <w:rsid w:val="0087008F"/>
    <w:rsid w:val="0087074D"/>
    <w:rsid w:val="00871011"/>
    <w:rsid w:val="0087123B"/>
    <w:rsid w:val="008725FC"/>
    <w:rsid w:val="00872682"/>
    <w:rsid w:val="0087284F"/>
    <w:rsid w:val="00872AE0"/>
    <w:rsid w:val="008735D9"/>
    <w:rsid w:val="00873C16"/>
    <w:rsid w:val="00874368"/>
    <w:rsid w:val="00874568"/>
    <w:rsid w:val="00874FB0"/>
    <w:rsid w:val="0087511B"/>
    <w:rsid w:val="008757AC"/>
    <w:rsid w:val="00875B8C"/>
    <w:rsid w:val="00876099"/>
    <w:rsid w:val="00876123"/>
    <w:rsid w:val="00876B24"/>
    <w:rsid w:val="0087744C"/>
    <w:rsid w:val="00877E7D"/>
    <w:rsid w:val="00877F42"/>
    <w:rsid w:val="00880273"/>
    <w:rsid w:val="00880404"/>
    <w:rsid w:val="0088050C"/>
    <w:rsid w:val="00880A58"/>
    <w:rsid w:val="00880AE1"/>
    <w:rsid w:val="00880CDC"/>
    <w:rsid w:val="008811AB"/>
    <w:rsid w:val="008813D7"/>
    <w:rsid w:val="0088198B"/>
    <w:rsid w:val="00881CBD"/>
    <w:rsid w:val="00881D6E"/>
    <w:rsid w:val="00881F4E"/>
    <w:rsid w:val="00882455"/>
    <w:rsid w:val="00882650"/>
    <w:rsid w:val="008829F1"/>
    <w:rsid w:val="00882A47"/>
    <w:rsid w:val="00883409"/>
    <w:rsid w:val="00883851"/>
    <w:rsid w:val="0088393E"/>
    <w:rsid w:val="00884DA1"/>
    <w:rsid w:val="008851E5"/>
    <w:rsid w:val="008853AC"/>
    <w:rsid w:val="008853C7"/>
    <w:rsid w:val="00885998"/>
    <w:rsid w:val="0088607D"/>
    <w:rsid w:val="00886151"/>
    <w:rsid w:val="0088660E"/>
    <w:rsid w:val="00886631"/>
    <w:rsid w:val="0088728B"/>
    <w:rsid w:val="00887321"/>
    <w:rsid w:val="0088773D"/>
    <w:rsid w:val="008878FE"/>
    <w:rsid w:val="00887A09"/>
    <w:rsid w:val="00887BA6"/>
    <w:rsid w:val="00890239"/>
    <w:rsid w:val="0089045C"/>
    <w:rsid w:val="00890818"/>
    <w:rsid w:val="008911FA"/>
    <w:rsid w:val="008913AB"/>
    <w:rsid w:val="00891508"/>
    <w:rsid w:val="00891655"/>
    <w:rsid w:val="0089174B"/>
    <w:rsid w:val="008917CF"/>
    <w:rsid w:val="00891AED"/>
    <w:rsid w:val="00891D5E"/>
    <w:rsid w:val="00891F73"/>
    <w:rsid w:val="00892577"/>
    <w:rsid w:val="0089268F"/>
    <w:rsid w:val="008926F3"/>
    <w:rsid w:val="00892B00"/>
    <w:rsid w:val="00892BD1"/>
    <w:rsid w:val="00892CBA"/>
    <w:rsid w:val="008931E0"/>
    <w:rsid w:val="0089351B"/>
    <w:rsid w:val="008936C3"/>
    <w:rsid w:val="00893CEA"/>
    <w:rsid w:val="00893F70"/>
    <w:rsid w:val="00894616"/>
    <w:rsid w:val="0089479E"/>
    <w:rsid w:val="00896124"/>
    <w:rsid w:val="0089632A"/>
    <w:rsid w:val="00896836"/>
    <w:rsid w:val="00896A70"/>
    <w:rsid w:val="00896A97"/>
    <w:rsid w:val="00896D4F"/>
    <w:rsid w:val="0089710C"/>
    <w:rsid w:val="0089796E"/>
    <w:rsid w:val="008A0230"/>
    <w:rsid w:val="008A0469"/>
    <w:rsid w:val="008A12C9"/>
    <w:rsid w:val="008A14AD"/>
    <w:rsid w:val="008A1955"/>
    <w:rsid w:val="008A1F20"/>
    <w:rsid w:val="008A27CE"/>
    <w:rsid w:val="008A30A6"/>
    <w:rsid w:val="008A32D9"/>
    <w:rsid w:val="008A34EF"/>
    <w:rsid w:val="008A3888"/>
    <w:rsid w:val="008A3D2A"/>
    <w:rsid w:val="008A3EE8"/>
    <w:rsid w:val="008A40AA"/>
    <w:rsid w:val="008A41CA"/>
    <w:rsid w:val="008A468C"/>
    <w:rsid w:val="008A47F7"/>
    <w:rsid w:val="008A4C16"/>
    <w:rsid w:val="008A51DD"/>
    <w:rsid w:val="008A565D"/>
    <w:rsid w:val="008A56D4"/>
    <w:rsid w:val="008A5F69"/>
    <w:rsid w:val="008A5F96"/>
    <w:rsid w:val="008A6127"/>
    <w:rsid w:val="008A6135"/>
    <w:rsid w:val="008A6A61"/>
    <w:rsid w:val="008A6C13"/>
    <w:rsid w:val="008A72F7"/>
    <w:rsid w:val="008A7526"/>
    <w:rsid w:val="008A7912"/>
    <w:rsid w:val="008B0032"/>
    <w:rsid w:val="008B04E9"/>
    <w:rsid w:val="008B07D6"/>
    <w:rsid w:val="008B14DB"/>
    <w:rsid w:val="008B1530"/>
    <w:rsid w:val="008B164E"/>
    <w:rsid w:val="008B1665"/>
    <w:rsid w:val="008B1EE6"/>
    <w:rsid w:val="008B22DD"/>
    <w:rsid w:val="008B2AAA"/>
    <w:rsid w:val="008B3191"/>
    <w:rsid w:val="008B3559"/>
    <w:rsid w:val="008B3C5E"/>
    <w:rsid w:val="008B3DE3"/>
    <w:rsid w:val="008B3E74"/>
    <w:rsid w:val="008B43C2"/>
    <w:rsid w:val="008B4E35"/>
    <w:rsid w:val="008B4F5C"/>
    <w:rsid w:val="008B5D91"/>
    <w:rsid w:val="008B5DA3"/>
    <w:rsid w:val="008B6746"/>
    <w:rsid w:val="008B70D9"/>
    <w:rsid w:val="008B71AC"/>
    <w:rsid w:val="008B71BB"/>
    <w:rsid w:val="008B7864"/>
    <w:rsid w:val="008B7B3F"/>
    <w:rsid w:val="008C010D"/>
    <w:rsid w:val="008C04C5"/>
    <w:rsid w:val="008C0BB7"/>
    <w:rsid w:val="008C1285"/>
    <w:rsid w:val="008C182F"/>
    <w:rsid w:val="008C1DC1"/>
    <w:rsid w:val="008C222C"/>
    <w:rsid w:val="008C2B0F"/>
    <w:rsid w:val="008C2C87"/>
    <w:rsid w:val="008C30D6"/>
    <w:rsid w:val="008C3107"/>
    <w:rsid w:val="008C37A4"/>
    <w:rsid w:val="008C3F4B"/>
    <w:rsid w:val="008C404B"/>
    <w:rsid w:val="008C489E"/>
    <w:rsid w:val="008C4CBC"/>
    <w:rsid w:val="008C4E06"/>
    <w:rsid w:val="008C535B"/>
    <w:rsid w:val="008C540E"/>
    <w:rsid w:val="008C5872"/>
    <w:rsid w:val="008C5A1C"/>
    <w:rsid w:val="008C5CF2"/>
    <w:rsid w:val="008C61C8"/>
    <w:rsid w:val="008C696C"/>
    <w:rsid w:val="008C6D98"/>
    <w:rsid w:val="008C70B5"/>
    <w:rsid w:val="008C70F4"/>
    <w:rsid w:val="008C730A"/>
    <w:rsid w:val="008C732D"/>
    <w:rsid w:val="008C73C4"/>
    <w:rsid w:val="008C7A15"/>
    <w:rsid w:val="008C7A1C"/>
    <w:rsid w:val="008D09A1"/>
    <w:rsid w:val="008D0DE6"/>
    <w:rsid w:val="008D10D3"/>
    <w:rsid w:val="008D11AE"/>
    <w:rsid w:val="008D1370"/>
    <w:rsid w:val="008D146A"/>
    <w:rsid w:val="008D15B5"/>
    <w:rsid w:val="008D1656"/>
    <w:rsid w:val="008D1803"/>
    <w:rsid w:val="008D1A05"/>
    <w:rsid w:val="008D20FD"/>
    <w:rsid w:val="008D2C13"/>
    <w:rsid w:val="008D3212"/>
    <w:rsid w:val="008D331F"/>
    <w:rsid w:val="008D3C77"/>
    <w:rsid w:val="008D49F6"/>
    <w:rsid w:val="008D4BE7"/>
    <w:rsid w:val="008D4C8B"/>
    <w:rsid w:val="008D540A"/>
    <w:rsid w:val="008D594F"/>
    <w:rsid w:val="008D5C7F"/>
    <w:rsid w:val="008D645B"/>
    <w:rsid w:val="008D77B9"/>
    <w:rsid w:val="008E00C3"/>
    <w:rsid w:val="008E0173"/>
    <w:rsid w:val="008E068A"/>
    <w:rsid w:val="008E0C94"/>
    <w:rsid w:val="008E0D31"/>
    <w:rsid w:val="008E0E73"/>
    <w:rsid w:val="008E1E4B"/>
    <w:rsid w:val="008E1F91"/>
    <w:rsid w:val="008E20E5"/>
    <w:rsid w:val="008E2669"/>
    <w:rsid w:val="008E2FE7"/>
    <w:rsid w:val="008E30D0"/>
    <w:rsid w:val="008E3DEC"/>
    <w:rsid w:val="008E3E42"/>
    <w:rsid w:val="008E433C"/>
    <w:rsid w:val="008E4628"/>
    <w:rsid w:val="008E4C3E"/>
    <w:rsid w:val="008E50EB"/>
    <w:rsid w:val="008E5B82"/>
    <w:rsid w:val="008E62ED"/>
    <w:rsid w:val="008E65B3"/>
    <w:rsid w:val="008E6A1F"/>
    <w:rsid w:val="008E6B7A"/>
    <w:rsid w:val="008E6D93"/>
    <w:rsid w:val="008E7F6D"/>
    <w:rsid w:val="008F0533"/>
    <w:rsid w:val="008F0ED0"/>
    <w:rsid w:val="008F13E5"/>
    <w:rsid w:val="008F1F08"/>
    <w:rsid w:val="008F2233"/>
    <w:rsid w:val="008F29B0"/>
    <w:rsid w:val="008F2B2A"/>
    <w:rsid w:val="008F2DEC"/>
    <w:rsid w:val="008F2F90"/>
    <w:rsid w:val="008F3257"/>
    <w:rsid w:val="008F3362"/>
    <w:rsid w:val="008F391E"/>
    <w:rsid w:val="008F4D26"/>
    <w:rsid w:val="008F57A3"/>
    <w:rsid w:val="008F57A9"/>
    <w:rsid w:val="008F596F"/>
    <w:rsid w:val="008F5D0D"/>
    <w:rsid w:val="008F62A0"/>
    <w:rsid w:val="008F6600"/>
    <w:rsid w:val="008F67F7"/>
    <w:rsid w:val="008F6892"/>
    <w:rsid w:val="008F6BD9"/>
    <w:rsid w:val="008F6C5D"/>
    <w:rsid w:val="008F74C5"/>
    <w:rsid w:val="008F7759"/>
    <w:rsid w:val="008F7A53"/>
    <w:rsid w:val="009001C7"/>
    <w:rsid w:val="00900AFE"/>
    <w:rsid w:val="00900C6B"/>
    <w:rsid w:val="00900D8E"/>
    <w:rsid w:val="00900E0D"/>
    <w:rsid w:val="009018D3"/>
    <w:rsid w:val="00901D5D"/>
    <w:rsid w:val="009029A5"/>
    <w:rsid w:val="00902D76"/>
    <w:rsid w:val="00902ED4"/>
    <w:rsid w:val="00904252"/>
    <w:rsid w:val="0090459E"/>
    <w:rsid w:val="00904E88"/>
    <w:rsid w:val="00904FBD"/>
    <w:rsid w:val="009050B5"/>
    <w:rsid w:val="00905195"/>
    <w:rsid w:val="00905538"/>
    <w:rsid w:val="00905648"/>
    <w:rsid w:val="00905E3D"/>
    <w:rsid w:val="00906198"/>
    <w:rsid w:val="009064C8"/>
    <w:rsid w:val="009067EA"/>
    <w:rsid w:val="00906B84"/>
    <w:rsid w:val="00907AFB"/>
    <w:rsid w:val="00907B83"/>
    <w:rsid w:val="00907EE0"/>
    <w:rsid w:val="009106F3"/>
    <w:rsid w:val="00910981"/>
    <w:rsid w:val="009114D9"/>
    <w:rsid w:val="00911CBE"/>
    <w:rsid w:val="00912814"/>
    <w:rsid w:val="00912F4E"/>
    <w:rsid w:val="00913978"/>
    <w:rsid w:val="009144D1"/>
    <w:rsid w:val="00914A57"/>
    <w:rsid w:val="00914A86"/>
    <w:rsid w:val="00914D19"/>
    <w:rsid w:val="00914DFD"/>
    <w:rsid w:val="00915385"/>
    <w:rsid w:val="0091558F"/>
    <w:rsid w:val="009159F3"/>
    <w:rsid w:val="00916BF3"/>
    <w:rsid w:val="00917178"/>
    <w:rsid w:val="009172F7"/>
    <w:rsid w:val="00917438"/>
    <w:rsid w:val="0091758C"/>
    <w:rsid w:val="0091758F"/>
    <w:rsid w:val="009211FD"/>
    <w:rsid w:val="00921687"/>
    <w:rsid w:val="00921A9B"/>
    <w:rsid w:val="00921C5B"/>
    <w:rsid w:val="00921C85"/>
    <w:rsid w:val="00921D73"/>
    <w:rsid w:val="00921E5F"/>
    <w:rsid w:val="0092234C"/>
    <w:rsid w:val="009225FD"/>
    <w:rsid w:val="009229A8"/>
    <w:rsid w:val="009229E6"/>
    <w:rsid w:val="00922B39"/>
    <w:rsid w:val="00923A23"/>
    <w:rsid w:val="00923EDD"/>
    <w:rsid w:val="00924171"/>
    <w:rsid w:val="00924EB5"/>
    <w:rsid w:val="00924F51"/>
    <w:rsid w:val="00925C57"/>
    <w:rsid w:val="009263E0"/>
    <w:rsid w:val="0092653F"/>
    <w:rsid w:val="0092748E"/>
    <w:rsid w:val="009274A6"/>
    <w:rsid w:val="009275D2"/>
    <w:rsid w:val="00927601"/>
    <w:rsid w:val="009278ED"/>
    <w:rsid w:val="009300ED"/>
    <w:rsid w:val="009301B1"/>
    <w:rsid w:val="00930997"/>
    <w:rsid w:val="00930A1F"/>
    <w:rsid w:val="00930A7A"/>
    <w:rsid w:val="00930CBE"/>
    <w:rsid w:val="00930E54"/>
    <w:rsid w:val="0093174B"/>
    <w:rsid w:val="00931E04"/>
    <w:rsid w:val="00932406"/>
    <w:rsid w:val="0093292E"/>
    <w:rsid w:val="0093302C"/>
    <w:rsid w:val="00933BCA"/>
    <w:rsid w:val="00934F45"/>
    <w:rsid w:val="00934FA8"/>
    <w:rsid w:val="00935AA6"/>
    <w:rsid w:val="00935E3E"/>
    <w:rsid w:val="00936B28"/>
    <w:rsid w:val="00937ADF"/>
    <w:rsid w:val="00940110"/>
    <w:rsid w:val="00940999"/>
    <w:rsid w:val="00940DA5"/>
    <w:rsid w:val="00941229"/>
    <w:rsid w:val="009414A7"/>
    <w:rsid w:val="00941BAF"/>
    <w:rsid w:val="00941C38"/>
    <w:rsid w:val="00941C5B"/>
    <w:rsid w:val="009420D7"/>
    <w:rsid w:val="0094274C"/>
    <w:rsid w:val="0094278D"/>
    <w:rsid w:val="0094288D"/>
    <w:rsid w:val="0094308D"/>
    <w:rsid w:val="00943336"/>
    <w:rsid w:val="00943565"/>
    <w:rsid w:val="00943576"/>
    <w:rsid w:val="0094374B"/>
    <w:rsid w:val="00943D45"/>
    <w:rsid w:val="00944067"/>
    <w:rsid w:val="0094413C"/>
    <w:rsid w:val="009448EB"/>
    <w:rsid w:val="00944D55"/>
    <w:rsid w:val="00944DAC"/>
    <w:rsid w:val="00945410"/>
    <w:rsid w:val="00947096"/>
    <w:rsid w:val="00947640"/>
    <w:rsid w:val="00947A46"/>
    <w:rsid w:val="00947E4F"/>
    <w:rsid w:val="0095207E"/>
    <w:rsid w:val="00952105"/>
    <w:rsid w:val="0095296B"/>
    <w:rsid w:val="00952DD4"/>
    <w:rsid w:val="00953186"/>
    <w:rsid w:val="00953698"/>
    <w:rsid w:val="00953C34"/>
    <w:rsid w:val="00954090"/>
    <w:rsid w:val="009548A2"/>
    <w:rsid w:val="00954DB5"/>
    <w:rsid w:val="00954E42"/>
    <w:rsid w:val="00954F1D"/>
    <w:rsid w:val="0095501A"/>
    <w:rsid w:val="009550A9"/>
    <w:rsid w:val="009553CB"/>
    <w:rsid w:val="00955411"/>
    <w:rsid w:val="00955591"/>
    <w:rsid w:val="00955E59"/>
    <w:rsid w:val="00955F22"/>
    <w:rsid w:val="009567C2"/>
    <w:rsid w:val="0095704C"/>
    <w:rsid w:val="0095781D"/>
    <w:rsid w:val="00960263"/>
    <w:rsid w:val="009609CE"/>
    <w:rsid w:val="00960BE8"/>
    <w:rsid w:val="0096106B"/>
    <w:rsid w:val="00961114"/>
    <w:rsid w:val="00961493"/>
    <w:rsid w:val="009615F1"/>
    <w:rsid w:val="00961C30"/>
    <w:rsid w:val="00961D15"/>
    <w:rsid w:val="00961DF0"/>
    <w:rsid w:val="00962183"/>
    <w:rsid w:val="00962A78"/>
    <w:rsid w:val="00962AC6"/>
    <w:rsid w:val="00962C04"/>
    <w:rsid w:val="00962EF1"/>
    <w:rsid w:val="009635FD"/>
    <w:rsid w:val="0096390C"/>
    <w:rsid w:val="00963A0C"/>
    <w:rsid w:val="00963B4B"/>
    <w:rsid w:val="009644B6"/>
    <w:rsid w:val="0096483C"/>
    <w:rsid w:val="00964C1F"/>
    <w:rsid w:val="009651A3"/>
    <w:rsid w:val="009654FD"/>
    <w:rsid w:val="00965EC6"/>
    <w:rsid w:val="00966518"/>
    <w:rsid w:val="0096652F"/>
    <w:rsid w:val="00966C2C"/>
    <w:rsid w:val="00967041"/>
    <w:rsid w:val="00967499"/>
    <w:rsid w:val="009679A2"/>
    <w:rsid w:val="00967AB9"/>
    <w:rsid w:val="00967BBE"/>
    <w:rsid w:val="00970164"/>
    <w:rsid w:val="00970A68"/>
    <w:rsid w:val="00970C56"/>
    <w:rsid w:val="00971AF1"/>
    <w:rsid w:val="00971B4D"/>
    <w:rsid w:val="00971B73"/>
    <w:rsid w:val="0097216F"/>
    <w:rsid w:val="00972807"/>
    <w:rsid w:val="00972957"/>
    <w:rsid w:val="00972A7F"/>
    <w:rsid w:val="00973171"/>
    <w:rsid w:val="00973881"/>
    <w:rsid w:val="009743FD"/>
    <w:rsid w:val="00974516"/>
    <w:rsid w:val="00974627"/>
    <w:rsid w:val="0097524E"/>
    <w:rsid w:val="00975547"/>
    <w:rsid w:val="009758D7"/>
    <w:rsid w:val="0097633F"/>
    <w:rsid w:val="009768DD"/>
    <w:rsid w:val="00976CAA"/>
    <w:rsid w:val="00976ECC"/>
    <w:rsid w:val="00976F1A"/>
    <w:rsid w:val="009775CD"/>
    <w:rsid w:val="00977B9F"/>
    <w:rsid w:val="00977DA4"/>
    <w:rsid w:val="00980B53"/>
    <w:rsid w:val="00981369"/>
    <w:rsid w:val="00981BEB"/>
    <w:rsid w:val="0098236F"/>
    <w:rsid w:val="00982509"/>
    <w:rsid w:val="00983748"/>
    <w:rsid w:val="0098397C"/>
    <w:rsid w:val="009839D2"/>
    <w:rsid w:val="00983B72"/>
    <w:rsid w:val="00983DC0"/>
    <w:rsid w:val="00983F6D"/>
    <w:rsid w:val="0098407A"/>
    <w:rsid w:val="009844CF"/>
    <w:rsid w:val="00984B31"/>
    <w:rsid w:val="00984C55"/>
    <w:rsid w:val="00984C61"/>
    <w:rsid w:val="009852C9"/>
    <w:rsid w:val="0098536A"/>
    <w:rsid w:val="009856BC"/>
    <w:rsid w:val="009857C0"/>
    <w:rsid w:val="00985B8A"/>
    <w:rsid w:val="00986306"/>
    <w:rsid w:val="009867CF"/>
    <w:rsid w:val="00986840"/>
    <w:rsid w:val="00986FB7"/>
    <w:rsid w:val="00986FF2"/>
    <w:rsid w:val="009873FB"/>
    <w:rsid w:val="009874BD"/>
    <w:rsid w:val="009876C2"/>
    <w:rsid w:val="00987A3E"/>
    <w:rsid w:val="00987CA3"/>
    <w:rsid w:val="00987E73"/>
    <w:rsid w:val="0099009C"/>
    <w:rsid w:val="00990162"/>
    <w:rsid w:val="009901CF"/>
    <w:rsid w:val="0099111F"/>
    <w:rsid w:val="009913C6"/>
    <w:rsid w:val="00991827"/>
    <w:rsid w:val="009919AC"/>
    <w:rsid w:val="00992147"/>
    <w:rsid w:val="009923FC"/>
    <w:rsid w:val="00992A7D"/>
    <w:rsid w:val="00992F84"/>
    <w:rsid w:val="00993372"/>
    <w:rsid w:val="009936DD"/>
    <w:rsid w:val="009937C2"/>
    <w:rsid w:val="00993D17"/>
    <w:rsid w:val="00994168"/>
    <w:rsid w:val="009943DE"/>
    <w:rsid w:val="00994D0D"/>
    <w:rsid w:val="00994EDB"/>
    <w:rsid w:val="009957C5"/>
    <w:rsid w:val="0099582F"/>
    <w:rsid w:val="00996248"/>
    <w:rsid w:val="009964B7"/>
    <w:rsid w:val="009A0B6B"/>
    <w:rsid w:val="009A14C2"/>
    <w:rsid w:val="009A1D7A"/>
    <w:rsid w:val="009A1F9B"/>
    <w:rsid w:val="009A23DF"/>
    <w:rsid w:val="009A23ED"/>
    <w:rsid w:val="009A24F4"/>
    <w:rsid w:val="009A257B"/>
    <w:rsid w:val="009A269C"/>
    <w:rsid w:val="009A2EF7"/>
    <w:rsid w:val="009A300B"/>
    <w:rsid w:val="009A34F8"/>
    <w:rsid w:val="009A36D9"/>
    <w:rsid w:val="009A381D"/>
    <w:rsid w:val="009A3BF2"/>
    <w:rsid w:val="009A45AA"/>
    <w:rsid w:val="009A47FE"/>
    <w:rsid w:val="009A4F3E"/>
    <w:rsid w:val="009A5277"/>
    <w:rsid w:val="009A57AA"/>
    <w:rsid w:val="009A5F54"/>
    <w:rsid w:val="009A6948"/>
    <w:rsid w:val="009A7336"/>
    <w:rsid w:val="009A73FA"/>
    <w:rsid w:val="009A786B"/>
    <w:rsid w:val="009A790D"/>
    <w:rsid w:val="009A7BD2"/>
    <w:rsid w:val="009A7EC2"/>
    <w:rsid w:val="009A7ED2"/>
    <w:rsid w:val="009ADB43"/>
    <w:rsid w:val="009B0847"/>
    <w:rsid w:val="009B0ADC"/>
    <w:rsid w:val="009B147B"/>
    <w:rsid w:val="009B1CD3"/>
    <w:rsid w:val="009B2532"/>
    <w:rsid w:val="009B280E"/>
    <w:rsid w:val="009B2F16"/>
    <w:rsid w:val="009B3178"/>
    <w:rsid w:val="009B38A5"/>
    <w:rsid w:val="009B38B7"/>
    <w:rsid w:val="009B3DD3"/>
    <w:rsid w:val="009B473B"/>
    <w:rsid w:val="009B47FF"/>
    <w:rsid w:val="009B4BE8"/>
    <w:rsid w:val="009B4EE3"/>
    <w:rsid w:val="009B5894"/>
    <w:rsid w:val="009B5C2D"/>
    <w:rsid w:val="009B6206"/>
    <w:rsid w:val="009B6402"/>
    <w:rsid w:val="009B64C6"/>
    <w:rsid w:val="009B6AB7"/>
    <w:rsid w:val="009B70DD"/>
    <w:rsid w:val="009B7122"/>
    <w:rsid w:val="009B769A"/>
    <w:rsid w:val="009B7A04"/>
    <w:rsid w:val="009B7F02"/>
    <w:rsid w:val="009C0975"/>
    <w:rsid w:val="009C0FF9"/>
    <w:rsid w:val="009C13BE"/>
    <w:rsid w:val="009C13E8"/>
    <w:rsid w:val="009C1D77"/>
    <w:rsid w:val="009C1F0F"/>
    <w:rsid w:val="009C223F"/>
    <w:rsid w:val="009C2530"/>
    <w:rsid w:val="009C26B9"/>
    <w:rsid w:val="009C2873"/>
    <w:rsid w:val="009C28B1"/>
    <w:rsid w:val="009C2A48"/>
    <w:rsid w:val="009C2B83"/>
    <w:rsid w:val="009C389B"/>
    <w:rsid w:val="009C4DBC"/>
    <w:rsid w:val="009C510E"/>
    <w:rsid w:val="009C5E09"/>
    <w:rsid w:val="009C5E2F"/>
    <w:rsid w:val="009C6418"/>
    <w:rsid w:val="009C7033"/>
    <w:rsid w:val="009C7485"/>
    <w:rsid w:val="009C74B8"/>
    <w:rsid w:val="009C7516"/>
    <w:rsid w:val="009C7AAA"/>
    <w:rsid w:val="009C7EC2"/>
    <w:rsid w:val="009C7FB5"/>
    <w:rsid w:val="009D0012"/>
    <w:rsid w:val="009D09B7"/>
    <w:rsid w:val="009D1380"/>
    <w:rsid w:val="009D1583"/>
    <w:rsid w:val="009D1865"/>
    <w:rsid w:val="009D1943"/>
    <w:rsid w:val="009D2104"/>
    <w:rsid w:val="009D2A93"/>
    <w:rsid w:val="009D2CED"/>
    <w:rsid w:val="009D2E35"/>
    <w:rsid w:val="009D3277"/>
    <w:rsid w:val="009D4857"/>
    <w:rsid w:val="009D4CF3"/>
    <w:rsid w:val="009D4F60"/>
    <w:rsid w:val="009D5610"/>
    <w:rsid w:val="009D569E"/>
    <w:rsid w:val="009D6B46"/>
    <w:rsid w:val="009D7A12"/>
    <w:rsid w:val="009D7EA8"/>
    <w:rsid w:val="009E0040"/>
    <w:rsid w:val="009E09CD"/>
    <w:rsid w:val="009E09CE"/>
    <w:rsid w:val="009E1521"/>
    <w:rsid w:val="009E18D1"/>
    <w:rsid w:val="009E1A7E"/>
    <w:rsid w:val="009E1C88"/>
    <w:rsid w:val="009E1DCE"/>
    <w:rsid w:val="009E1EBB"/>
    <w:rsid w:val="009E1F1C"/>
    <w:rsid w:val="009E2384"/>
    <w:rsid w:val="009E2985"/>
    <w:rsid w:val="009E31E8"/>
    <w:rsid w:val="009E3841"/>
    <w:rsid w:val="009E38EF"/>
    <w:rsid w:val="009E4ADE"/>
    <w:rsid w:val="009E4E79"/>
    <w:rsid w:val="009E5393"/>
    <w:rsid w:val="009E53B3"/>
    <w:rsid w:val="009E53FE"/>
    <w:rsid w:val="009E55E6"/>
    <w:rsid w:val="009E58D8"/>
    <w:rsid w:val="009E6408"/>
    <w:rsid w:val="009E6CC0"/>
    <w:rsid w:val="009E6DF9"/>
    <w:rsid w:val="009E7749"/>
    <w:rsid w:val="009E7B14"/>
    <w:rsid w:val="009F05BE"/>
    <w:rsid w:val="009F073E"/>
    <w:rsid w:val="009F11A0"/>
    <w:rsid w:val="009F1279"/>
    <w:rsid w:val="009F1B25"/>
    <w:rsid w:val="009F1E51"/>
    <w:rsid w:val="009F263C"/>
    <w:rsid w:val="009F2CDC"/>
    <w:rsid w:val="009F377C"/>
    <w:rsid w:val="009F3881"/>
    <w:rsid w:val="009F3C86"/>
    <w:rsid w:val="009F4946"/>
    <w:rsid w:val="009F4C38"/>
    <w:rsid w:val="009F4DE6"/>
    <w:rsid w:val="009F513B"/>
    <w:rsid w:val="009F541A"/>
    <w:rsid w:val="009F5CB9"/>
    <w:rsid w:val="009F5DED"/>
    <w:rsid w:val="009F6374"/>
    <w:rsid w:val="009F6834"/>
    <w:rsid w:val="009F6AF4"/>
    <w:rsid w:val="009F6FA4"/>
    <w:rsid w:val="009F7378"/>
    <w:rsid w:val="009F74A7"/>
    <w:rsid w:val="009F75ED"/>
    <w:rsid w:val="009F7673"/>
    <w:rsid w:val="009F7A7A"/>
    <w:rsid w:val="009F7B5E"/>
    <w:rsid w:val="009F7B89"/>
    <w:rsid w:val="009F7CAA"/>
    <w:rsid w:val="009F7DD6"/>
    <w:rsid w:val="00A000BF"/>
    <w:rsid w:val="00A0025A"/>
    <w:rsid w:val="00A00508"/>
    <w:rsid w:val="00A00A65"/>
    <w:rsid w:val="00A00C31"/>
    <w:rsid w:val="00A01201"/>
    <w:rsid w:val="00A0162C"/>
    <w:rsid w:val="00A0170C"/>
    <w:rsid w:val="00A0195C"/>
    <w:rsid w:val="00A02A87"/>
    <w:rsid w:val="00A02BB0"/>
    <w:rsid w:val="00A037CF"/>
    <w:rsid w:val="00A03A5D"/>
    <w:rsid w:val="00A04265"/>
    <w:rsid w:val="00A0528B"/>
    <w:rsid w:val="00A05333"/>
    <w:rsid w:val="00A0537D"/>
    <w:rsid w:val="00A053EA"/>
    <w:rsid w:val="00A0546E"/>
    <w:rsid w:val="00A05B62"/>
    <w:rsid w:val="00A063FB"/>
    <w:rsid w:val="00A0663A"/>
    <w:rsid w:val="00A0667C"/>
    <w:rsid w:val="00A06814"/>
    <w:rsid w:val="00A06B9B"/>
    <w:rsid w:val="00A07028"/>
    <w:rsid w:val="00A0724A"/>
    <w:rsid w:val="00A07295"/>
    <w:rsid w:val="00A07595"/>
    <w:rsid w:val="00A07604"/>
    <w:rsid w:val="00A07689"/>
    <w:rsid w:val="00A10C66"/>
    <w:rsid w:val="00A10D83"/>
    <w:rsid w:val="00A112DF"/>
    <w:rsid w:val="00A114C2"/>
    <w:rsid w:val="00A116A3"/>
    <w:rsid w:val="00A11D04"/>
    <w:rsid w:val="00A12329"/>
    <w:rsid w:val="00A124BE"/>
    <w:rsid w:val="00A1292F"/>
    <w:rsid w:val="00A131A3"/>
    <w:rsid w:val="00A1327B"/>
    <w:rsid w:val="00A13525"/>
    <w:rsid w:val="00A13C6D"/>
    <w:rsid w:val="00A1466F"/>
    <w:rsid w:val="00A14BE6"/>
    <w:rsid w:val="00A14D80"/>
    <w:rsid w:val="00A14D9F"/>
    <w:rsid w:val="00A14EB3"/>
    <w:rsid w:val="00A15B61"/>
    <w:rsid w:val="00A16F86"/>
    <w:rsid w:val="00A1712A"/>
    <w:rsid w:val="00A17477"/>
    <w:rsid w:val="00A179F2"/>
    <w:rsid w:val="00A17B18"/>
    <w:rsid w:val="00A20C27"/>
    <w:rsid w:val="00A20C32"/>
    <w:rsid w:val="00A21043"/>
    <w:rsid w:val="00A2204C"/>
    <w:rsid w:val="00A22793"/>
    <w:rsid w:val="00A228BE"/>
    <w:rsid w:val="00A22A04"/>
    <w:rsid w:val="00A23248"/>
    <w:rsid w:val="00A234C6"/>
    <w:rsid w:val="00A2368F"/>
    <w:rsid w:val="00A23C06"/>
    <w:rsid w:val="00A23D67"/>
    <w:rsid w:val="00A23F35"/>
    <w:rsid w:val="00A2428B"/>
    <w:rsid w:val="00A243A8"/>
    <w:rsid w:val="00A24821"/>
    <w:rsid w:val="00A26070"/>
    <w:rsid w:val="00A268B3"/>
    <w:rsid w:val="00A277CD"/>
    <w:rsid w:val="00A27DB1"/>
    <w:rsid w:val="00A3079E"/>
    <w:rsid w:val="00A30CDE"/>
    <w:rsid w:val="00A30D9B"/>
    <w:rsid w:val="00A30DCC"/>
    <w:rsid w:val="00A31353"/>
    <w:rsid w:val="00A316DE"/>
    <w:rsid w:val="00A31861"/>
    <w:rsid w:val="00A319C1"/>
    <w:rsid w:val="00A3222C"/>
    <w:rsid w:val="00A323EE"/>
    <w:rsid w:val="00A33034"/>
    <w:rsid w:val="00A332C3"/>
    <w:rsid w:val="00A332C4"/>
    <w:rsid w:val="00A33357"/>
    <w:rsid w:val="00A337A4"/>
    <w:rsid w:val="00A3387B"/>
    <w:rsid w:val="00A33BFC"/>
    <w:rsid w:val="00A34199"/>
    <w:rsid w:val="00A349E0"/>
    <w:rsid w:val="00A34BF6"/>
    <w:rsid w:val="00A3557B"/>
    <w:rsid w:val="00A358CB"/>
    <w:rsid w:val="00A35D25"/>
    <w:rsid w:val="00A366AD"/>
    <w:rsid w:val="00A36BBD"/>
    <w:rsid w:val="00A36DA9"/>
    <w:rsid w:val="00A36E42"/>
    <w:rsid w:val="00A37DE4"/>
    <w:rsid w:val="00A37E24"/>
    <w:rsid w:val="00A40140"/>
    <w:rsid w:val="00A403B4"/>
    <w:rsid w:val="00A405AA"/>
    <w:rsid w:val="00A40679"/>
    <w:rsid w:val="00A40EE5"/>
    <w:rsid w:val="00A4152E"/>
    <w:rsid w:val="00A41546"/>
    <w:rsid w:val="00A41A16"/>
    <w:rsid w:val="00A41FE1"/>
    <w:rsid w:val="00A41FE3"/>
    <w:rsid w:val="00A41FE8"/>
    <w:rsid w:val="00A425AA"/>
    <w:rsid w:val="00A425D2"/>
    <w:rsid w:val="00A42A07"/>
    <w:rsid w:val="00A42AE2"/>
    <w:rsid w:val="00A42D15"/>
    <w:rsid w:val="00A43044"/>
    <w:rsid w:val="00A4316F"/>
    <w:rsid w:val="00A43F88"/>
    <w:rsid w:val="00A442E9"/>
    <w:rsid w:val="00A4464D"/>
    <w:rsid w:val="00A44D5B"/>
    <w:rsid w:val="00A44EBB"/>
    <w:rsid w:val="00A44FB7"/>
    <w:rsid w:val="00A44FC7"/>
    <w:rsid w:val="00A450D0"/>
    <w:rsid w:val="00A4516F"/>
    <w:rsid w:val="00A45889"/>
    <w:rsid w:val="00A45F4F"/>
    <w:rsid w:val="00A45FC9"/>
    <w:rsid w:val="00A466EC"/>
    <w:rsid w:val="00A46813"/>
    <w:rsid w:val="00A46851"/>
    <w:rsid w:val="00A46C8A"/>
    <w:rsid w:val="00A46E63"/>
    <w:rsid w:val="00A46E66"/>
    <w:rsid w:val="00A474B5"/>
    <w:rsid w:val="00A478C0"/>
    <w:rsid w:val="00A47999"/>
    <w:rsid w:val="00A5001A"/>
    <w:rsid w:val="00A50577"/>
    <w:rsid w:val="00A50E5A"/>
    <w:rsid w:val="00A50FAC"/>
    <w:rsid w:val="00A51260"/>
    <w:rsid w:val="00A514DE"/>
    <w:rsid w:val="00A519B2"/>
    <w:rsid w:val="00A51C44"/>
    <w:rsid w:val="00A51EB8"/>
    <w:rsid w:val="00A520D0"/>
    <w:rsid w:val="00A52AE3"/>
    <w:rsid w:val="00A53BB9"/>
    <w:rsid w:val="00A53C6C"/>
    <w:rsid w:val="00A53D14"/>
    <w:rsid w:val="00A53D47"/>
    <w:rsid w:val="00A53E5A"/>
    <w:rsid w:val="00A53E74"/>
    <w:rsid w:val="00A54129"/>
    <w:rsid w:val="00A54DD4"/>
    <w:rsid w:val="00A552BF"/>
    <w:rsid w:val="00A552CF"/>
    <w:rsid w:val="00A56087"/>
    <w:rsid w:val="00A56266"/>
    <w:rsid w:val="00A562E5"/>
    <w:rsid w:val="00A5658C"/>
    <w:rsid w:val="00A565EC"/>
    <w:rsid w:val="00A56D68"/>
    <w:rsid w:val="00A56F34"/>
    <w:rsid w:val="00A570CB"/>
    <w:rsid w:val="00A57828"/>
    <w:rsid w:val="00A57A81"/>
    <w:rsid w:val="00A6028E"/>
    <w:rsid w:val="00A60637"/>
    <w:rsid w:val="00A60C54"/>
    <w:rsid w:val="00A60F51"/>
    <w:rsid w:val="00A61474"/>
    <w:rsid w:val="00A61A7C"/>
    <w:rsid w:val="00A61FF7"/>
    <w:rsid w:val="00A62031"/>
    <w:rsid w:val="00A6263D"/>
    <w:rsid w:val="00A64953"/>
    <w:rsid w:val="00A651FB"/>
    <w:rsid w:val="00A65357"/>
    <w:rsid w:val="00A65380"/>
    <w:rsid w:val="00A65895"/>
    <w:rsid w:val="00A65BC9"/>
    <w:rsid w:val="00A65F91"/>
    <w:rsid w:val="00A6629C"/>
    <w:rsid w:val="00A66766"/>
    <w:rsid w:val="00A667C7"/>
    <w:rsid w:val="00A6761E"/>
    <w:rsid w:val="00A67F96"/>
    <w:rsid w:val="00A702B3"/>
    <w:rsid w:val="00A709BE"/>
    <w:rsid w:val="00A71637"/>
    <w:rsid w:val="00A7186E"/>
    <w:rsid w:val="00A71B5B"/>
    <w:rsid w:val="00A71BAD"/>
    <w:rsid w:val="00A72142"/>
    <w:rsid w:val="00A721DD"/>
    <w:rsid w:val="00A72B18"/>
    <w:rsid w:val="00A738C3"/>
    <w:rsid w:val="00A74677"/>
    <w:rsid w:val="00A74959"/>
    <w:rsid w:val="00A74E90"/>
    <w:rsid w:val="00A753FF"/>
    <w:rsid w:val="00A75A9E"/>
    <w:rsid w:val="00A7600A"/>
    <w:rsid w:val="00A76C5D"/>
    <w:rsid w:val="00A7745D"/>
    <w:rsid w:val="00A775A5"/>
    <w:rsid w:val="00A7760C"/>
    <w:rsid w:val="00A77677"/>
    <w:rsid w:val="00A777B1"/>
    <w:rsid w:val="00A777BD"/>
    <w:rsid w:val="00A77A94"/>
    <w:rsid w:val="00A80520"/>
    <w:rsid w:val="00A80656"/>
    <w:rsid w:val="00A8098B"/>
    <w:rsid w:val="00A811C2"/>
    <w:rsid w:val="00A8145E"/>
    <w:rsid w:val="00A819A7"/>
    <w:rsid w:val="00A81CA9"/>
    <w:rsid w:val="00A82559"/>
    <w:rsid w:val="00A83113"/>
    <w:rsid w:val="00A832AC"/>
    <w:rsid w:val="00A838CA"/>
    <w:rsid w:val="00A83A6E"/>
    <w:rsid w:val="00A83B85"/>
    <w:rsid w:val="00A83FA2"/>
    <w:rsid w:val="00A840C8"/>
    <w:rsid w:val="00A849FE"/>
    <w:rsid w:val="00A84BD0"/>
    <w:rsid w:val="00A84FBB"/>
    <w:rsid w:val="00A85097"/>
    <w:rsid w:val="00A8644A"/>
    <w:rsid w:val="00A868FE"/>
    <w:rsid w:val="00A86DE4"/>
    <w:rsid w:val="00A87745"/>
    <w:rsid w:val="00A901FE"/>
    <w:rsid w:val="00A908EF"/>
    <w:rsid w:val="00A90DE1"/>
    <w:rsid w:val="00A90F10"/>
    <w:rsid w:val="00A918BC"/>
    <w:rsid w:val="00A9202F"/>
    <w:rsid w:val="00A921B5"/>
    <w:rsid w:val="00A924BE"/>
    <w:rsid w:val="00A92552"/>
    <w:rsid w:val="00A92E45"/>
    <w:rsid w:val="00A92E89"/>
    <w:rsid w:val="00A93582"/>
    <w:rsid w:val="00A93CD8"/>
    <w:rsid w:val="00A9466F"/>
    <w:rsid w:val="00A94707"/>
    <w:rsid w:val="00A948C4"/>
    <w:rsid w:val="00A94919"/>
    <w:rsid w:val="00A95517"/>
    <w:rsid w:val="00A955F6"/>
    <w:rsid w:val="00A95893"/>
    <w:rsid w:val="00A95B88"/>
    <w:rsid w:val="00A95F35"/>
    <w:rsid w:val="00A96431"/>
    <w:rsid w:val="00A96D01"/>
    <w:rsid w:val="00A96F21"/>
    <w:rsid w:val="00A9783B"/>
    <w:rsid w:val="00A97E60"/>
    <w:rsid w:val="00AA063B"/>
    <w:rsid w:val="00AA06DB"/>
    <w:rsid w:val="00AA07E7"/>
    <w:rsid w:val="00AA0BB0"/>
    <w:rsid w:val="00AA0E24"/>
    <w:rsid w:val="00AA104B"/>
    <w:rsid w:val="00AA1059"/>
    <w:rsid w:val="00AA14CA"/>
    <w:rsid w:val="00AA1E84"/>
    <w:rsid w:val="00AA22A9"/>
    <w:rsid w:val="00AA2D0C"/>
    <w:rsid w:val="00AA2DF4"/>
    <w:rsid w:val="00AA2E22"/>
    <w:rsid w:val="00AA2F7A"/>
    <w:rsid w:val="00AA2F98"/>
    <w:rsid w:val="00AA31D2"/>
    <w:rsid w:val="00AA389B"/>
    <w:rsid w:val="00AA427B"/>
    <w:rsid w:val="00AA43A7"/>
    <w:rsid w:val="00AA466B"/>
    <w:rsid w:val="00AA486E"/>
    <w:rsid w:val="00AA498E"/>
    <w:rsid w:val="00AA4C93"/>
    <w:rsid w:val="00AA517D"/>
    <w:rsid w:val="00AA5231"/>
    <w:rsid w:val="00AA524C"/>
    <w:rsid w:val="00AA5479"/>
    <w:rsid w:val="00AA5971"/>
    <w:rsid w:val="00AA5B17"/>
    <w:rsid w:val="00AA6308"/>
    <w:rsid w:val="00AA6A7B"/>
    <w:rsid w:val="00AA6E9F"/>
    <w:rsid w:val="00AA6F98"/>
    <w:rsid w:val="00AA70BF"/>
    <w:rsid w:val="00AA7B25"/>
    <w:rsid w:val="00AA7BFE"/>
    <w:rsid w:val="00AA7E29"/>
    <w:rsid w:val="00AA7F76"/>
    <w:rsid w:val="00AB0293"/>
    <w:rsid w:val="00AB078A"/>
    <w:rsid w:val="00AB09A2"/>
    <w:rsid w:val="00AB0B03"/>
    <w:rsid w:val="00AB0FBA"/>
    <w:rsid w:val="00AB12BF"/>
    <w:rsid w:val="00AB14E4"/>
    <w:rsid w:val="00AB1733"/>
    <w:rsid w:val="00AB17BF"/>
    <w:rsid w:val="00AB1F79"/>
    <w:rsid w:val="00AB20CB"/>
    <w:rsid w:val="00AB2BE7"/>
    <w:rsid w:val="00AB2F06"/>
    <w:rsid w:val="00AB30DF"/>
    <w:rsid w:val="00AB3AB0"/>
    <w:rsid w:val="00AB3F07"/>
    <w:rsid w:val="00AB44E3"/>
    <w:rsid w:val="00AB4888"/>
    <w:rsid w:val="00AB5294"/>
    <w:rsid w:val="00AB54E8"/>
    <w:rsid w:val="00AB5BCA"/>
    <w:rsid w:val="00AB5E59"/>
    <w:rsid w:val="00AB61CA"/>
    <w:rsid w:val="00AB68DA"/>
    <w:rsid w:val="00AB6B17"/>
    <w:rsid w:val="00AB6DBC"/>
    <w:rsid w:val="00AB763A"/>
    <w:rsid w:val="00AB798C"/>
    <w:rsid w:val="00AC020F"/>
    <w:rsid w:val="00AC0557"/>
    <w:rsid w:val="00AC0B9C"/>
    <w:rsid w:val="00AC13E9"/>
    <w:rsid w:val="00AC1AFA"/>
    <w:rsid w:val="00AC1BC7"/>
    <w:rsid w:val="00AC1FBB"/>
    <w:rsid w:val="00AC1FF7"/>
    <w:rsid w:val="00AC2363"/>
    <w:rsid w:val="00AC2686"/>
    <w:rsid w:val="00AC26BD"/>
    <w:rsid w:val="00AC28CC"/>
    <w:rsid w:val="00AC29F0"/>
    <w:rsid w:val="00AC2B86"/>
    <w:rsid w:val="00AC2F14"/>
    <w:rsid w:val="00AC37D5"/>
    <w:rsid w:val="00AC389D"/>
    <w:rsid w:val="00AC3B58"/>
    <w:rsid w:val="00AC46E5"/>
    <w:rsid w:val="00AC48A5"/>
    <w:rsid w:val="00AC5CE7"/>
    <w:rsid w:val="00AC5D02"/>
    <w:rsid w:val="00AC6280"/>
    <w:rsid w:val="00AC6A3B"/>
    <w:rsid w:val="00AC70CE"/>
    <w:rsid w:val="00AD0213"/>
    <w:rsid w:val="00AD0241"/>
    <w:rsid w:val="00AD09F9"/>
    <w:rsid w:val="00AD0E2D"/>
    <w:rsid w:val="00AD0F1E"/>
    <w:rsid w:val="00AD0F62"/>
    <w:rsid w:val="00AD1586"/>
    <w:rsid w:val="00AD19A2"/>
    <w:rsid w:val="00AD1BE7"/>
    <w:rsid w:val="00AD1F0B"/>
    <w:rsid w:val="00AD234D"/>
    <w:rsid w:val="00AD2364"/>
    <w:rsid w:val="00AD2785"/>
    <w:rsid w:val="00AD2C6E"/>
    <w:rsid w:val="00AD33D9"/>
    <w:rsid w:val="00AD36CA"/>
    <w:rsid w:val="00AD3AA8"/>
    <w:rsid w:val="00AD3E29"/>
    <w:rsid w:val="00AD4077"/>
    <w:rsid w:val="00AD46A3"/>
    <w:rsid w:val="00AD481A"/>
    <w:rsid w:val="00AD48B4"/>
    <w:rsid w:val="00AD4D32"/>
    <w:rsid w:val="00AD5571"/>
    <w:rsid w:val="00AD56FD"/>
    <w:rsid w:val="00AD59BA"/>
    <w:rsid w:val="00AD5F5B"/>
    <w:rsid w:val="00AD6844"/>
    <w:rsid w:val="00AD6B41"/>
    <w:rsid w:val="00AD6D2E"/>
    <w:rsid w:val="00AD6D9F"/>
    <w:rsid w:val="00AD731B"/>
    <w:rsid w:val="00AD736A"/>
    <w:rsid w:val="00AD780E"/>
    <w:rsid w:val="00AD7C08"/>
    <w:rsid w:val="00AD7FA0"/>
    <w:rsid w:val="00AE00FF"/>
    <w:rsid w:val="00AE0FB2"/>
    <w:rsid w:val="00AE15EF"/>
    <w:rsid w:val="00AE18C6"/>
    <w:rsid w:val="00AE1C36"/>
    <w:rsid w:val="00AE1E9C"/>
    <w:rsid w:val="00AE21DD"/>
    <w:rsid w:val="00AE2590"/>
    <w:rsid w:val="00AE2B95"/>
    <w:rsid w:val="00AE2E46"/>
    <w:rsid w:val="00AE33F5"/>
    <w:rsid w:val="00AE378A"/>
    <w:rsid w:val="00AE3972"/>
    <w:rsid w:val="00AE4237"/>
    <w:rsid w:val="00AE4805"/>
    <w:rsid w:val="00AE5950"/>
    <w:rsid w:val="00AE5B49"/>
    <w:rsid w:val="00AE602E"/>
    <w:rsid w:val="00AE60E4"/>
    <w:rsid w:val="00AE6598"/>
    <w:rsid w:val="00AE69E0"/>
    <w:rsid w:val="00AE7B05"/>
    <w:rsid w:val="00AF071A"/>
    <w:rsid w:val="00AF0B9C"/>
    <w:rsid w:val="00AF0D3C"/>
    <w:rsid w:val="00AF0E26"/>
    <w:rsid w:val="00AF159C"/>
    <w:rsid w:val="00AF1A53"/>
    <w:rsid w:val="00AF27DA"/>
    <w:rsid w:val="00AF288E"/>
    <w:rsid w:val="00AF2BC8"/>
    <w:rsid w:val="00AF2D91"/>
    <w:rsid w:val="00AF306F"/>
    <w:rsid w:val="00AF34DD"/>
    <w:rsid w:val="00AF3992"/>
    <w:rsid w:val="00AF4161"/>
    <w:rsid w:val="00AF45F4"/>
    <w:rsid w:val="00AF4720"/>
    <w:rsid w:val="00AF4A35"/>
    <w:rsid w:val="00AF4A3A"/>
    <w:rsid w:val="00AF4B27"/>
    <w:rsid w:val="00AF4FB9"/>
    <w:rsid w:val="00AF51BF"/>
    <w:rsid w:val="00AF576C"/>
    <w:rsid w:val="00AF5EA9"/>
    <w:rsid w:val="00AF5F81"/>
    <w:rsid w:val="00AF6572"/>
    <w:rsid w:val="00AF6E80"/>
    <w:rsid w:val="00AF7165"/>
    <w:rsid w:val="00AF74C9"/>
    <w:rsid w:val="00AF7C4D"/>
    <w:rsid w:val="00AF7FC7"/>
    <w:rsid w:val="00AF7FE7"/>
    <w:rsid w:val="00B009A8"/>
    <w:rsid w:val="00B009B0"/>
    <w:rsid w:val="00B00A92"/>
    <w:rsid w:val="00B00C6E"/>
    <w:rsid w:val="00B00F62"/>
    <w:rsid w:val="00B016B7"/>
    <w:rsid w:val="00B01A86"/>
    <w:rsid w:val="00B01ABB"/>
    <w:rsid w:val="00B02DA9"/>
    <w:rsid w:val="00B0419E"/>
    <w:rsid w:val="00B04726"/>
    <w:rsid w:val="00B047CD"/>
    <w:rsid w:val="00B0486E"/>
    <w:rsid w:val="00B04AC8"/>
    <w:rsid w:val="00B04F88"/>
    <w:rsid w:val="00B0521E"/>
    <w:rsid w:val="00B05EBE"/>
    <w:rsid w:val="00B0611C"/>
    <w:rsid w:val="00B06504"/>
    <w:rsid w:val="00B06901"/>
    <w:rsid w:val="00B06B3A"/>
    <w:rsid w:val="00B06EEC"/>
    <w:rsid w:val="00B070D0"/>
    <w:rsid w:val="00B07965"/>
    <w:rsid w:val="00B07A21"/>
    <w:rsid w:val="00B101AB"/>
    <w:rsid w:val="00B109B7"/>
    <w:rsid w:val="00B10A7E"/>
    <w:rsid w:val="00B10D83"/>
    <w:rsid w:val="00B10E97"/>
    <w:rsid w:val="00B10EFA"/>
    <w:rsid w:val="00B11668"/>
    <w:rsid w:val="00B11CA0"/>
    <w:rsid w:val="00B12AB5"/>
    <w:rsid w:val="00B12B66"/>
    <w:rsid w:val="00B13335"/>
    <w:rsid w:val="00B136FF"/>
    <w:rsid w:val="00B13CF5"/>
    <w:rsid w:val="00B14E58"/>
    <w:rsid w:val="00B15527"/>
    <w:rsid w:val="00B155EC"/>
    <w:rsid w:val="00B15704"/>
    <w:rsid w:val="00B159DD"/>
    <w:rsid w:val="00B16206"/>
    <w:rsid w:val="00B16477"/>
    <w:rsid w:val="00B1748D"/>
    <w:rsid w:val="00B17752"/>
    <w:rsid w:val="00B17EAE"/>
    <w:rsid w:val="00B204D6"/>
    <w:rsid w:val="00B207FE"/>
    <w:rsid w:val="00B20FDF"/>
    <w:rsid w:val="00B21493"/>
    <w:rsid w:val="00B22B0B"/>
    <w:rsid w:val="00B2323D"/>
    <w:rsid w:val="00B2396E"/>
    <w:rsid w:val="00B23AA9"/>
    <w:rsid w:val="00B23EC2"/>
    <w:rsid w:val="00B23F21"/>
    <w:rsid w:val="00B2424C"/>
    <w:rsid w:val="00B24786"/>
    <w:rsid w:val="00B253D7"/>
    <w:rsid w:val="00B254C3"/>
    <w:rsid w:val="00B25AA1"/>
    <w:rsid w:val="00B25AF9"/>
    <w:rsid w:val="00B26A64"/>
    <w:rsid w:val="00B26F28"/>
    <w:rsid w:val="00B27202"/>
    <w:rsid w:val="00B2723C"/>
    <w:rsid w:val="00B273FC"/>
    <w:rsid w:val="00B27C88"/>
    <w:rsid w:val="00B27C91"/>
    <w:rsid w:val="00B27E7E"/>
    <w:rsid w:val="00B30736"/>
    <w:rsid w:val="00B30755"/>
    <w:rsid w:val="00B30B26"/>
    <w:rsid w:val="00B30FC4"/>
    <w:rsid w:val="00B31476"/>
    <w:rsid w:val="00B31733"/>
    <w:rsid w:val="00B3282A"/>
    <w:rsid w:val="00B328A5"/>
    <w:rsid w:val="00B32A79"/>
    <w:rsid w:val="00B335C3"/>
    <w:rsid w:val="00B34A40"/>
    <w:rsid w:val="00B34D51"/>
    <w:rsid w:val="00B352BB"/>
    <w:rsid w:val="00B352E6"/>
    <w:rsid w:val="00B35439"/>
    <w:rsid w:val="00B3554F"/>
    <w:rsid w:val="00B3571E"/>
    <w:rsid w:val="00B35B7E"/>
    <w:rsid w:val="00B35BD1"/>
    <w:rsid w:val="00B367C3"/>
    <w:rsid w:val="00B371D8"/>
    <w:rsid w:val="00B374CE"/>
    <w:rsid w:val="00B40603"/>
    <w:rsid w:val="00B41665"/>
    <w:rsid w:val="00B41FCE"/>
    <w:rsid w:val="00B42169"/>
    <w:rsid w:val="00B4272F"/>
    <w:rsid w:val="00B42E3E"/>
    <w:rsid w:val="00B435CD"/>
    <w:rsid w:val="00B43C57"/>
    <w:rsid w:val="00B446C6"/>
    <w:rsid w:val="00B44A73"/>
    <w:rsid w:val="00B44DC3"/>
    <w:rsid w:val="00B44DCB"/>
    <w:rsid w:val="00B450B3"/>
    <w:rsid w:val="00B45C90"/>
    <w:rsid w:val="00B4667D"/>
    <w:rsid w:val="00B46F7A"/>
    <w:rsid w:val="00B471AD"/>
    <w:rsid w:val="00B47467"/>
    <w:rsid w:val="00B47B3C"/>
    <w:rsid w:val="00B50453"/>
    <w:rsid w:val="00B507E1"/>
    <w:rsid w:val="00B50A90"/>
    <w:rsid w:val="00B50DB4"/>
    <w:rsid w:val="00B510B5"/>
    <w:rsid w:val="00B51882"/>
    <w:rsid w:val="00B5188A"/>
    <w:rsid w:val="00B51C09"/>
    <w:rsid w:val="00B52DA8"/>
    <w:rsid w:val="00B535EF"/>
    <w:rsid w:val="00B53A3B"/>
    <w:rsid w:val="00B53A65"/>
    <w:rsid w:val="00B5410D"/>
    <w:rsid w:val="00B548D8"/>
    <w:rsid w:val="00B54A06"/>
    <w:rsid w:val="00B55AB5"/>
    <w:rsid w:val="00B56172"/>
    <w:rsid w:val="00B56217"/>
    <w:rsid w:val="00B562FB"/>
    <w:rsid w:val="00B569B5"/>
    <w:rsid w:val="00B569F5"/>
    <w:rsid w:val="00B56A06"/>
    <w:rsid w:val="00B57052"/>
    <w:rsid w:val="00B575BB"/>
    <w:rsid w:val="00B577A1"/>
    <w:rsid w:val="00B577EF"/>
    <w:rsid w:val="00B57C34"/>
    <w:rsid w:val="00B608A2"/>
    <w:rsid w:val="00B60F8C"/>
    <w:rsid w:val="00B61205"/>
    <w:rsid w:val="00B61434"/>
    <w:rsid w:val="00B61638"/>
    <w:rsid w:val="00B6178E"/>
    <w:rsid w:val="00B617A3"/>
    <w:rsid w:val="00B61A42"/>
    <w:rsid w:val="00B61FE6"/>
    <w:rsid w:val="00B6241E"/>
    <w:rsid w:val="00B626A6"/>
    <w:rsid w:val="00B62F7D"/>
    <w:rsid w:val="00B6496A"/>
    <w:rsid w:val="00B6516A"/>
    <w:rsid w:val="00B65D60"/>
    <w:rsid w:val="00B6637A"/>
    <w:rsid w:val="00B664AE"/>
    <w:rsid w:val="00B666A4"/>
    <w:rsid w:val="00B66FC9"/>
    <w:rsid w:val="00B673B1"/>
    <w:rsid w:val="00B676D6"/>
    <w:rsid w:val="00B67A57"/>
    <w:rsid w:val="00B67BD6"/>
    <w:rsid w:val="00B705A2"/>
    <w:rsid w:val="00B70C1E"/>
    <w:rsid w:val="00B70ED2"/>
    <w:rsid w:val="00B71484"/>
    <w:rsid w:val="00B714BA"/>
    <w:rsid w:val="00B71AFF"/>
    <w:rsid w:val="00B71B00"/>
    <w:rsid w:val="00B72240"/>
    <w:rsid w:val="00B72BD6"/>
    <w:rsid w:val="00B72CFD"/>
    <w:rsid w:val="00B72FFD"/>
    <w:rsid w:val="00B7334E"/>
    <w:rsid w:val="00B73459"/>
    <w:rsid w:val="00B7401E"/>
    <w:rsid w:val="00B746D1"/>
    <w:rsid w:val="00B74C53"/>
    <w:rsid w:val="00B75051"/>
    <w:rsid w:val="00B75E59"/>
    <w:rsid w:val="00B76BC5"/>
    <w:rsid w:val="00B76CDC"/>
    <w:rsid w:val="00B77196"/>
    <w:rsid w:val="00B77563"/>
    <w:rsid w:val="00B775B3"/>
    <w:rsid w:val="00B8030B"/>
    <w:rsid w:val="00B80740"/>
    <w:rsid w:val="00B80AD8"/>
    <w:rsid w:val="00B80BA4"/>
    <w:rsid w:val="00B81091"/>
    <w:rsid w:val="00B8111B"/>
    <w:rsid w:val="00B8114A"/>
    <w:rsid w:val="00B812E4"/>
    <w:rsid w:val="00B8145B"/>
    <w:rsid w:val="00B81836"/>
    <w:rsid w:val="00B81C03"/>
    <w:rsid w:val="00B81D67"/>
    <w:rsid w:val="00B81DFD"/>
    <w:rsid w:val="00B81E8C"/>
    <w:rsid w:val="00B82135"/>
    <w:rsid w:val="00B82669"/>
    <w:rsid w:val="00B8279C"/>
    <w:rsid w:val="00B82B07"/>
    <w:rsid w:val="00B82DCC"/>
    <w:rsid w:val="00B83B93"/>
    <w:rsid w:val="00B84F0D"/>
    <w:rsid w:val="00B86735"/>
    <w:rsid w:val="00B8679A"/>
    <w:rsid w:val="00B86B98"/>
    <w:rsid w:val="00B872D6"/>
    <w:rsid w:val="00B875B8"/>
    <w:rsid w:val="00B87E07"/>
    <w:rsid w:val="00B90F0D"/>
    <w:rsid w:val="00B911C9"/>
    <w:rsid w:val="00B91C34"/>
    <w:rsid w:val="00B91D25"/>
    <w:rsid w:val="00B91F7E"/>
    <w:rsid w:val="00B91FD8"/>
    <w:rsid w:val="00B9275C"/>
    <w:rsid w:val="00B927F9"/>
    <w:rsid w:val="00B928B9"/>
    <w:rsid w:val="00B92DDF"/>
    <w:rsid w:val="00B930DE"/>
    <w:rsid w:val="00B933B8"/>
    <w:rsid w:val="00B937B2"/>
    <w:rsid w:val="00B93A31"/>
    <w:rsid w:val="00B94522"/>
    <w:rsid w:val="00B94D32"/>
    <w:rsid w:val="00B94E92"/>
    <w:rsid w:val="00B95122"/>
    <w:rsid w:val="00B95261"/>
    <w:rsid w:val="00B95594"/>
    <w:rsid w:val="00B966E7"/>
    <w:rsid w:val="00B96899"/>
    <w:rsid w:val="00B96A1B"/>
    <w:rsid w:val="00B96E32"/>
    <w:rsid w:val="00B96F12"/>
    <w:rsid w:val="00B976E2"/>
    <w:rsid w:val="00B97803"/>
    <w:rsid w:val="00BA063A"/>
    <w:rsid w:val="00BA0A62"/>
    <w:rsid w:val="00BA1334"/>
    <w:rsid w:val="00BA16ED"/>
    <w:rsid w:val="00BA1810"/>
    <w:rsid w:val="00BA20FA"/>
    <w:rsid w:val="00BA3491"/>
    <w:rsid w:val="00BA3956"/>
    <w:rsid w:val="00BA4233"/>
    <w:rsid w:val="00BA4426"/>
    <w:rsid w:val="00BA4B40"/>
    <w:rsid w:val="00BA4D1F"/>
    <w:rsid w:val="00BA5400"/>
    <w:rsid w:val="00BA5639"/>
    <w:rsid w:val="00BA5695"/>
    <w:rsid w:val="00BA57F5"/>
    <w:rsid w:val="00BA5B88"/>
    <w:rsid w:val="00BA5C27"/>
    <w:rsid w:val="00BA5EE5"/>
    <w:rsid w:val="00BA70F0"/>
    <w:rsid w:val="00BA72C0"/>
    <w:rsid w:val="00BA7315"/>
    <w:rsid w:val="00BA74E2"/>
    <w:rsid w:val="00BA7A28"/>
    <w:rsid w:val="00BA7E25"/>
    <w:rsid w:val="00BA7E7D"/>
    <w:rsid w:val="00BB0342"/>
    <w:rsid w:val="00BB092D"/>
    <w:rsid w:val="00BB0AC1"/>
    <w:rsid w:val="00BB1A9F"/>
    <w:rsid w:val="00BB1C2F"/>
    <w:rsid w:val="00BB1CA2"/>
    <w:rsid w:val="00BB1CF4"/>
    <w:rsid w:val="00BB1E37"/>
    <w:rsid w:val="00BB20BF"/>
    <w:rsid w:val="00BB21BD"/>
    <w:rsid w:val="00BB2537"/>
    <w:rsid w:val="00BB2DA9"/>
    <w:rsid w:val="00BB311E"/>
    <w:rsid w:val="00BB335E"/>
    <w:rsid w:val="00BB38DA"/>
    <w:rsid w:val="00BB3D34"/>
    <w:rsid w:val="00BB42FF"/>
    <w:rsid w:val="00BB44ED"/>
    <w:rsid w:val="00BB47AF"/>
    <w:rsid w:val="00BB4863"/>
    <w:rsid w:val="00BB4EA0"/>
    <w:rsid w:val="00BB536F"/>
    <w:rsid w:val="00BB5465"/>
    <w:rsid w:val="00BB548C"/>
    <w:rsid w:val="00BB5934"/>
    <w:rsid w:val="00BB5B4B"/>
    <w:rsid w:val="00BB5BDC"/>
    <w:rsid w:val="00BB61C7"/>
    <w:rsid w:val="00BB6992"/>
    <w:rsid w:val="00BB6A61"/>
    <w:rsid w:val="00BB6BFA"/>
    <w:rsid w:val="00BB6EE6"/>
    <w:rsid w:val="00BB792D"/>
    <w:rsid w:val="00BB79CB"/>
    <w:rsid w:val="00BB7A08"/>
    <w:rsid w:val="00BB7F98"/>
    <w:rsid w:val="00BC01BA"/>
    <w:rsid w:val="00BC01D7"/>
    <w:rsid w:val="00BC0291"/>
    <w:rsid w:val="00BC0809"/>
    <w:rsid w:val="00BC09C3"/>
    <w:rsid w:val="00BC09F5"/>
    <w:rsid w:val="00BC0AEA"/>
    <w:rsid w:val="00BC0DB6"/>
    <w:rsid w:val="00BC11CC"/>
    <w:rsid w:val="00BC132A"/>
    <w:rsid w:val="00BC155B"/>
    <w:rsid w:val="00BC1774"/>
    <w:rsid w:val="00BC1AE3"/>
    <w:rsid w:val="00BC1B4D"/>
    <w:rsid w:val="00BC1EFE"/>
    <w:rsid w:val="00BC2534"/>
    <w:rsid w:val="00BC2955"/>
    <w:rsid w:val="00BC2B68"/>
    <w:rsid w:val="00BC2CA1"/>
    <w:rsid w:val="00BC317E"/>
    <w:rsid w:val="00BC41C0"/>
    <w:rsid w:val="00BC4ABF"/>
    <w:rsid w:val="00BC58DA"/>
    <w:rsid w:val="00BC5C2A"/>
    <w:rsid w:val="00BC5FE9"/>
    <w:rsid w:val="00BC66A1"/>
    <w:rsid w:val="00BC67C2"/>
    <w:rsid w:val="00BC6986"/>
    <w:rsid w:val="00BC6A2A"/>
    <w:rsid w:val="00BC711A"/>
    <w:rsid w:val="00BC7412"/>
    <w:rsid w:val="00BC7AD7"/>
    <w:rsid w:val="00BC7E32"/>
    <w:rsid w:val="00BD0981"/>
    <w:rsid w:val="00BD1174"/>
    <w:rsid w:val="00BD1192"/>
    <w:rsid w:val="00BD11A5"/>
    <w:rsid w:val="00BD1F23"/>
    <w:rsid w:val="00BD22A9"/>
    <w:rsid w:val="00BD2659"/>
    <w:rsid w:val="00BD27D3"/>
    <w:rsid w:val="00BD2826"/>
    <w:rsid w:val="00BD2AB1"/>
    <w:rsid w:val="00BD339C"/>
    <w:rsid w:val="00BD3678"/>
    <w:rsid w:val="00BD41E9"/>
    <w:rsid w:val="00BD4868"/>
    <w:rsid w:val="00BD4981"/>
    <w:rsid w:val="00BD4C5C"/>
    <w:rsid w:val="00BD4D70"/>
    <w:rsid w:val="00BD4F90"/>
    <w:rsid w:val="00BD53E3"/>
    <w:rsid w:val="00BD62A3"/>
    <w:rsid w:val="00BD6725"/>
    <w:rsid w:val="00BD6B2A"/>
    <w:rsid w:val="00BD6C25"/>
    <w:rsid w:val="00BD6E27"/>
    <w:rsid w:val="00BD6F03"/>
    <w:rsid w:val="00BD77FE"/>
    <w:rsid w:val="00BD7F13"/>
    <w:rsid w:val="00BE0176"/>
    <w:rsid w:val="00BE0220"/>
    <w:rsid w:val="00BE0653"/>
    <w:rsid w:val="00BE07EB"/>
    <w:rsid w:val="00BE0844"/>
    <w:rsid w:val="00BE09BA"/>
    <w:rsid w:val="00BE13C1"/>
    <w:rsid w:val="00BE150A"/>
    <w:rsid w:val="00BE1623"/>
    <w:rsid w:val="00BE17B9"/>
    <w:rsid w:val="00BE1867"/>
    <w:rsid w:val="00BE1B19"/>
    <w:rsid w:val="00BE25C1"/>
    <w:rsid w:val="00BE2674"/>
    <w:rsid w:val="00BE2C33"/>
    <w:rsid w:val="00BE31CC"/>
    <w:rsid w:val="00BE31F0"/>
    <w:rsid w:val="00BE33C3"/>
    <w:rsid w:val="00BE39C9"/>
    <w:rsid w:val="00BE477C"/>
    <w:rsid w:val="00BE4B4A"/>
    <w:rsid w:val="00BE4D21"/>
    <w:rsid w:val="00BE5536"/>
    <w:rsid w:val="00BE58D7"/>
    <w:rsid w:val="00BE5A7C"/>
    <w:rsid w:val="00BE5E74"/>
    <w:rsid w:val="00BE606D"/>
    <w:rsid w:val="00BE6633"/>
    <w:rsid w:val="00BE6C48"/>
    <w:rsid w:val="00BE6D1E"/>
    <w:rsid w:val="00BE6F91"/>
    <w:rsid w:val="00BE709D"/>
    <w:rsid w:val="00BE7307"/>
    <w:rsid w:val="00BE7604"/>
    <w:rsid w:val="00BF0725"/>
    <w:rsid w:val="00BF0835"/>
    <w:rsid w:val="00BF0A6B"/>
    <w:rsid w:val="00BF1948"/>
    <w:rsid w:val="00BF1AD2"/>
    <w:rsid w:val="00BF20C2"/>
    <w:rsid w:val="00BF2272"/>
    <w:rsid w:val="00BF2713"/>
    <w:rsid w:val="00BF2830"/>
    <w:rsid w:val="00BF2B4A"/>
    <w:rsid w:val="00BF2FA9"/>
    <w:rsid w:val="00BF2FFF"/>
    <w:rsid w:val="00BF329C"/>
    <w:rsid w:val="00BF3A0E"/>
    <w:rsid w:val="00BF3D3A"/>
    <w:rsid w:val="00BF3E1E"/>
    <w:rsid w:val="00BF4021"/>
    <w:rsid w:val="00BF47B7"/>
    <w:rsid w:val="00BF510E"/>
    <w:rsid w:val="00BF5156"/>
    <w:rsid w:val="00BF57B9"/>
    <w:rsid w:val="00BF5F0C"/>
    <w:rsid w:val="00BF6EEE"/>
    <w:rsid w:val="00BF73AF"/>
    <w:rsid w:val="00BF7858"/>
    <w:rsid w:val="00BF7C24"/>
    <w:rsid w:val="00C00975"/>
    <w:rsid w:val="00C00CC3"/>
    <w:rsid w:val="00C010C7"/>
    <w:rsid w:val="00C01891"/>
    <w:rsid w:val="00C01991"/>
    <w:rsid w:val="00C01D28"/>
    <w:rsid w:val="00C01D31"/>
    <w:rsid w:val="00C0226B"/>
    <w:rsid w:val="00C02374"/>
    <w:rsid w:val="00C027A1"/>
    <w:rsid w:val="00C027C6"/>
    <w:rsid w:val="00C032DC"/>
    <w:rsid w:val="00C03867"/>
    <w:rsid w:val="00C039BB"/>
    <w:rsid w:val="00C03E1C"/>
    <w:rsid w:val="00C041D8"/>
    <w:rsid w:val="00C0428D"/>
    <w:rsid w:val="00C042C3"/>
    <w:rsid w:val="00C0463B"/>
    <w:rsid w:val="00C05457"/>
    <w:rsid w:val="00C056A4"/>
    <w:rsid w:val="00C0570C"/>
    <w:rsid w:val="00C059B5"/>
    <w:rsid w:val="00C059D6"/>
    <w:rsid w:val="00C05F43"/>
    <w:rsid w:val="00C06310"/>
    <w:rsid w:val="00C06603"/>
    <w:rsid w:val="00C06A9B"/>
    <w:rsid w:val="00C06CB3"/>
    <w:rsid w:val="00C06FF0"/>
    <w:rsid w:val="00C0731F"/>
    <w:rsid w:val="00C07C32"/>
    <w:rsid w:val="00C07E71"/>
    <w:rsid w:val="00C10C3D"/>
    <w:rsid w:val="00C110E9"/>
    <w:rsid w:val="00C115E8"/>
    <w:rsid w:val="00C116D5"/>
    <w:rsid w:val="00C11BFA"/>
    <w:rsid w:val="00C11C32"/>
    <w:rsid w:val="00C121CD"/>
    <w:rsid w:val="00C12689"/>
    <w:rsid w:val="00C12744"/>
    <w:rsid w:val="00C12A6E"/>
    <w:rsid w:val="00C135BA"/>
    <w:rsid w:val="00C13CA5"/>
    <w:rsid w:val="00C13EF6"/>
    <w:rsid w:val="00C14CD9"/>
    <w:rsid w:val="00C14D20"/>
    <w:rsid w:val="00C150D2"/>
    <w:rsid w:val="00C153CA"/>
    <w:rsid w:val="00C15A0B"/>
    <w:rsid w:val="00C15E0E"/>
    <w:rsid w:val="00C15F1E"/>
    <w:rsid w:val="00C16220"/>
    <w:rsid w:val="00C163A8"/>
    <w:rsid w:val="00C163ED"/>
    <w:rsid w:val="00C165AA"/>
    <w:rsid w:val="00C17070"/>
    <w:rsid w:val="00C175AC"/>
    <w:rsid w:val="00C177D4"/>
    <w:rsid w:val="00C2036B"/>
    <w:rsid w:val="00C204A5"/>
    <w:rsid w:val="00C20C84"/>
    <w:rsid w:val="00C21115"/>
    <w:rsid w:val="00C21A96"/>
    <w:rsid w:val="00C22047"/>
    <w:rsid w:val="00C22272"/>
    <w:rsid w:val="00C224F5"/>
    <w:rsid w:val="00C22968"/>
    <w:rsid w:val="00C22E0B"/>
    <w:rsid w:val="00C23258"/>
    <w:rsid w:val="00C2328F"/>
    <w:rsid w:val="00C234BC"/>
    <w:rsid w:val="00C23826"/>
    <w:rsid w:val="00C239B8"/>
    <w:rsid w:val="00C23E82"/>
    <w:rsid w:val="00C2427C"/>
    <w:rsid w:val="00C24426"/>
    <w:rsid w:val="00C24437"/>
    <w:rsid w:val="00C24628"/>
    <w:rsid w:val="00C248B8"/>
    <w:rsid w:val="00C24990"/>
    <w:rsid w:val="00C24DB9"/>
    <w:rsid w:val="00C2529B"/>
    <w:rsid w:val="00C25D14"/>
    <w:rsid w:val="00C260E1"/>
    <w:rsid w:val="00C26560"/>
    <w:rsid w:val="00C26878"/>
    <w:rsid w:val="00C26D41"/>
    <w:rsid w:val="00C27FF0"/>
    <w:rsid w:val="00C30FB9"/>
    <w:rsid w:val="00C31158"/>
    <w:rsid w:val="00C319AF"/>
    <w:rsid w:val="00C32549"/>
    <w:rsid w:val="00C325FF"/>
    <w:rsid w:val="00C32714"/>
    <w:rsid w:val="00C332E9"/>
    <w:rsid w:val="00C3353E"/>
    <w:rsid w:val="00C33771"/>
    <w:rsid w:val="00C3390B"/>
    <w:rsid w:val="00C33D65"/>
    <w:rsid w:val="00C34AEA"/>
    <w:rsid w:val="00C35747"/>
    <w:rsid w:val="00C35AE3"/>
    <w:rsid w:val="00C35ED8"/>
    <w:rsid w:val="00C362F1"/>
    <w:rsid w:val="00C3657C"/>
    <w:rsid w:val="00C37289"/>
    <w:rsid w:val="00C37940"/>
    <w:rsid w:val="00C37B4B"/>
    <w:rsid w:val="00C40087"/>
    <w:rsid w:val="00C407DB"/>
    <w:rsid w:val="00C40ADE"/>
    <w:rsid w:val="00C40B3E"/>
    <w:rsid w:val="00C40E0B"/>
    <w:rsid w:val="00C41773"/>
    <w:rsid w:val="00C4209C"/>
    <w:rsid w:val="00C4278E"/>
    <w:rsid w:val="00C429B2"/>
    <w:rsid w:val="00C42E86"/>
    <w:rsid w:val="00C43021"/>
    <w:rsid w:val="00C43690"/>
    <w:rsid w:val="00C44112"/>
    <w:rsid w:val="00C446E2"/>
    <w:rsid w:val="00C447F0"/>
    <w:rsid w:val="00C44BBF"/>
    <w:rsid w:val="00C4512A"/>
    <w:rsid w:val="00C4539A"/>
    <w:rsid w:val="00C45EE6"/>
    <w:rsid w:val="00C46473"/>
    <w:rsid w:val="00C465E5"/>
    <w:rsid w:val="00C4679A"/>
    <w:rsid w:val="00C471E5"/>
    <w:rsid w:val="00C471FE"/>
    <w:rsid w:val="00C47BFD"/>
    <w:rsid w:val="00C47CE9"/>
    <w:rsid w:val="00C502D7"/>
    <w:rsid w:val="00C5098C"/>
    <w:rsid w:val="00C50C8F"/>
    <w:rsid w:val="00C50DCA"/>
    <w:rsid w:val="00C50DED"/>
    <w:rsid w:val="00C50F18"/>
    <w:rsid w:val="00C51519"/>
    <w:rsid w:val="00C516A9"/>
    <w:rsid w:val="00C5185B"/>
    <w:rsid w:val="00C51ABB"/>
    <w:rsid w:val="00C51DFE"/>
    <w:rsid w:val="00C51F22"/>
    <w:rsid w:val="00C52128"/>
    <w:rsid w:val="00C5308A"/>
    <w:rsid w:val="00C532C0"/>
    <w:rsid w:val="00C534AB"/>
    <w:rsid w:val="00C53576"/>
    <w:rsid w:val="00C53970"/>
    <w:rsid w:val="00C53A36"/>
    <w:rsid w:val="00C53FE4"/>
    <w:rsid w:val="00C540DD"/>
    <w:rsid w:val="00C541B2"/>
    <w:rsid w:val="00C548E5"/>
    <w:rsid w:val="00C54C3B"/>
    <w:rsid w:val="00C5508E"/>
    <w:rsid w:val="00C55206"/>
    <w:rsid w:val="00C55282"/>
    <w:rsid w:val="00C55A75"/>
    <w:rsid w:val="00C55D59"/>
    <w:rsid w:val="00C56ACC"/>
    <w:rsid w:val="00C571AE"/>
    <w:rsid w:val="00C572A2"/>
    <w:rsid w:val="00C572BE"/>
    <w:rsid w:val="00C575CE"/>
    <w:rsid w:val="00C5772A"/>
    <w:rsid w:val="00C57DD7"/>
    <w:rsid w:val="00C57E1E"/>
    <w:rsid w:val="00C60612"/>
    <w:rsid w:val="00C60977"/>
    <w:rsid w:val="00C6178C"/>
    <w:rsid w:val="00C61F02"/>
    <w:rsid w:val="00C62132"/>
    <w:rsid w:val="00C623B7"/>
    <w:rsid w:val="00C637BD"/>
    <w:rsid w:val="00C63BC4"/>
    <w:rsid w:val="00C64363"/>
    <w:rsid w:val="00C644A2"/>
    <w:rsid w:val="00C6480C"/>
    <w:rsid w:val="00C64B7C"/>
    <w:rsid w:val="00C64D03"/>
    <w:rsid w:val="00C64E96"/>
    <w:rsid w:val="00C64F34"/>
    <w:rsid w:val="00C65102"/>
    <w:rsid w:val="00C65DE2"/>
    <w:rsid w:val="00C662EA"/>
    <w:rsid w:val="00C6642D"/>
    <w:rsid w:val="00C66761"/>
    <w:rsid w:val="00C66919"/>
    <w:rsid w:val="00C66ABE"/>
    <w:rsid w:val="00C67212"/>
    <w:rsid w:val="00C67A4E"/>
    <w:rsid w:val="00C67CB5"/>
    <w:rsid w:val="00C7073A"/>
    <w:rsid w:val="00C70964"/>
    <w:rsid w:val="00C71DD2"/>
    <w:rsid w:val="00C71EAA"/>
    <w:rsid w:val="00C71F5E"/>
    <w:rsid w:val="00C72420"/>
    <w:rsid w:val="00C724D7"/>
    <w:rsid w:val="00C727F8"/>
    <w:rsid w:val="00C72C6A"/>
    <w:rsid w:val="00C72C7F"/>
    <w:rsid w:val="00C73151"/>
    <w:rsid w:val="00C7383B"/>
    <w:rsid w:val="00C73922"/>
    <w:rsid w:val="00C73CEF"/>
    <w:rsid w:val="00C741F6"/>
    <w:rsid w:val="00C74404"/>
    <w:rsid w:val="00C74A35"/>
    <w:rsid w:val="00C74CD6"/>
    <w:rsid w:val="00C75149"/>
    <w:rsid w:val="00C755FD"/>
    <w:rsid w:val="00C75673"/>
    <w:rsid w:val="00C75739"/>
    <w:rsid w:val="00C75A7A"/>
    <w:rsid w:val="00C75B09"/>
    <w:rsid w:val="00C75B24"/>
    <w:rsid w:val="00C7625E"/>
    <w:rsid w:val="00C763A7"/>
    <w:rsid w:val="00C76DBD"/>
    <w:rsid w:val="00C77835"/>
    <w:rsid w:val="00C80065"/>
    <w:rsid w:val="00C805B4"/>
    <w:rsid w:val="00C8093A"/>
    <w:rsid w:val="00C80C8B"/>
    <w:rsid w:val="00C80EC7"/>
    <w:rsid w:val="00C81290"/>
    <w:rsid w:val="00C81951"/>
    <w:rsid w:val="00C81B7F"/>
    <w:rsid w:val="00C81FE4"/>
    <w:rsid w:val="00C82784"/>
    <w:rsid w:val="00C8382F"/>
    <w:rsid w:val="00C83B22"/>
    <w:rsid w:val="00C84618"/>
    <w:rsid w:val="00C84B95"/>
    <w:rsid w:val="00C84D6A"/>
    <w:rsid w:val="00C8517B"/>
    <w:rsid w:val="00C853FC"/>
    <w:rsid w:val="00C85D05"/>
    <w:rsid w:val="00C85FF0"/>
    <w:rsid w:val="00C86825"/>
    <w:rsid w:val="00C86C32"/>
    <w:rsid w:val="00C86E07"/>
    <w:rsid w:val="00C86FE0"/>
    <w:rsid w:val="00C871BE"/>
    <w:rsid w:val="00C87262"/>
    <w:rsid w:val="00C87709"/>
    <w:rsid w:val="00C87721"/>
    <w:rsid w:val="00C87EB1"/>
    <w:rsid w:val="00C90815"/>
    <w:rsid w:val="00C9084D"/>
    <w:rsid w:val="00C90932"/>
    <w:rsid w:val="00C90CA7"/>
    <w:rsid w:val="00C917AB"/>
    <w:rsid w:val="00C9246E"/>
    <w:rsid w:val="00C9264A"/>
    <w:rsid w:val="00C926BC"/>
    <w:rsid w:val="00C92AAA"/>
    <w:rsid w:val="00C92C9C"/>
    <w:rsid w:val="00C92F28"/>
    <w:rsid w:val="00C93818"/>
    <w:rsid w:val="00C93CFF"/>
    <w:rsid w:val="00C945F2"/>
    <w:rsid w:val="00C94867"/>
    <w:rsid w:val="00C94885"/>
    <w:rsid w:val="00C94AED"/>
    <w:rsid w:val="00C94FFB"/>
    <w:rsid w:val="00C9541E"/>
    <w:rsid w:val="00C956DF"/>
    <w:rsid w:val="00C95957"/>
    <w:rsid w:val="00C95B2F"/>
    <w:rsid w:val="00C95CCD"/>
    <w:rsid w:val="00C95F8E"/>
    <w:rsid w:val="00C96A51"/>
    <w:rsid w:val="00C96BBE"/>
    <w:rsid w:val="00C971F6"/>
    <w:rsid w:val="00C9754D"/>
    <w:rsid w:val="00C9755C"/>
    <w:rsid w:val="00C97B7E"/>
    <w:rsid w:val="00C97E56"/>
    <w:rsid w:val="00CA0746"/>
    <w:rsid w:val="00CA0835"/>
    <w:rsid w:val="00CA1256"/>
    <w:rsid w:val="00CA1334"/>
    <w:rsid w:val="00CA1BA4"/>
    <w:rsid w:val="00CA1D8F"/>
    <w:rsid w:val="00CA1E55"/>
    <w:rsid w:val="00CA2197"/>
    <w:rsid w:val="00CA3783"/>
    <w:rsid w:val="00CA3B3C"/>
    <w:rsid w:val="00CA4309"/>
    <w:rsid w:val="00CA5A28"/>
    <w:rsid w:val="00CA5C8E"/>
    <w:rsid w:val="00CA67F5"/>
    <w:rsid w:val="00CA6C96"/>
    <w:rsid w:val="00CA7582"/>
    <w:rsid w:val="00CB00A0"/>
    <w:rsid w:val="00CB0784"/>
    <w:rsid w:val="00CB09A8"/>
    <w:rsid w:val="00CB0C0A"/>
    <w:rsid w:val="00CB0D77"/>
    <w:rsid w:val="00CB167C"/>
    <w:rsid w:val="00CB19D5"/>
    <w:rsid w:val="00CB1BC9"/>
    <w:rsid w:val="00CB1C46"/>
    <w:rsid w:val="00CB229B"/>
    <w:rsid w:val="00CB2C3F"/>
    <w:rsid w:val="00CB2F7B"/>
    <w:rsid w:val="00CB3048"/>
    <w:rsid w:val="00CB30D3"/>
    <w:rsid w:val="00CB34F5"/>
    <w:rsid w:val="00CB4924"/>
    <w:rsid w:val="00CB5527"/>
    <w:rsid w:val="00CB55B2"/>
    <w:rsid w:val="00CB5D8A"/>
    <w:rsid w:val="00CB63E8"/>
    <w:rsid w:val="00CB67FD"/>
    <w:rsid w:val="00CB6B2C"/>
    <w:rsid w:val="00CB751B"/>
    <w:rsid w:val="00CB77B7"/>
    <w:rsid w:val="00CB7AB4"/>
    <w:rsid w:val="00CB7AF4"/>
    <w:rsid w:val="00CB7DC2"/>
    <w:rsid w:val="00CB7DC7"/>
    <w:rsid w:val="00CC052B"/>
    <w:rsid w:val="00CC05BC"/>
    <w:rsid w:val="00CC0E95"/>
    <w:rsid w:val="00CC0F34"/>
    <w:rsid w:val="00CC13A8"/>
    <w:rsid w:val="00CC151D"/>
    <w:rsid w:val="00CC185A"/>
    <w:rsid w:val="00CC1C2F"/>
    <w:rsid w:val="00CC4069"/>
    <w:rsid w:val="00CC44D8"/>
    <w:rsid w:val="00CC4BB4"/>
    <w:rsid w:val="00CC4F13"/>
    <w:rsid w:val="00CC5CA6"/>
    <w:rsid w:val="00CC6333"/>
    <w:rsid w:val="00CC6D16"/>
    <w:rsid w:val="00CC6F0E"/>
    <w:rsid w:val="00CC6FF2"/>
    <w:rsid w:val="00CC7006"/>
    <w:rsid w:val="00CC740A"/>
    <w:rsid w:val="00CC7CAA"/>
    <w:rsid w:val="00CC7EEB"/>
    <w:rsid w:val="00CD0542"/>
    <w:rsid w:val="00CD0A9B"/>
    <w:rsid w:val="00CD0CA0"/>
    <w:rsid w:val="00CD188D"/>
    <w:rsid w:val="00CD1E35"/>
    <w:rsid w:val="00CD2344"/>
    <w:rsid w:val="00CD23AF"/>
    <w:rsid w:val="00CD2474"/>
    <w:rsid w:val="00CD2F1D"/>
    <w:rsid w:val="00CD2FCF"/>
    <w:rsid w:val="00CD3DFB"/>
    <w:rsid w:val="00CD418A"/>
    <w:rsid w:val="00CD46B4"/>
    <w:rsid w:val="00CD4869"/>
    <w:rsid w:val="00CD4A27"/>
    <w:rsid w:val="00CD4CEF"/>
    <w:rsid w:val="00CD537C"/>
    <w:rsid w:val="00CD5F18"/>
    <w:rsid w:val="00CD607A"/>
    <w:rsid w:val="00CD61CF"/>
    <w:rsid w:val="00CD65DF"/>
    <w:rsid w:val="00CD6F19"/>
    <w:rsid w:val="00CD750A"/>
    <w:rsid w:val="00CD751F"/>
    <w:rsid w:val="00CD7653"/>
    <w:rsid w:val="00CD76E1"/>
    <w:rsid w:val="00CE0461"/>
    <w:rsid w:val="00CE0F23"/>
    <w:rsid w:val="00CE1890"/>
    <w:rsid w:val="00CE1A7C"/>
    <w:rsid w:val="00CE1B48"/>
    <w:rsid w:val="00CE1D36"/>
    <w:rsid w:val="00CE1FCB"/>
    <w:rsid w:val="00CE2108"/>
    <w:rsid w:val="00CE2ABD"/>
    <w:rsid w:val="00CE2B25"/>
    <w:rsid w:val="00CE2DA0"/>
    <w:rsid w:val="00CE31BD"/>
    <w:rsid w:val="00CE31E6"/>
    <w:rsid w:val="00CE32BB"/>
    <w:rsid w:val="00CE3658"/>
    <w:rsid w:val="00CE391B"/>
    <w:rsid w:val="00CE3CFD"/>
    <w:rsid w:val="00CE4242"/>
    <w:rsid w:val="00CE4C8C"/>
    <w:rsid w:val="00CE4CD9"/>
    <w:rsid w:val="00CE4DBE"/>
    <w:rsid w:val="00CE51C2"/>
    <w:rsid w:val="00CE5414"/>
    <w:rsid w:val="00CE546C"/>
    <w:rsid w:val="00CE54CF"/>
    <w:rsid w:val="00CE5624"/>
    <w:rsid w:val="00CE57DE"/>
    <w:rsid w:val="00CE58BF"/>
    <w:rsid w:val="00CE5A02"/>
    <w:rsid w:val="00CE5A76"/>
    <w:rsid w:val="00CE5B70"/>
    <w:rsid w:val="00CE60BD"/>
    <w:rsid w:val="00CE6698"/>
    <w:rsid w:val="00CE68B3"/>
    <w:rsid w:val="00CE6D25"/>
    <w:rsid w:val="00CE6F85"/>
    <w:rsid w:val="00CE7C1A"/>
    <w:rsid w:val="00CE7C28"/>
    <w:rsid w:val="00CF123C"/>
    <w:rsid w:val="00CF1C2F"/>
    <w:rsid w:val="00CF1F4C"/>
    <w:rsid w:val="00CF2070"/>
    <w:rsid w:val="00CF2087"/>
    <w:rsid w:val="00CF21D3"/>
    <w:rsid w:val="00CF25F9"/>
    <w:rsid w:val="00CF2A1D"/>
    <w:rsid w:val="00CF3961"/>
    <w:rsid w:val="00CF3D84"/>
    <w:rsid w:val="00CF40A3"/>
    <w:rsid w:val="00CF40D3"/>
    <w:rsid w:val="00CF4961"/>
    <w:rsid w:val="00CF4B00"/>
    <w:rsid w:val="00CF54EB"/>
    <w:rsid w:val="00CF5688"/>
    <w:rsid w:val="00CF5C66"/>
    <w:rsid w:val="00CF617A"/>
    <w:rsid w:val="00CF6A73"/>
    <w:rsid w:val="00CF7BCC"/>
    <w:rsid w:val="00D0065C"/>
    <w:rsid w:val="00D00972"/>
    <w:rsid w:val="00D00C21"/>
    <w:rsid w:val="00D00CB7"/>
    <w:rsid w:val="00D00CBA"/>
    <w:rsid w:val="00D00EC5"/>
    <w:rsid w:val="00D015D0"/>
    <w:rsid w:val="00D01FE6"/>
    <w:rsid w:val="00D02BC3"/>
    <w:rsid w:val="00D02E15"/>
    <w:rsid w:val="00D02E8E"/>
    <w:rsid w:val="00D03372"/>
    <w:rsid w:val="00D033D2"/>
    <w:rsid w:val="00D03EB3"/>
    <w:rsid w:val="00D043A1"/>
    <w:rsid w:val="00D04C8C"/>
    <w:rsid w:val="00D04F6D"/>
    <w:rsid w:val="00D055E1"/>
    <w:rsid w:val="00D056A9"/>
    <w:rsid w:val="00D059B4"/>
    <w:rsid w:val="00D05B6B"/>
    <w:rsid w:val="00D0686F"/>
    <w:rsid w:val="00D06956"/>
    <w:rsid w:val="00D06A74"/>
    <w:rsid w:val="00D079E1"/>
    <w:rsid w:val="00D10E52"/>
    <w:rsid w:val="00D113E6"/>
    <w:rsid w:val="00D121D0"/>
    <w:rsid w:val="00D12A85"/>
    <w:rsid w:val="00D12B4C"/>
    <w:rsid w:val="00D13344"/>
    <w:rsid w:val="00D14040"/>
    <w:rsid w:val="00D141C7"/>
    <w:rsid w:val="00D14491"/>
    <w:rsid w:val="00D147DF"/>
    <w:rsid w:val="00D14F75"/>
    <w:rsid w:val="00D14FEC"/>
    <w:rsid w:val="00D1522D"/>
    <w:rsid w:val="00D15697"/>
    <w:rsid w:val="00D16478"/>
    <w:rsid w:val="00D16841"/>
    <w:rsid w:val="00D17101"/>
    <w:rsid w:val="00D17750"/>
    <w:rsid w:val="00D177B2"/>
    <w:rsid w:val="00D17891"/>
    <w:rsid w:val="00D20353"/>
    <w:rsid w:val="00D204D7"/>
    <w:rsid w:val="00D20D7A"/>
    <w:rsid w:val="00D21556"/>
    <w:rsid w:val="00D21724"/>
    <w:rsid w:val="00D21C48"/>
    <w:rsid w:val="00D223E6"/>
    <w:rsid w:val="00D227B1"/>
    <w:rsid w:val="00D2298E"/>
    <w:rsid w:val="00D229FB"/>
    <w:rsid w:val="00D22C6B"/>
    <w:rsid w:val="00D23080"/>
    <w:rsid w:val="00D23E1A"/>
    <w:rsid w:val="00D2412A"/>
    <w:rsid w:val="00D24442"/>
    <w:rsid w:val="00D248E0"/>
    <w:rsid w:val="00D25156"/>
    <w:rsid w:val="00D25CCD"/>
    <w:rsid w:val="00D25DD5"/>
    <w:rsid w:val="00D25E4C"/>
    <w:rsid w:val="00D25EF3"/>
    <w:rsid w:val="00D26204"/>
    <w:rsid w:val="00D2651D"/>
    <w:rsid w:val="00D26F80"/>
    <w:rsid w:val="00D2783B"/>
    <w:rsid w:val="00D27C99"/>
    <w:rsid w:val="00D27D4A"/>
    <w:rsid w:val="00D304B7"/>
    <w:rsid w:val="00D316A4"/>
    <w:rsid w:val="00D31F22"/>
    <w:rsid w:val="00D325E9"/>
    <w:rsid w:val="00D326EB"/>
    <w:rsid w:val="00D32EC8"/>
    <w:rsid w:val="00D330F9"/>
    <w:rsid w:val="00D33408"/>
    <w:rsid w:val="00D33793"/>
    <w:rsid w:val="00D33C3F"/>
    <w:rsid w:val="00D33EA7"/>
    <w:rsid w:val="00D3419E"/>
    <w:rsid w:val="00D3449C"/>
    <w:rsid w:val="00D346E1"/>
    <w:rsid w:val="00D34933"/>
    <w:rsid w:val="00D34A34"/>
    <w:rsid w:val="00D34CEC"/>
    <w:rsid w:val="00D34F58"/>
    <w:rsid w:val="00D351CF"/>
    <w:rsid w:val="00D35F8F"/>
    <w:rsid w:val="00D367BF"/>
    <w:rsid w:val="00D36EB1"/>
    <w:rsid w:val="00D36ED8"/>
    <w:rsid w:val="00D37143"/>
    <w:rsid w:val="00D37A24"/>
    <w:rsid w:val="00D402E8"/>
    <w:rsid w:val="00D405A1"/>
    <w:rsid w:val="00D40E61"/>
    <w:rsid w:val="00D40FD0"/>
    <w:rsid w:val="00D41495"/>
    <w:rsid w:val="00D4151C"/>
    <w:rsid w:val="00D4153D"/>
    <w:rsid w:val="00D419B5"/>
    <w:rsid w:val="00D41A03"/>
    <w:rsid w:val="00D42594"/>
    <w:rsid w:val="00D427F7"/>
    <w:rsid w:val="00D42B8B"/>
    <w:rsid w:val="00D43871"/>
    <w:rsid w:val="00D43F6E"/>
    <w:rsid w:val="00D4417A"/>
    <w:rsid w:val="00D441DA"/>
    <w:rsid w:val="00D442A5"/>
    <w:rsid w:val="00D44528"/>
    <w:rsid w:val="00D44614"/>
    <w:rsid w:val="00D44B76"/>
    <w:rsid w:val="00D44C42"/>
    <w:rsid w:val="00D451EC"/>
    <w:rsid w:val="00D4549E"/>
    <w:rsid w:val="00D45604"/>
    <w:rsid w:val="00D45832"/>
    <w:rsid w:val="00D45ED9"/>
    <w:rsid w:val="00D46078"/>
    <w:rsid w:val="00D46207"/>
    <w:rsid w:val="00D466CD"/>
    <w:rsid w:val="00D4682C"/>
    <w:rsid w:val="00D46B6D"/>
    <w:rsid w:val="00D46EB2"/>
    <w:rsid w:val="00D46FD7"/>
    <w:rsid w:val="00D470F4"/>
    <w:rsid w:val="00D47A5A"/>
    <w:rsid w:val="00D47B99"/>
    <w:rsid w:val="00D47F5A"/>
    <w:rsid w:val="00D500A4"/>
    <w:rsid w:val="00D50821"/>
    <w:rsid w:val="00D50F4C"/>
    <w:rsid w:val="00D51656"/>
    <w:rsid w:val="00D518BF"/>
    <w:rsid w:val="00D51972"/>
    <w:rsid w:val="00D51C3B"/>
    <w:rsid w:val="00D51EA7"/>
    <w:rsid w:val="00D5221A"/>
    <w:rsid w:val="00D52B07"/>
    <w:rsid w:val="00D52FC2"/>
    <w:rsid w:val="00D5305C"/>
    <w:rsid w:val="00D53073"/>
    <w:rsid w:val="00D53CC9"/>
    <w:rsid w:val="00D53EA4"/>
    <w:rsid w:val="00D54591"/>
    <w:rsid w:val="00D54777"/>
    <w:rsid w:val="00D547F4"/>
    <w:rsid w:val="00D54A2B"/>
    <w:rsid w:val="00D54C0E"/>
    <w:rsid w:val="00D54F7A"/>
    <w:rsid w:val="00D554EE"/>
    <w:rsid w:val="00D5598A"/>
    <w:rsid w:val="00D55C26"/>
    <w:rsid w:val="00D5672F"/>
    <w:rsid w:val="00D56B1F"/>
    <w:rsid w:val="00D56C48"/>
    <w:rsid w:val="00D56F39"/>
    <w:rsid w:val="00D570FA"/>
    <w:rsid w:val="00D57445"/>
    <w:rsid w:val="00D5780E"/>
    <w:rsid w:val="00D57E24"/>
    <w:rsid w:val="00D605A9"/>
    <w:rsid w:val="00D60B43"/>
    <w:rsid w:val="00D60EA0"/>
    <w:rsid w:val="00D6177E"/>
    <w:rsid w:val="00D619D7"/>
    <w:rsid w:val="00D61AD1"/>
    <w:rsid w:val="00D621F9"/>
    <w:rsid w:val="00D627D2"/>
    <w:rsid w:val="00D627FE"/>
    <w:rsid w:val="00D62EFB"/>
    <w:rsid w:val="00D63288"/>
    <w:rsid w:val="00D6376D"/>
    <w:rsid w:val="00D6397B"/>
    <w:rsid w:val="00D63B18"/>
    <w:rsid w:val="00D63BA7"/>
    <w:rsid w:val="00D63C36"/>
    <w:rsid w:val="00D65C96"/>
    <w:rsid w:val="00D65CC2"/>
    <w:rsid w:val="00D66D16"/>
    <w:rsid w:val="00D6716B"/>
    <w:rsid w:val="00D67B76"/>
    <w:rsid w:val="00D7066A"/>
    <w:rsid w:val="00D70906"/>
    <w:rsid w:val="00D70E29"/>
    <w:rsid w:val="00D70F48"/>
    <w:rsid w:val="00D716D2"/>
    <w:rsid w:val="00D71979"/>
    <w:rsid w:val="00D7217B"/>
    <w:rsid w:val="00D72E73"/>
    <w:rsid w:val="00D72E9A"/>
    <w:rsid w:val="00D73588"/>
    <w:rsid w:val="00D73624"/>
    <w:rsid w:val="00D73AC0"/>
    <w:rsid w:val="00D73AFB"/>
    <w:rsid w:val="00D742A6"/>
    <w:rsid w:val="00D74E64"/>
    <w:rsid w:val="00D752BA"/>
    <w:rsid w:val="00D75A2F"/>
    <w:rsid w:val="00D75EA7"/>
    <w:rsid w:val="00D75FE4"/>
    <w:rsid w:val="00D76258"/>
    <w:rsid w:val="00D762B6"/>
    <w:rsid w:val="00D764FA"/>
    <w:rsid w:val="00D77444"/>
    <w:rsid w:val="00D77A6C"/>
    <w:rsid w:val="00D800DB"/>
    <w:rsid w:val="00D80839"/>
    <w:rsid w:val="00D81613"/>
    <w:rsid w:val="00D81D15"/>
    <w:rsid w:val="00D8209E"/>
    <w:rsid w:val="00D822F3"/>
    <w:rsid w:val="00D82ED4"/>
    <w:rsid w:val="00D830F2"/>
    <w:rsid w:val="00D83691"/>
    <w:rsid w:val="00D844AF"/>
    <w:rsid w:val="00D848A4"/>
    <w:rsid w:val="00D84C38"/>
    <w:rsid w:val="00D851D7"/>
    <w:rsid w:val="00D853A4"/>
    <w:rsid w:val="00D85590"/>
    <w:rsid w:val="00D8583D"/>
    <w:rsid w:val="00D859EC"/>
    <w:rsid w:val="00D85AB0"/>
    <w:rsid w:val="00D85E5D"/>
    <w:rsid w:val="00D86116"/>
    <w:rsid w:val="00D862A5"/>
    <w:rsid w:val="00D8630D"/>
    <w:rsid w:val="00D86A74"/>
    <w:rsid w:val="00D871C5"/>
    <w:rsid w:val="00D87D76"/>
    <w:rsid w:val="00D87FF1"/>
    <w:rsid w:val="00D90E0A"/>
    <w:rsid w:val="00D91236"/>
    <w:rsid w:val="00D91244"/>
    <w:rsid w:val="00D91356"/>
    <w:rsid w:val="00D91646"/>
    <w:rsid w:val="00D9195F"/>
    <w:rsid w:val="00D9205F"/>
    <w:rsid w:val="00D921B4"/>
    <w:rsid w:val="00D92746"/>
    <w:rsid w:val="00D92C12"/>
    <w:rsid w:val="00D93C76"/>
    <w:rsid w:val="00D94C58"/>
    <w:rsid w:val="00D951CA"/>
    <w:rsid w:val="00D953C0"/>
    <w:rsid w:val="00D9556F"/>
    <w:rsid w:val="00D961A0"/>
    <w:rsid w:val="00D96C06"/>
    <w:rsid w:val="00D97194"/>
    <w:rsid w:val="00D978DD"/>
    <w:rsid w:val="00D97934"/>
    <w:rsid w:val="00D97959"/>
    <w:rsid w:val="00D979BD"/>
    <w:rsid w:val="00D97B55"/>
    <w:rsid w:val="00D97D57"/>
    <w:rsid w:val="00D97E3B"/>
    <w:rsid w:val="00D97EA4"/>
    <w:rsid w:val="00D97FBB"/>
    <w:rsid w:val="00D97FFA"/>
    <w:rsid w:val="00DA0090"/>
    <w:rsid w:val="00DA00A5"/>
    <w:rsid w:val="00DA029F"/>
    <w:rsid w:val="00DA05CF"/>
    <w:rsid w:val="00DA069F"/>
    <w:rsid w:val="00DA0D14"/>
    <w:rsid w:val="00DA12B3"/>
    <w:rsid w:val="00DA1BE8"/>
    <w:rsid w:val="00DA1EF3"/>
    <w:rsid w:val="00DA2657"/>
    <w:rsid w:val="00DA2A81"/>
    <w:rsid w:val="00DA2BA4"/>
    <w:rsid w:val="00DA303D"/>
    <w:rsid w:val="00DA320E"/>
    <w:rsid w:val="00DA332D"/>
    <w:rsid w:val="00DA34CE"/>
    <w:rsid w:val="00DA4187"/>
    <w:rsid w:val="00DA4342"/>
    <w:rsid w:val="00DA4A83"/>
    <w:rsid w:val="00DA4CCE"/>
    <w:rsid w:val="00DA4FA7"/>
    <w:rsid w:val="00DA5495"/>
    <w:rsid w:val="00DA5834"/>
    <w:rsid w:val="00DA58F5"/>
    <w:rsid w:val="00DA5A0C"/>
    <w:rsid w:val="00DA627C"/>
    <w:rsid w:val="00DA6759"/>
    <w:rsid w:val="00DA69CC"/>
    <w:rsid w:val="00DA74C7"/>
    <w:rsid w:val="00DA7A28"/>
    <w:rsid w:val="00DA7BBF"/>
    <w:rsid w:val="00DA7C4E"/>
    <w:rsid w:val="00DB034E"/>
    <w:rsid w:val="00DB0474"/>
    <w:rsid w:val="00DB08DB"/>
    <w:rsid w:val="00DB0925"/>
    <w:rsid w:val="00DB0C71"/>
    <w:rsid w:val="00DB134F"/>
    <w:rsid w:val="00DB15A2"/>
    <w:rsid w:val="00DB1B03"/>
    <w:rsid w:val="00DB1DAF"/>
    <w:rsid w:val="00DB1E5A"/>
    <w:rsid w:val="00DB2B9C"/>
    <w:rsid w:val="00DB301C"/>
    <w:rsid w:val="00DB3200"/>
    <w:rsid w:val="00DB3967"/>
    <w:rsid w:val="00DB3C5B"/>
    <w:rsid w:val="00DB4833"/>
    <w:rsid w:val="00DB4C30"/>
    <w:rsid w:val="00DB50E3"/>
    <w:rsid w:val="00DB5534"/>
    <w:rsid w:val="00DB59D5"/>
    <w:rsid w:val="00DB5B2C"/>
    <w:rsid w:val="00DB5C9C"/>
    <w:rsid w:val="00DB5E79"/>
    <w:rsid w:val="00DB6566"/>
    <w:rsid w:val="00DB6BFF"/>
    <w:rsid w:val="00DB705C"/>
    <w:rsid w:val="00DB73B8"/>
    <w:rsid w:val="00DB7541"/>
    <w:rsid w:val="00DB7A98"/>
    <w:rsid w:val="00DB7E8F"/>
    <w:rsid w:val="00DC00BA"/>
    <w:rsid w:val="00DC06A0"/>
    <w:rsid w:val="00DC0A9A"/>
    <w:rsid w:val="00DC1D8D"/>
    <w:rsid w:val="00DC22BD"/>
    <w:rsid w:val="00DC246E"/>
    <w:rsid w:val="00DC2ABE"/>
    <w:rsid w:val="00DC3060"/>
    <w:rsid w:val="00DC38D2"/>
    <w:rsid w:val="00DC396B"/>
    <w:rsid w:val="00DC42E5"/>
    <w:rsid w:val="00DC43B4"/>
    <w:rsid w:val="00DC443C"/>
    <w:rsid w:val="00DC4590"/>
    <w:rsid w:val="00DC472B"/>
    <w:rsid w:val="00DC4AAC"/>
    <w:rsid w:val="00DC4AF1"/>
    <w:rsid w:val="00DC4CC2"/>
    <w:rsid w:val="00DC522A"/>
    <w:rsid w:val="00DC5F18"/>
    <w:rsid w:val="00DC655E"/>
    <w:rsid w:val="00DC65FD"/>
    <w:rsid w:val="00DC6D3D"/>
    <w:rsid w:val="00DC75DB"/>
    <w:rsid w:val="00DC794B"/>
    <w:rsid w:val="00DC7B8D"/>
    <w:rsid w:val="00DC7C8D"/>
    <w:rsid w:val="00DD04E1"/>
    <w:rsid w:val="00DD0AC3"/>
    <w:rsid w:val="00DD0D7A"/>
    <w:rsid w:val="00DD0D95"/>
    <w:rsid w:val="00DD181E"/>
    <w:rsid w:val="00DD18B4"/>
    <w:rsid w:val="00DD1AB2"/>
    <w:rsid w:val="00DD1DC6"/>
    <w:rsid w:val="00DD2227"/>
    <w:rsid w:val="00DD2C09"/>
    <w:rsid w:val="00DD32DE"/>
    <w:rsid w:val="00DD367A"/>
    <w:rsid w:val="00DD4169"/>
    <w:rsid w:val="00DD436F"/>
    <w:rsid w:val="00DD454A"/>
    <w:rsid w:val="00DD47B9"/>
    <w:rsid w:val="00DD4AC8"/>
    <w:rsid w:val="00DD507C"/>
    <w:rsid w:val="00DD5089"/>
    <w:rsid w:val="00DD5366"/>
    <w:rsid w:val="00DD57DD"/>
    <w:rsid w:val="00DD5A92"/>
    <w:rsid w:val="00DD60C1"/>
    <w:rsid w:val="00DD6339"/>
    <w:rsid w:val="00DD66AB"/>
    <w:rsid w:val="00DD731A"/>
    <w:rsid w:val="00DD76EC"/>
    <w:rsid w:val="00DD7C2E"/>
    <w:rsid w:val="00DD7C3B"/>
    <w:rsid w:val="00DD7F45"/>
    <w:rsid w:val="00DE00E0"/>
    <w:rsid w:val="00DE01E7"/>
    <w:rsid w:val="00DE0EDF"/>
    <w:rsid w:val="00DE1C7F"/>
    <w:rsid w:val="00DE1D9D"/>
    <w:rsid w:val="00DE24B3"/>
    <w:rsid w:val="00DE2970"/>
    <w:rsid w:val="00DE2A33"/>
    <w:rsid w:val="00DE311E"/>
    <w:rsid w:val="00DE32A6"/>
    <w:rsid w:val="00DE3307"/>
    <w:rsid w:val="00DE34A0"/>
    <w:rsid w:val="00DE35FC"/>
    <w:rsid w:val="00DE46DF"/>
    <w:rsid w:val="00DE485B"/>
    <w:rsid w:val="00DE49A2"/>
    <w:rsid w:val="00DE5140"/>
    <w:rsid w:val="00DE541F"/>
    <w:rsid w:val="00DE5F2A"/>
    <w:rsid w:val="00DE64FF"/>
    <w:rsid w:val="00DE6569"/>
    <w:rsid w:val="00DF01F3"/>
    <w:rsid w:val="00DF042E"/>
    <w:rsid w:val="00DF05F7"/>
    <w:rsid w:val="00DF0BD7"/>
    <w:rsid w:val="00DF0EA2"/>
    <w:rsid w:val="00DF1205"/>
    <w:rsid w:val="00DF1CFF"/>
    <w:rsid w:val="00DF1E99"/>
    <w:rsid w:val="00DF29DB"/>
    <w:rsid w:val="00DF2BCD"/>
    <w:rsid w:val="00DF32A4"/>
    <w:rsid w:val="00DF32E2"/>
    <w:rsid w:val="00DF3889"/>
    <w:rsid w:val="00DF3A22"/>
    <w:rsid w:val="00DF4A57"/>
    <w:rsid w:val="00DF4A66"/>
    <w:rsid w:val="00DF4DBD"/>
    <w:rsid w:val="00DF4F69"/>
    <w:rsid w:val="00DF5000"/>
    <w:rsid w:val="00DF502D"/>
    <w:rsid w:val="00DF5615"/>
    <w:rsid w:val="00DF588B"/>
    <w:rsid w:val="00DF5AEB"/>
    <w:rsid w:val="00DF5DDD"/>
    <w:rsid w:val="00DF617C"/>
    <w:rsid w:val="00DF68E7"/>
    <w:rsid w:val="00DF6CAB"/>
    <w:rsid w:val="00DF7400"/>
    <w:rsid w:val="00DF7991"/>
    <w:rsid w:val="00DF79AD"/>
    <w:rsid w:val="00DF79C8"/>
    <w:rsid w:val="00DF7B3D"/>
    <w:rsid w:val="00DF7FCF"/>
    <w:rsid w:val="00E01233"/>
    <w:rsid w:val="00E01248"/>
    <w:rsid w:val="00E01799"/>
    <w:rsid w:val="00E018F4"/>
    <w:rsid w:val="00E02B61"/>
    <w:rsid w:val="00E02C4B"/>
    <w:rsid w:val="00E031D1"/>
    <w:rsid w:val="00E03228"/>
    <w:rsid w:val="00E03501"/>
    <w:rsid w:val="00E03523"/>
    <w:rsid w:val="00E0390E"/>
    <w:rsid w:val="00E03CFB"/>
    <w:rsid w:val="00E03EE1"/>
    <w:rsid w:val="00E051AF"/>
    <w:rsid w:val="00E0541F"/>
    <w:rsid w:val="00E056EC"/>
    <w:rsid w:val="00E05A50"/>
    <w:rsid w:val="00E05D15"/>
    <w:rsid w:val="00E072EC"/>
    <w:rsid w:val="00E07387"/>
    <w:rsid w:val="00E07EE6"/>
    <w:rsid w:val="00E10600"/>
    <w:rsid w:val="00E109A6"/>
    <w:rsid w:val="00E10A71"/>
    <w:rsid w:val="00E10AFC"/>
    <w:rsid w:val="00E10C52"/>
    <w:rsid w:val="00E10C53"/>
    <w:rsid w:val="00E11776"/>
    <w:rsid w:val="00E11C8F"/>
    <w:rsid w:val="00E120F8"/>
    <w:rsid w:val="00E13CB4"/>
    <w:rsid w:val="00E13D0F"/>
    <w:rsid w:val="00E1406D"/>
    <w:rsid w:val="00E14DD2"/>
    <w:rsid w:val="00E152C1"/>
    <w:rsid w:val="00E15AD1"/>
    <w:rsid w:val="00E15FA3"/>
    <w:rsid w:val="00E16018"/>
    <w:rsid w:val="00E16208"/>
    <w:rsid w:val="00E163D1"/>
    <w:rsid w:val="00E165AD"/>
    <w:rsid w:val="00E16DEB"/>
    <w:rsid w:val="00E1741F"/>
    <w:rsid w:val="00E1782F"/>
    <w:rsid w:val="00E17ACB"/>
    <w:rsid w:val="00E17AE8"/>
    <w:rsid w:val="00E20D69"/>
    <w:rsid w:val="00E20F98"/>
    <w:rsid w:val="00E21BDE"/>
    <w:rsid w:val="00E22D29"/>
    <w:rsid w:val="00E23EE0"/>
    <w:rsid w:val="00E2480D"/>
    <w:rsid w:val="00E24C37"/>
    <w:rsid w:val="00E24D1B"/>
    <w:rsid w:val="00E24EAC"/>
    <w:rsid w:val="00E24EE6"/>
    <w:rsid w:val="00E255E7"/>
    <w:rsid w:val="00E255FB"/>
    <w:rsid w:val="00E259F6"/>
    <w:rsid w:val="00E25BF0"/>
    <w:rsid w:val="00E25D6C"/>
    <w:rsid w:val="00E25E68"/>
    <w:rsid w:val="00E2622D"/>
    <w:rsid w:val="00E26353"/>
    <w:rsid w:val="00E26A7A"/>
    <w:rsid w:val="00E26CB3"/>
    <w:rsid w:val="00E278CD"/>
    <w:rsid w:val="00E303F2"/>
    <w:rsid w:val="00E30410"/>
    <w:rsid w:val="00E30570"/>
    <w:rsid w:val="00E309CF"/>
    <w:rsid w:val="00E31346"/>
    <w:rsid w:val="00E32530"/>
    <w:rsid w:val="00E32779"/>
    <w:rsid w:val="00E32955"/>
    <w:rsid w:val="00E32C9C"/>
    <w:rsid w:val="00E32CAE"/>
    <w:rsid w:val="00E32D35"/>
    <w:rsid w:val="00E33260"/>
    <w:rsid w:val="00E3378A"/>
    <w:rsid w:val="00E33C74"/>
    <w:rsid w:val="00E33C7B"/>
    <w:rsid w:val="00E33D45"/>
    <w:rsid w:val="00E3407F"/>
    <w:rsid w:val="00E3441C"/>
    <w:rsid w:val="00E34488"/>
    <w:rsid w:val="00E3465A"/>
    <w:rsid w:val="00E34EDF"/>
    <w:rsid w:val="00E3509A"/>
    <w:rsid w:val="00E35D9E"/>
    <w:rsid w:val="00E35E76"/>
    <w:rsid w:val="00E36EC0"/>
    <w:rsid w:val="00E3708B"/>
    <w:rsid w:val="00E375FB"/>
    <w:rsid w:val="00E4001A"/>
    <w:rsid w:val="00E40166"/>
    <w:rsid w:val="00E4062D"/>
    <w:rsid w:val="00E406C1"/>
    <w:rsid w:val="00E40A1F"/>
    <w:rsid w:val="00E40AA4"/>
    <w:rsid w:val="00E40F7F"/>
    <w:rsid w:val="00E413E7"/>
    <w:rsid w:val="00E41707"/>
    <w:rsid w:val="00E41FD5"/>
    <w:rsid w:val="00E42040"/>
    <w:rsid w:val="00E42A65"/>
    <w:rsid w:val="00E4344A"/>
    <w:rsid w:val="00E434BC"/>
    <w:rsid w:val="00E4369E"/>
    <w:rsid w:val="00E44925"/>
    <w:rsid w:val="00E449C3"/>
    <w:rsid w:val="00E451EF"/>
    <w:rsid w:val="00E456DA"/>
    <w:rsid w:val="00E45B4D"/>
    <w:rsid w:val="00E45DB8"/>
    <w:rsid w:val="00E45FE5"/>
    <w:rsid w:val="00E46F96"/>
    <w:rsid w:val="00E46FFF"/>
    <w:rsid w:val="00E47084"/>
    <w:rsid w:val="00E472AC"/>
    <w:rsid w:val="00E4750B"/>
    <w:rsid w:val="00E47946"/>
    <w:rsid w:val="00E47C06"/>
    <w:rsid w:val="00E500E6"/>
    <w:rsid w:val="00E501DA"/>
    <w:rsid w:val="00E50394"/>
    <w:rsid w:val="00E504DE"/>
    <w:rsid w:val="00E50F5B"/>
    <w:rsid w:val="00E51186"/>
    <w:rsid w:val="00E512E4"/>
    <w:rsid w:val="00E51414"/>
    <w:rsid w:val="00E51635"/>
    <w:rsid w:val="00E5179A"/>
    <w:rsid w:val="00E518FD"/>
    <w:rsid w:val="00E5195D"/>
    <w:rsid w:val="00E525A0"/>
    <w:rsid w:val="00E52FAA"/>
    <w:rsid w:val="00E54051"/>
    <w:rsid w:val="00E54067"/>
    <w:rsid w:val="00E54373"/>
    <w:rsid w:val="00E54876"/>
    <w:rsid w:val="00E55100"/>
    <w:rsid w:val="00E5534D"/>
    <w:rsid w:val="00E5553A"/>
    <w:rsid w:val="00E55711"/>
    <w:rsid w:val="00E557EA"/>
    <w:rsid w:val="00E55AB8"/>
    <w:rsid w:val="00E55ABA"/>
    <w:rsid w:val="00E5621C"/>
    <w:rsid w:val="00E56BB9"/>
    <w:rsid w:val="00E5763D"/>
    <w:rsid w:val="00E57AA0"/>
    <w:rsid w:val="00E57ADD"/>
    <w:rsid w:val="00E57F21"/>
    <w:rsid w:val="00E6023A"/>
    <w:rsid w:val="00E602B0"/>
    <w:rsid w:val="00E609AF"/>
    <w:rsid w:val="00E60EDA"/>
    <w:rsid w:val="00E614E8"/>
    <w:rsid w:val="00E6168C"/>
    <w:rsid w:val="00E616AE"/>
    <w:rsid w:val="00E61B9A"/>
    <w:rsid w:val="00E6212C"/>
    <w:rsid w:val="00E62695"/>
    <w:rsid w:val="00E63270"/>
    <w:rsid w:val="00E634B6"/>
    <w:rsid w:val="00E63CBF"/>
    <w:rsid w:val="00E642E1"/>
    <w:rsid w:val="00E6491A"/>
    <w:rsid w:val="00E64E9E"/>
    <w:rsid w:val="00E64EE9"/>
    <w:rsid w:val="00E650C6"/>
    <w:rsid w:val="00E651BB"/>
    <w:rsid w:val="00E658A3"/>
    <w:rsid w:val="00E65EFE"/>
    <w:rsid w:val="00E660D9"/>
    <w:rsid w:val="00E66251"/>
    <w:rsid w:val="00E66416"/>
    <w:rsid w:val="00E67458"/>
    <w:rsid w:val="00E67A78"/>
    <w:rsid w:val="00E70182"/>
    <w:rsid w:val="00E70703"/>
    <w:rsid w:val="00E707D6"/>
    <w:rsid w:val="00E70ADF"/>
    <w:rsid w:val="00E71D89"/>
    <w:rsid w:val="00E71DAC"/>
    <w:rsid w:val="00E72578"/>
    <w:rsid w:val="00E727EE"/>
    <w:rsid w:val="00E72ABC"/>
    <w:rsid w:val="00E72BD1"/>
    <w:rsid w:val="00E72E2C"/>
    <w:rsid w:val="00E7305D"/>
    <w:rsid w:val="00E730C4"/>
    <w:rsid w:val="00E73939"/>
    <w:rsid w:val="00E739F5"/>
    <w:rsid w:val="00E7437A"/>
    <w:rsid w:val="00E74B3F"/>
    <w:rsid w:val="00E74B73"/>
    <w:rsid w:val="00E74C35"/>
    <w:rsid w:val="00E752E5"/>
    <w:rsid w:val="00E7534B"/>
    <w:rsid w:val="00E755DF"/>
    <w:rsid w:val="00E756FA"/>
    <w:rsid w:val="00E758CD"/>
    <w:rsid w:val="00E759CD"/>
    <w:rsid w:val="00E75A67"/>
    <w:rsid w:val="00E75D33"/>
    <w:rsid w:val="00E75D5D"/>
    <w:rsid w:val="00E75E10"/>
    <w:rsid w:val="00E7686D"/>
    <w:rsid w:val="00E76C71"/>
    <w:rsid w:val="00E76CE6"/>
    <w:rsid w:val="00E76F89"/>
    <w:rsid w:val="00E77A24"/>
    <w:rsid w:val="00E77D0D"/>
    <w:rsid w:val="00E8012C"/>
    <w:rsid w:val="00E80441"/>
    <w:rsid w:val="00E80EB0"/>
    <w:rsid w:val="00E811D9"/>
    <w:rsid w:val="00E815AE"/>
    <w:rsid w:val="00E818CB"/>
    <w:rsid w:val="00E828AA"/>
    <w:rsid w:val="00E83ED9"/>
    <w:rsid w:val="00E84185"/>
    <w:rsid w:val="00E8486C"/>
    <w:rsid w:val="00E84991"/>
    <w:rsid w:val="00E84AEC"/>
    <w:rsid w:val="00E84CDA"/>
    <w:rsid w:val="00E84F03"/>
    <w:rsid w:val="00E84F9E"/>
    <w:rsid w:val="00E8523D"/>
    <w:rsid w:val="00E8649A"/>
    <w:rsid w:val="00E8725D"/>
    <w:rsid w:val="00E877D2"/>
    <w:rsid w:val="00E878C2"/>
    <w:rsid w:val="00E878DD"/>
    <w:rsid w:val="00E87AB9"/>
    <w:rsid w:val="00E87B22"/>
    <w:rsid w:val="00E87C0D"/>
    <w:rsid w:val="00E87E9A"/>
    <w:rsid w:val="00E90134"/>
    <w:rsid w:val="00E90303"/>
    <w:rsid w:val="00E914F7"/>
    <w:rsid w:val="00E9192F"/>
    <w:rsid w:val="00E919E2"/>
    <w:rsid w:val="00E920C1"/>
    <w:rsid w:val="00E92769"/>
    <w:rsid w:val="00E92DE1"/>
    <w:rsid w:val="00E93137"/>
    <w:rsid w:val="00E936CC"/>
    <w:rsid w:val="00E93942"/>
    <w:rsid w:val="00E93ECE"/>
    <w:rsid w:val="00E940EC"/>
    <w:rsid w:val="00E945A2"/>
    <w:rsid w:val="00E9493E"/>
    <w:rsid w:val="00E94AB5"/>
    <w:rsid w:val="00E94C04"/>
    <w:rsid w:val="00E951DB"/>
    <w:rsid w:val="00E959A6"/>
    <w:rsid w:val="00E95A13"/>
    <w:rsid w:val="00E95CD4"/>
    <w:rsid w:val="00E95D2D"/>
    <w:rsid w:val="00E9652D"/>
    <w:rsid w:val="00E96918"/>
    <w:rsid w:val="00E97929"/>
    <w:rsid w:val="00E97A8B"/>
    <w:rsid w:val="00EA044F"/>
    <w:rsid w:val="00EA0581"/>
    <w:rsid w:val="00EA0D8A"/>
    <w:rsid w:val="00EA0E0B"/>
    <w:rsid w:val="00EA1A42"/>
    <w:rsid w:val="00EA283D"/>
    <w:rsid w:val="00EA3045"/>
    <w:rsid w:val="00EA36C3"/>
    <w:rsid w:val="00EA39D1"/>
    <w:rsid w:val="00EA3D13"/>
    <w:rsid w:val="00EA48CD"/>
    <w:rsid w:val="00EA4B94"/>
    <w:rsid w:val="00EA57A9"/>
    <w:rsid w:val="00EA5C97"/>
    <w:rsid w:val="00EA5F9F"/>
    <w:rsid w:val="00EA6B47"/>
    <w:rsid w:val="00EA7320"/>
    <w:rsid w:val="00EA7BBD"/>
    <w:rsid w:val="00EB0079"/>
    <w:rsid w:val="00EB03C7"/>
    <w:rsid w:val="00EB0702"/>
    <w:rsid w:val="00EB08D7"/>
    <w:rsid w:val="00EB20DD"/>
    <w:rsid w:val="00EB334F"/>
    <w:rsid w:val="00EB39A8"/>
    <w:rsid w:val="00EB3F6E"/>
    <w:rsid w:val="00EB481D"/>
    <w:rsid w:val="00EB4A5F"/>
    <w:rsid w:val="00EB4E98"/>
    <w:rsid w:val="00EB52FC"/>
    <w:rsid w:val="00EB5910"/>
    <w:rsid w:val="00EB5C1C"/>
    <w:rsid w:val="00EB61B1"/>
    <w:rsid w:val="00EB67F9"/>
    <w:rsid w:val="00EB6D70"/>
    <w:rsid w:val="00EB6FB4"/>
    <w:rsid w:val="00EB7754"/>
    <w:rsid w:val="00EB7BA8"/>
    <w:rsid w:val="00EC1E58"/>
    <w:rsid w:val="00EC2A8B"/>
    <w:rsid w:val="00EC2DD6"/>
    <w:rsid w:val="00EC2F70"/>
    <w:rsid w:val="00EC342A"/>
    <w:rsid w:val="00EC3480"/>
    <w:rsid w:val="00EC37B5"/>
    <w:rsid w:val="00EC48DA"/>
    <w:rsid w:val="00EC4B1B"/>
    <w:rsid w:val="00EC4C99"/>
    <w:rsid w:val="00EC4DB9"/>
    <w:rsid w:val="00EC523F"/>
    <w:rsid w:val="00EC556B"/>
    <w:rsid w:val="00EC5AEE"/>
    <w:rsid w:val="00EC6516"/>
    <w:rsid w:val="00EC69BD"/>
    <w:rsid w:val="00EC6FF3"/>
    <w:rsid w:val="00EC7060"/>
    <w:rsid w:val="00EC70F9"/>
    <w:rsid w:val="00EC7F7A"/>
    <w:rsid w:val="00ED0555"/>
    <w:rsid w:val="00ED0621"/>
    <w:rsid w:val="00ED0EEC"/>
    <w:rsid w:val="00ED14B1"/>
    <w:rsid w:val="00ED191F"/>
    <w:rsid w:val="00ED2387"/>
    <w:rsid w:val="00ED2684"/>
    <w:rsid w:val="00ED2D72"/>
    <w:rsid w:val="00ED301D"/>
    <w:rsid w:val="00ED447E"/>
    <w:rsid w:val="00ED4722"/>
    <w:rsid w:val="00ED4873"/>
    <w:rsid w:val="00ED4933"/>
    <w:rsid w:val="00ED4E4C"/>
    <w:rsid w:val="00ED4F9E"/>
    <w:rsid w:val="00ED50AF"/>
    <w:rsid w:val="00ED53EA"/>
    <w:rsid w:val="00ED5400"/>
    <w:rsid w:val="00ED5407"/>
    <w:rsid w:val="00ED619D"/>
    <w:rsid w:val="00ED6810"/>
    <w:rsid w:val="00ED72A1"/>
    <w:rsid w:val="00ED7B42"/>
    <w:rsid w:val="00EE0377"/>
    <w:rsid w:val="00EE0A6F"/>
    <w:rsid w:val="00EE0B0A"/>
    <w:rsid w:val="00EE0ECD"/>
    <w:rsid w:val="00EE164C"/>
    <w:rsid w:val="00EE1C02"/>
    <w:rsid w:val="00EE1E56"/>
    <w:rsid w:val="00EE1E71"/>
    <w:rsid w:val="00EE25DC"/>
    <w:rsid w:val="00EE299E"/>
    <w:rsid w:val="00EE2E66"/>
    <w:rsid w:val="00EE3185"/>
    <w:rsid w:val="00EE34E1"/>
    <w:rsid w:val="00EE365F"/>
    <w:rsid w:val="00EE36B0"/>
    <w:rsid w:val="00EE3B3F"/>
    <w:rsid w:val="00EE3FA4"/>
    <w:rsid w:val="00EE4184"/>
    <w:rsid w:val="00EE4402"/>
    <w:rsid w:val="00EE47CE"/>
    <w:rsid w:val="00EE56B9"/>
    <w:rsid w:val="00EE580A"/>
    <w:rsid w:val="00EE6658"/>
    <w:rsid w:val="00EE6A4C"/>
    <w:rsid w:val="00EE6DF3"/>
    <w:rsid w:val="00EE73CE"/>
    <w:rsid w:val="00EE7739"/>
    <w:rsid w:val="00EE7BA0"/>
    <w:rsid w:val="00EF071A"/>
    <w:rsid w:val="00EF0F39"/>
    <w:rsid w:val="00EF1064"/>
    <w:rsid w:val="00EF134B"/>
    <w:rsid w:val="00EF1A42"/>
    <w:rsid w:val="00EF1ED3"/>
    <w:rsid w:val="00EF2BE0"/>
    <w:rsid w:val="00EF2DB3"/>
    <w:rsid w:val="00EF3194"/>
    <w:rsid w:val="00EF3272"/>
    <w:rsid w:val="00EF328E"/>
    <w:rsid w:val="00EF341F"/>
    <w:rsid w:val="00EF350D"/>
    <w:rsid w:val="00EF3631"/>
    <w:rsid w:val="00EF381D"/>
    <w:rsid w:val="00EF40AD"/>
    <w:rsid w:val="00EF43CD"/>
    <w:rsid w:val="00EF45AE"/>
    <w:rsid w:val="00EF49B8"/>
    <w:rsid w:val="00EF4ECF"/>
    <w:rsid w:val="00EF515D"/>
    <w:rsid w:val="00EF5193"/>
    <w:rsid w:val="00EF5221"/>
    <w:rsid w:val="00EF530F"/>
    <w:rsid w:val="00EF55E9"/>
    <w:rsid w:val="00EF60AB"/>
    <w:rsid w:val="00EF6385"/>
    <w:rsid w:val="00EF6AEF"/>
    <w:rsid w:val="00EF6EAF"/>
    <w:rsid w:val="00EF6FDA"/>
    <w:rsid w:val="00EF77A4"/>
    <w:rsid w:val="00F00007"/>
    <w:rsid w:val="00F0048C"/>
    <w:rsid w:val="00F0068D"/>
    <w:rsid w:val="00F006F7"/>
    <w:rsid w:val="00F0111D"/>
    <w:rsid w:val="00F01A66"/>
    <w:rsid w:val="00F01BF0"/>
    <w:rsid w:val="00F023A3"/>
    <w:rsid w:val="00F024EB"/>
    <w:rsid w:val="00F027A1"/>
    <w:rsid w:val="00F030D9"/>
    <w:rsid w:val="00F030ED"/>
    <w:rsid w:val="00F033D1"/>
    <w:rsid w:val="00F03444"/>
    <w:rsid w:val="00F03A17"/>
    <w:rsid w:val="00F03CCC"/>
    <w:rsid w:val="00F03CF1"/>
    <w:rsid w:val="00F03DDD"/>
    <w:rsid w:val="00F044CB"/>
    <w:rsid w:val="00F04522"/>
    <w:rsid w:val="00F04B71"/>
    <w:rsid w:val="00F04DBD"/>
    <w:rsid w:val="00F04EB1"/>
    <w:rsid w:val="00F04EEF"/>
    <w:rsid w:val="00F05184"/>
    <w:rsid w:val="00F05E8E"/>
    <w:rsid w:val="00F06BCC"/>
    <w:rsid w:val="00F06F2B"/>
    <w:rsid w:val="00F07824"/>
    <w:rsid w:val="00F078CD"/>
    <w:rsid w:val="00F07909"/>
    <w:rsid w:val="00F079B7"/>
    <w:rsid w:val="00F07C5A"/>
    <w:rsid w:val="00F1015A"/>
    <w:rsid w:val="00F101AF"/>
    <w:rsid w:val="00F1060E"/>
    <w:rsid w:val="00F11237"/>
    <w:rsid w:val="00F118D9"/>
    <w:rsid w:val="00F11EAD"/>
    <w:rsid w:val="00F1247D"/>
    <w:rsid w:val="00F1274B"/>
    <w:rsid w:val="00F129D1"/>
    <w:rsid w:val="00F12A30"/>
    <w:rsid w:val="00F12D68"/>
    <w:rsid w:val="00F12DFC"/>
    <w:rsid w:val="00F136A6"/>
    <w:rsid w:val="00F13BE3"/>
    <w:rsid w:val="00F13F64"/>
    <w:rsid w:val="00F14077"/>
    <w:rsid w:val="00F147AE"/>
    <w:rsid w:val="00F14EDC"/>
    <w:rsid w:val="00F150EE"/>
    <w:rsid w:val="00F156C9"/>
    <w:rsid w:val="00F15704"/>
    <w:rsid w:val="00F1629A"/>
    <w:rsid w:val="00F16D31"/>
    <w:rsid w:val="00F17401"/>
    <w:rsid w:val="00F17654"/>
    <w:rsid w:val="00F17989"/>
    <w:rsid w:val="00F179A4"/>
    <w:rsid w:val="00F202B8"/>
    <w:rsid w:val="00F20CD1"/>
    <w:rsid w:val="00F21C29"/>
    <w:rsid w:val="00F21EB1"/>
    <w:rsid w:val="00F21FC2"/>
    <w:rsid w:val="00F222D8"/>
    <w:rsid w:val="00F22775"/>
    <w:rsid w:val="00F229F9"/>
    <w:rsid w:val="00F22B13"/>
    <w:rsid w:val="00F22F0B"/>
    <w:rsid w:val="00F233F0"/>
    <w:rsid w:val="00F23783"/>
    <w:rsid w:val="00F23D92"/>
    <w:rsid w:val="00F24CBC"/>
    <w:rsid w:val="00F24EC7"/>
    <w:rsid w:val="00F2575E"/>
    <w:rsid w:val="00F258CE"/>
    <w:rsid w:val="00F2689F"/>
    <w:rsid w:val="00F268AF"/>
    <w:rsid w:val="00F26A25"/>
    <w:rsid w:val="00F26B81"/>
    <w:rsid w:val="00F26C53"/>
    <w:rsid w:val="00F27498"/>
    <w:rsid w:val="00F274AE"/>
    <w:rsid w:val="00F27D8B"/>
    <w:rsid w:val="00F27F7E"/>
    <w:rsid w:val="00F301A7"/>
    <w:rsid w:val="00F3079F"/>
    <w:rsid w:val="00F30820"/>
    <w:rsid w:val="00F30860"/>
    <w:rsid w:val="00F30BDA"/>
    <w:rsid w:val="00F30BFD"/>
    <w:rsid w:val="00F3130E"/>
    <w:rsid w:val="00F31501"/>
    <w:rsid w:val="00F31D22"/>
    <w:rsid w:val="00F320DA"/>
    <w:rsid w:val="00F322E6"/>
    <w:rsid w:val="00F328C1"/>
    <w:rsid w:val="00F32B05"/>
    <w:rsid w:val="00F32B7A"/>
    <w:rsid w:val="00F32C24"/>
    <w:rsid w:val="00F32D14"/>
    <w:rsid w:val="00F33479"/>
    <w:rsid w:val="00F3352B"/>
    <w:rsid w:val="00F33DED"/>
    <w:rsid w:val="00F33E89"/>
    <w:rsid w:val="00F33F4C"/>
    <w:rsid w:val="00F344B1"/>
    <w:rsid w:val="00F3489D"/>
    <w:rsid w:val="00F349D7"/>
    <w:rsid w:val="00F34E20"/>
    <w:rsid w:val="00F35556"/>
    <w:rsid w:val="00F35682"/>
    <w:rsid w:val="00F35701"/>
    <w:rsid w:val="00F35BE2"/>
    <w:rsid w:val="00F35BE3"/>
    <w:rsid w:val="00F35EBA"/>
    <w:rsid w:val="00F35FB7"/>
    <w:rsid w:val="00F36440"/>
    <w:rsid w:val="00F368D9"/>
    <w:rsid w:val="00F3698F"/>
    <w:rsid w:val="00F376A7"/>
    <w:rsid w:val="00F4003B"/>
    <w:rsid w:val="00F4019A"/>
    <w:rsid w:val="00F40432"/>
    <w:rsid w:val="00F4069A"/>
    <w:rsid w:val="00F40F59"/>
    <w:rsid w:val="00F40F69"/>
    <w:rsid w:val="00F41385"/>
    <w:rsid w:val="00F4159A"/>
    <w:rsid w:val="00F41693"/>
    <w:rsid w:val="00F416B8"/>
    <w:rsid w:val="00F41D2D"/>
    <w:rsid w:val="00F4229B"/>
    <w:rsid w:val="00F426A6"/>
    <w:rsid w:val="00F428AD"/>
    <w:rsid w:val="00F42A8E"/>
    <w:rsid w:val="00F431D9"/>
    <w:rsid w:val="00F4325D"/>
    <w:rsid w:val="00F434E1"/>
    <w:rsid w:val="00F444BE"/>
    <w:rsid w:val="00F44A9A"/>
    <w:rsid w:val="00F45272"/>
    <w:rsid w:val="00F45D66"/>
    <w:rsid w:val="00F463CD"/>
    <w:rsid w:val="00F46744"/>
    <w:rsid w:val="00F46E05"/>
    <w:rsid w:val="00F47203"/>
    <w:rsid w:val="00F479EB"/>
    <w:rsid w:val="00F47EAD"/>
    <w:rsid w:val="00F50212"/>
    <w:rsid w:val="00F5152B"/>
    <w:rsid w:val="00F516D9"/>
    <w:rsid w:val="00F51C90"/>
    <w:rsid w:val="00F520A6"/>
    <w:rsid w:val="00F52223"/>
    <w:rsid w:val="00F526BA"/>
    <w:rsid w:val="00F5287C"/>
    <w:rsid w:val="00F53658"/>
    <w:rsid w:val="00F538C4"/>
    <w:rsid w:val="00F53A75"/>
    <w:rsid w:val="00F54094"/>
    <w:rsid w:val="00F5409D"/>
    <w:rsid w:val="00F5445F"/>
    <w:rsid w:val="00F5477F"/>
    <w:rsid w:val="00F5495E"/>
    <w:rsid w:val="00F54DA2"/>
    <w:rsid w:val="00F55212"/>
    <w:rsid w:val="00F55C0D"/>
    <w:rsid w:val="00F5695F"/>
    <w:rsid w:val="00F570D1"/>
    <w:rsid w:val="00F57468"/>
    <w:rsid w:val="00F57CB3"/>
    <w:rsid w:val="00F6078B"/>
    <w:rsid w:val="00F60BC6"/>
    <w:rsid w:val="00F60FA7"/>
    <w:rsid w:val="00F614CE"/>
    <w:rsid w:val="00F61E10"/>
    <w:rsid w:val="00F620B5"/>
    <w:rsid w:val="00F62345"/>
    <w:rsid w:val="00F62679"/>
    <w:rsid w:val="00F629A4"/>
    <w:rsid w:val="00F62CD8"/>
    <w:rsid w:val="00F630A8"/>
    <w:rsid w:val="00F633E6"/>
    <w:rsid w:val="00F638C9"/>
    <w:rsid w:val="00F63A52"/>
    <w:rsid w:val="00F63BCB"/>
    <w:rsid w:val="00F64247"/>
    <w:rsid w:val="00F64539"/>
    <w:rsid w:val="00F645E7"/>
    <w:rsid w:val="00F64A2A"/>
    <w:rsid w:val="00F64A71"/>
    <w:rsid w:val="00F64B37"/>
    <w:rsid w:val="00F64D6B"/>
    <w:rsid w:val="00F65113"/>
    <w:rsid w:val="00F659E1"/>
    <w:rsid w:val="00F65AFD"/>
    <w:rsid w:val="00F660B9"/>
    <w:rsid w:val="00F66506"/>
    <w:rsid w:val="00F66E05"/>
    <w:rsid w:val="00F6707F"/>
    <w:rsid w:val="00F67106"/>
    <w:rsid w:val="00F679FD"/>
    <w:rsid w:val="00F70617"/>
    <w:rsid w:val="00F70EB7"/>
    <w:rsid w:val="00F71360"/>
    <w:rsid w:val="00F71521"/>
    <w:rsid w:val="00F71791"/>
    <w:rsid w:val="00F7274E"/>
    <w:rsid w:val="00F72945"/>
    <w:rsid w:val="00F74242"/>
    <w:rsid w:val="00F74809"/>
    <w:rsid w:val="00F75888"/>
    <w:rsid w:val="00F758F7"/>
    <w:rsid w:val="00F759B1"/>
    <w:rsid w:val="00F76364"/>
    <w:rsid w:val="00F7660C"/>
    <w:rsid w:val="00F76969"/>
    <w:rsid w:val="00F76978"/>
    <w:rsid w:val="00F76C64"/>
    <w:rsid w:val="00F76D86"/>
    <w:rsid w:val="00F77C86"/>
    <w:rsid w:val="00F80078"/>
    <w:rsid w:val="00F800E1"/>
    <w:rsid w:val="00F807B5"/>
    <w:rsid w:val="00F809B7"/>
    <w:rsid w:val="00F80B12"/>
    <w:rsid w:val="00F80C1F"/>
    <w:rsid w:val="00F80C74"/>
    <w:rsid w:val="00F8142A"/>
    <w:rsid w:val="00F81B9E"/>
    <w:rsid w:val="00F82408"/>
    <w:rsid w:val="00F829D8"/>
    <w:rsid w:val="00F82B60"/>
    <w:rsid w:val="00F82C84"/>
    <w:rsid w:val="00F82DF8"/>
    <w:rsid w:val="00F82ECE"/>
    <w:rsid w:val="00F84140"/>
    <w:rsid w:val="00F84446"/>
    <w:rsid w:val="00F84663"/>
    <w:rsid w:val="00F84A4B"/>
    <w:rsid w:val="00F84C8D"/>
    <w:rsid w:val="00F85130"/>
    <w:rsid w:val="00F8547C"/>
    <w:rsid w:val="00F859F8"/>
    <w:rsid w:val="00F85E09"/>
    <w:rsid w:val="00F85F39"/>
    <w:rsid w:val="00F86279"/>
    <w:rsid w:val="00F867E9"/>
    <w:rsid w:val="00F86BD2"/>
    <w:rsid w:val="00F86F36"/>
    <w:rsid w:val="00F871FE"/>
    <w:rsid w:val="00F8746A"/>
    <w:rsid w:val="00F87D63"/>
    <w:rsid w:val="00F90A97"/>
    <w:rsid w:val="00F90DA7"/>
    <w:rsid w:val="00F914CE"/>
    <w:rsid w:val="00F928FD"/>
    <w:rsid w:val="00F92953"/>
    <w:rsid w:val="00F92CCD"/>
    <w:rsid w:val="00F93459"/>
    <w:rsid w:val="00F93695"/>
    <w:rsid w:val="00F937EB"/>
    <w:rsid w:val="00F93978"/>
    <w:rsid w:val="00F93C39"/>
    <w:rsid w:val="00F94CF5"/>
    <w:rsid w:val="00F94F91"/>
    <w:rsid w:val="00F957E7"/>
    <w:rsid w:val="00F95C60"/>
    <w:rsid w:val="00F9705A"/>
    <w:rsid w:val="00F9750D"/>
    <w:rsid w:val="00F975DB"/>
    <w:rsid w:val="00F97813"/>
    <w:rsid w:val="00F97A8B"/>
    <w:rsid w:val="00F97BB9"/>
    <w:rsid w:val="00F97E2E"/>
    <w:rsid w:val="00F97ED6"/>
    <w:rsid w:val="00FA1190"/>
    <w:rsid w:val="00FA130E"/>
    <w:rsid w:val="00FA18DF"/>
    <w:rsid w:val="00FA1A45"/>
    <w:rsid w:val="00FA29A2"/>
    <w:rsid w:val="00FA29E6"/>
    <w:rsid w:val="00FA2A60"/>
    <w:rsid w:val="00FA3FFA"/>
    <w:rsid w:val="00FA423C"/>
    <w:rsid w:val="00FA43F0"/>
    <w:rsid w:val="00FA4487"/>
    <w:rsid w:val="00FA45AB"/>
    <w:rsid w:val="00FA4A6F"/>
    <w:rsid w:val="00FA4A91"/>
    <w:rsid w:val="00FA52A6"/>
    <w:rsid w:val="00FA536F"/>
    <w:rsid w:val="00FA633E"/>
    <w:rsid w:val="00FA679F"/>
    <w:rsid w:val="00FA6D0D"/>
    <w:rsid w:val="00FA70A6"/>
    <w:rsid w:val="00FA7499"/>
    <w:rsid w:val="00FA7510"/>
    <w:rsid w:val="00FA77A5"/>
    <w:rsid w:val="00FA7843"/>
    <w:rsid w:val="00FA7B2B"/>
    <w:rsid w:val="00FA7BCB"/>
    <w:rsid w:val="00FB014B"/>
    <w:rsid w:val="00FB03B3"/>
    <w:rsid w:val="00FB0D06"/>
    <w:rsid w:val="00FB1478"/>
    <w:rsid w:val="00FB1E5F"/>
    <w:rsid w:val="00FB202F"/>
    <w:rsid w:val="00FB2087"/>
    <w:rsid w:val="00FB31FE"/>
    <w:rsid w:val="00FB33EE"/>
    <w:rsid w:val="00FB3898"/>
    <w:rsid w:val="00FB3B0B"/>
    <w:rsid w:val="00FB3EA4"/>
    <w:rsid w:val="00FB446E"/>
    <w:rsid w:val="00FB47DB"/>
    <w:rsid w:val="00FB4B84"/>
    <w:rsid w:val="00FB4C23"/>
    <w:rsid w:val="00FB4E54"/>
    <w:rsid w:val="00FB511F"/>
    <w:rsid w:val="00FB512A"/>
    <w:rsid w:val="00FB5496"/>
    <w:rsid w:val="00FB5979"/>
    <w:rsid w:val="00FB5A29"/>
    <w:rsid w:val="00FB67B6"/>
    <w:rsid w:val="00FB6EBF"/>
    <w:rsid w:val="00FB768B"/>
    <w:rsid w:val="00FB7F6C"/>
    <w:rsid w:val="00FB7FBD"/>
    <w:rsid w:val="00FC008E"/>
    <w:rsid w:val="00FC023C"/>
    <w:rsid w:val="00FC072A"/>
    <w:rsid w:val="00FC0D5A"/>
    <w:rsid w:val="00FC0E60"/>
    <w:rsid w:val="00FC0FCD"/>
    <w:rsid w:val="00FC11F5"/>
    <w:rsid w:val="00FC1598"/>
    <w:rsid w:val="00FC15FE"/>
    <w:rsid w:val="00FC17EB"/>
    <w:rsid w:val="00FC2489"/>
    <w:rsid w:val="00FC24BF"/>
    <w:rsid w:val="00FC2504"/>
    <w:rsid w:val="00FC2926"/>
    <w:rsid w:val="00FC2EBE"/>
    <w:rsid w:val="00FC3331"/>
    <w:rsid w:val="00FC343D"/>
    <w:rsid w:val="00FC3D7C"/>
    <w:rsid w:val="00FC4F9D"/>
    <w:rsid w:val="00FC54BD"/>
    <w:rsid w:val="00FC591B"/>
    <w:rsid w:val="00FC5ADD"/>
    <w:rsid w:val="00FC5E24"/>
    <w:rsid w:val="00FC5FE8"/>
    <w:rsid w:val="00FC614D"/>
    <w:rsid w:val="00FC6DAC"/>
    <w:rsid w:val="00FC73A2"/>
    <w:rsid w:val="00FC73E5"/>
    <w:rsid w:val="00FC749F"/>
    <w:rsid w:val="00FC75D9"/>
    <w:rsid w:val="00FC76D8"/>
    <w:rsid w:val="00FC7854"/>
    <w:rsid w:val="00FC7E76"/>
    <w:rsid w:val="00FC7EDB"/>
    <w:rsid w:val="00FD1020"/>
    <w:rsid w:val="00FD126B"/>
    <w:rsid w:val="00FD143B"/>
    <w:rsid w:val="00FD1EB7"/>
    <w:rsid w:val="00FD1ECE"/>
    <w:rsid w:val="00FD2987"/>
    <w:rsid w:val="00FD2AE8"/>
    <w:rsid w:val="00FD2C1F"/>
    <w:rsid w:val="00FD3302"/>
    <w:rsid w:val="00FD336B"/>
    <w:rsid w:val="00FD362D"/>
    <w:rsid w:val="00FD37FF"/>
    <w:rsid w:val="00FD3A78"/>
    <w:rsid w:val="00FD471B"/>
    <w:rsid w:val="00FD489C"/>
    <w:rsid w:val="00FD4BCB"/>
    <w:rsid w:val="00FD5293"/>
    <w:rsid w:val="00FD5503"/>
    <w:rsid w:val="00FD5655"/>
    <w:rsid w:val="00FD5C25"/>
    <w:rsid w:val="00FD61C5"/>
    <w:rsid w:val="00FD6CA3"/>
    <w:rsid w:val="00FD74E7"/>
    <w:rsid w:val="00FD7799"/>
    <w:rsid w:val="00FD7FD2"/>
    <w:rsid w:val="00FE0570"/>
    <w:rsid w:val="00FE08F6"/>
    <w:rsid w:val="00FE0D71"/>
    <w:rsid w:val="00FE1A80"/>
    <w:rsid w:val="00FE1D15"/>
    <w:rsid w:val="00FE1E8E"/>
    <w:rsid w:val="00FE30DE"/>
    <w:rsid w:val="00FE39AE"/>
    <w:rsid w:val="00FE3B89"/>
    <w:rsid w:val="00FE48A1"/>
    <w:rsid w:val="00FE500F"/>
    <w:rsid w:val="00FE555F"/>
    <w:rsid w:val="00FE5D27"/>
    <w:rsid w:val="00FE6065"/>
    <w:rsid w:val="00FE60C1"/>
    <w:rsid w:val="00FE715E"/>
    <w:rsid w:val="00FE7850"/>
    <w:rsid w:val="00FE793E"/>
    <w:rsid w:val="00FE7CB4"/>
    <w:rsid w:val="00FE7DFB"/>
    <w:rsid w:val="00FF0046"/>
    <w:rsid w:val="00FF0601"/>
    <w:rsid w:val="00FF07EF"/>
    <w:rsid w:val="00FF0E25"/>
    <w:rsid w:val="00FF1385"/>
    <w:rsid w:val="00FF15AD"/>
    <w:rsid w:val="00FF1714"/>
    <w:rsid w:val="00FF1884"/>
    <w:rsid w:val="00FF239D"/>
    <w:rsid w:val="00FF2992"/>
    <w:rsid w:val="00FF2998"/>
    <w:rsid w:val="00FF2CA4"/>
    <w:rsid w:val="00FF32B0"/>
    <w:rsid w:val="00FF3529"/>
    <w:rsid w:val="00FF3B7F"/>
    <w:rsid w:val="00FF40EC"/>
    <w:rsid w:val="00FF4175"/>
    <w:rsid w:val="00FF41C9"/>
    <w:rsid w:val="00FF452F"/>
    <w:rsid w:val="00FF45CA"/>
    <w:rsid w:val="00FF48BE"/>
    <w:rsid w:val="00FF5040"/>
    <w:rsid w:val="00FF565D"/>
    <w:rsid w:val="00FF5BE2"/>
    <w:rsid w:val="00FF622E"/>
    <w:rsid w:val="00FF6773"/>
    <w:rsid w:val="00FF685E"/>
    <w:rsid w:val="00FF6A32"/>
    <w:rsid w:val="00FF6C94"/>
    <w:rsid w:val="00FF7173"/>
    <w:rsid w:val="00FF7D7A"/>
    <w:rsid w:val="0145EF1C"/>
    <w:rsid w:val="01A84CBE"/>
    <w:rsid w:val="01BCAE16"/>
    <w:rsid w:val="01C44294"/>
    <w:rsid w:val="0212F175"/>
    <w:rsid w:val="02169D73"/>
    <w:rsid w:val="024C925B"/>
    <w:rsid w:val="025DDC17"/>
    <w:rsid w:val="027D81AC"/>
    <w:rsid w:val="02AF020A"/>
    <w:rsid w:val="02C815D3"/>
    <w:rsid w:val="02D4DBDB"/>
    <w:rsid w:val="02D8E9FC"/>
    <w:rsid w:val="02FB8E1B"/>
    <w:rsid w:val="0311A6C4"/>
    <w:rsid w:val="0323DC09"/>
    <w:rsid w:val="0330D741"/>
    <w:rsid w:val="037088E3"/>
    <w:rsid w:val="03ADC048"/>
    <w:rsid w:val="04006139"/>
    <w:rsid w:val="0446F594"/>
    <w:rsid w:val="044DAECA"/>
    <w:rsid w:val="047F33E6"/>
    <w:rsid w:val="04EA0EEC"/>
    <w:rsid w:val="04F63752"/>
    <w:rsid w:val="050C9089"/>
    <w:rsid w:val="053B39AF"/>
    <w:rsid w:val="05682FE0"/>
    <w:rsid w:val="059DE019"/>
    <w:rsid w:val="05C56219"/>
    <w:rsid w:val="05DA6410"/>
    <w:rsid w:val="05DAEE9A"/>
    <w:rsid w:val="05E06340"/>
    <w:rsid w:val="05E97F2B"/>
    <w:rsid w:val="05EBB313"/>
    <w:rsid w:val="064944C1"/>
    <w:rsid w:val="06897F0B"/>
    <w:rsid w:val="068C1094"/>
    <w:rsid w:val="06A04F4B"/>
    <w:rsid w:val="06AB353C"/>
    <w:rsid w:val="06BBE793"/>
    <w:rsid w:val="0714BB87"/>
    <w:rsid w:val="076BE18C"/>
    <w:rsid w:val="07F03336"/>
    <w:rsid w:val="082CC568"/>
    <w:rsid w:val="087E09CF"/>
    <w:rsid w:val="08C1D711"/>
    <w:rsid w:val="08D2C7E0"/>
    <w:rsid w:val="08DE4BD3"/>
    <w:rsid w:val="08E05BF5"/>
    <w:rsid w:val="0907B1ED"/>
    <w:rsid w:val="09EA433E"/>
    <w:rsid w:val="0A049BEE"/>
    <w:rsid w:val="0A2EEA03"/>
    <w:rsid w:val="0A3A2553"/>
    <w:rsid w:val="0A3BC318"/>
    <w:rsid w:val="0A694857"/>
    <w:rsid w:val="0A9CC5F0"/>
    <w:rsid w:val="0B0456FE"/>
    <w:rsid w:val="0B17E701"/>
    <w:rsid w:val="0B1C506B"/>
    <w:rsid w:val="0B3A87B6"/>
    <w:rsid w:val="0B4A67FF"/>
    <w:rsid w:val="0B4EA955"/>
    <w:rsid w:val="0B663CA4"/>
    <w:rsid w:val="0B86139F"/>
    <w:rsid w:val="0BABE74D"/>
    <w:rsid w:val="0BAECA00"/>
    <w:rsid w:val="0BF4E44C"/>
    <w:rsid w:val="0C462353"/>
    <w:rsid w:val="0C4DAB37"/>
    <w:rsid w:val="0C6CDF18"/>
    <w:rsid w:val="0C8BFB2C"/>
    <w:rsid w:val="0CB71AAA"/>
    <w:rsid w:val="0CEB96DD"/>
    <w:rsid w:val="0CFD365B"/>
    <w:rsid w:val="0D62837C"/>
    <w:rsid w:val="0DCEB65B"/>
    <w:rsid w:val="0DD24CC8"/>
    <w:rsid w:val="0DDB0871"/>
    <w:rsid w:val="0DED688B"/>
    <w:rsid w:val="0DEFE44F"/>
    <w:rsid w:val="0EAD63E3"/>
    <w:rsid w:val="0EADD11B"/>
    <w:rsid w:val="0EB0B24F"/>
    <w:rsid w:val="0ECB9797"/>
    <w:rsid w:val="0EF9C1AB"/>
    <w:rsid w:val="0F3551AB"/>
    <w:rsid w:val="0F968300"/>
    <w:rsid w:val="0FB8EEFF"/>
    <w:rsid w:val="0FBABC6B"/>
    <w:rsid w:val="0FBBADB0"/>
    <w:rsid w:val="10267AB4"/>
    <w:rsid w:val="1034C031"/>
    <w:rsid w:val="1051C0D8"/>
    <w:rsid w:val="10621CF1"/>
    <w:rsid w:val="10842464"/>
    <w:rsid w:val="1095920C"/>
    <w:rsid w:val="10FD2B51"/>
    <w:rsid w:val="112CFB4B"/>
    <w:rsid w:val="1158379A"/>
    <w:rsid w:val="116D36F0"/>
    <w:rsid w:val="1193396E"/>
    <w:rsid w:val="11B7D4D4"/>
    <w:rsid w:val="121E3BE8"/>
    <w:rsid w:val="1226D636"/>
    <w:rsid w:val="12770A69"/>
    <w:rsid w:val="1283E76E"/>
    <w:rsid w:val="129922EC"/>
    <w:rsid w:val="12E4EB94"/>
    <w:rsid w:val="130B6B0C"/>
    <w:rsid w:val="131202A5"/>
    <w:rsid w:val="132F6E76"/>
    <w:rsid w:val="136330C9"/>
    <w:rsid w:val="13DCDA0E"/>
    <w:rsid w:val="13DFBCA5"/>
    <w:rsid w:val="13E59247"/>
    <w:rsid w:val="13E82F95"/>
    <w:rsid w:val="14288865"/>
    <w:rsid w:val="143AA4FB"/>
    <w:rsid w:val="14493895"/>
    <w:rsid w:val="1461453C"/>
    <w:rsid w:val="14BF0DF3"/>
    <w:rsid w:val="1519F4A6"/>
    <w:rsid w:val="15756B83"/>
    <w:rsid w:val="15F58E66"/>
    <w:rsid w:val="15FD159D"/>
    <w:rsid w:val="160212B6"/>
    <w:rsid w:val="162AAC9E"/>
    <w:rsid w:val="162E9C0E"/>
    <w:rsid w:val="16B662CB"/>
    <w:rsid w:val="16E8F490"/>
    <w:rsid w:val="16FCAAFF"/>
    <w:rsid w:val="17580D75"/>
    <w:rsid w:val="17792F0E"/>
    <w:rsid w:val="17C3B9A9"/>
    <w:rsid w:val="17FF24A6"/>
    <w:rsid w:val="187B872E"/>
    <w:rsid w:val="18EE552E"/>
    <w:rsid w:val="1960EC9A"/>
    <w:rsid w:val="198FF906"/>
    <w:rsid w:val="19C86D84"/>
    <w:rsid w:val="1A293FE8"/>
    <w:rsid w:val="1A4D17B1"/>
    <w:rsid w:val="1A4EED16"/>
    <w:rsid w:val="1A6D4A0F"/>
    <w:rsid w:val="1AD086C0"/>
    <w:rsid w:val="1B532C2A"/>
    <w:rsid w:val="1B546195"/>
    <w:rsid w:val="1BDFBD6E"/>
    <w:rsid w:val="1C3D24B6"/>
    <w:rsid w:val="1C52B4ED"/>
    <w:rsid w:val="1C5B4B68"/>
    <w:rsid w:val="1CB75F03"/>
    <w:rsid w:val="1CBE2C0B"/>
    <w:rsid w:val="1CC134C0"/>
    <w:rsid w:val="1CC478AF"/>
    <w:rsid w:val="1CE86533"/>
    <w:rsid w:val="1CEF9FD3"/>
    <w:rsid w:val="1D102092"/>
    <w:rsid w:val="1D56CDAD"/>
    <w:rsid w:val="1DE0E9AC"/>
    <w:rsid w:val="1EAE3F53"/>
    <w:rsid w:val="1F0C79B0"/>
    <w:rsid w:val="1F6A886A"/>
    <w:rsid w:val="1F712D52"/>
    <w:rsid w:val="1F74A5FE"/>
    <w:rsid w:val="1FA1B13F"/>
    <w:rsid w:val="1FC8E3A3"/>
    <w:rsid w:val="1FC91BF4"/>
    <w:rsid w:val="1FCA14DA"/>
    <w:rsid w:val="1FDC5004"/>
    <w:rsid w:val="1FF110CF"/>
    <w:rsid w:val="200FC73D"/>
    <w:rsid w:val="20229B84"/>
    <w:rsid w:val="2055FBE6"/>
    <w:rsid w:val="208C92F9"/>
    <w:rsid w:val="20A31B6B"/>
    <w:rsid w:val="20BC5935"/>
    <w:rsid w:val="20C185BC"/>
    <w:rsid w:val="20D69A2A"/>
    <w:rsid w:val="2127FEDA"/>
    <w:rsid w:val="214CE850"/>
    <w:rsid w:val="21599B28"/>
    <w:rsid w:val="2174E2C4"/>
    <w:rsid w:val="218595BC"/>
    <w:rsid w:val="218E90D3"/>
    <w:rsid w:val="21A863D1"/>
    <w:rsid w:val="21B1AC10"/>
    <w:rsid w:val="21E5F88A"/>
    <w:rsid w:val="2254E941"/>
    <w:rsid w:val="22A9DBEB"/>
    <w:rsid w:val="22C0594E"/>
    <w:rsid w:val="22D18B7E"/>
    <w:rsid w:val="23066D1F"/>
    <w:rsid w:val="2337E5E8"/>
    <w:rsid w:val="240A0D07"/>
    <w:rsid w:val="241C750E"/>
    <w:rsid w:val="243120D4"/>
    <w:rsid w:val="2449EBC3"/>
    <w:rsid w:val="247CD6A5"/>
    <w:rsid w:val="249ABC17"/>
    <w:rsid w:val="249B8C1E"/>
    <w:rsid w:val="24D00BC6"/>
    <w:rsid w:val="2528C4C0"/>
    <w:rsid w:val="254DE3DE"/>
    <w:rsid w:val="25A0134E"/>
    <w:rsid w:val="25B0D437"/>
    <w:rsid w:val="25E25741"/>
    <w:rsid w:val="266A64EE"/>
    <w:rsid w:val="26B72C0A"/>
    <w:rsid w:val="26C49521"/>
    <w:rsid w:val="27926FDE"/>
    <w:rsid w:val="279B4A91"/>
    <w:rsid w:val="27ABB946"/>
    <w:rsid w:val="27C0A0B5"/>
    <w:rsid w:val="27C45D54"/>
    <w:rsid w:val="27F347D4"/>
    <w:rsid w:val="280DFD50"/>
    <w:rsid w:val="283FE812"/>
    <w:rsid w:val="283FEAB3"/>
    <w:rsid w:val="28737F61"/>
    <w:rsid w:val="28970D66"/>
    <w:rsid w:val="28A9C9C6"/>
    <w:rsid w:val="28CE71F9"/>
    <w:rsid w:val="28EFE306"/>
    <w:rsid w:val="2917C50C"/>
    <w:rsid w:val="295580AA"/>
    <w:rsid w:val="2956855A"/>
    <w:rsid w:val="29797F57"/>
    <w:rsid w:val="29844494"/>
    <w:rsid w:val="2999D5D7"/>
    <w:rsid w:val="29C88B5B"/>
    <w:rsid w:val="2A0EC8EF"/>
    <w:rsid w:val="2A8F8944"/>
    <w:rsid w:val="2AA5997F"/>
    <w:rsid w:val="2AC432ED"/>
    <w:rsid w:val="2AD31AB6"/>
    <w:rsid w:val="2AF2F834"/>
    <w:rsid w:val="2B1637C2"/>
    <w:rsid w:val="2B181038"/>
    <w:rsid w:val="2B19A769"/>
    <w:rsid w:val="2B36E450"/>
    <w:rsid w:val="2B3DD611"/>
    <w:rsid w:val="2B54B1D3"/>
    <w:rsid w:val="2B5B2BF9"/>
    <w:rsid w:val="2B63DAED"/>
    <w:rsid w:val="2B8F6E1D"/>
    <w:rsid w:val="2BAE64D9"/>
    <w:rsid w:val="2BC4FE8D"/>
    <w:rsid w:val="2BD945F3"/>
    <w:rsid w:val="2C366E59"/>
    <w:rsid w:val="2C5136CE"/>
    <w:rsid w:val="2C8A6871"/>
    <w:rsid w:val="2CA349D9"/>
    <w:rsid w:val="2CF4E818"/>
    <w:rsid w:val="2CF71259"/>
    <w:rsid w:val="2D4C04C8"/>
    <w:rsid w:val="2DE22878"/>
    <w:rsid w:val="2DFAB99A"/>
    <w:rsid w:val="2E0681E2"/>
    <w:rsid w:val="2E0BC7E4"/>
    <w:rsid w:val="2E240A10"/>
    <w:rsid w:val="2E2638D2"/>
    <w:rsid w:val="2E4D9D22"/>
    <w:rsid w:val="2E6473CC"/>
    <w:rsid w:val="2F05E1D7"/>
    <w:rsid w:val="2F16E176"/>
    <w:rsid w:val="2F9631F4"/>
    <w:rsid w:val="30DC4A82"/>
    <w:rsid w:val="30F9B7D6"/>
    <w:rsid w:val="31046424"/>
    <w:rsid w:val="311B725B"/>
    <w:rsid w:val="31593D65"/>
    <w:rsid w:val="319DD02B"/>
    <w:rsid w:val="31AD1795"/>
    <w:rsid w:val="31D31C71"/>
    <w:rsid w:val="320E43E3"/>
    <w:rsid w:val="329F2D4B"/>
    <w:rsid w:val="32B595FA"/>
    <w:rsid w:val="333AE810"/>
    <w:rsid w:val="333E854A"/>
    <w:rsid w:val="335CCCCC"/>
    <w:rsid w:val="33615602"/>
    <w:rsid w:val="33817963"/>
    <w:rsid w:val="338F6362"/>
    <w:rsid w:val="33A02019"/>
    <w:rsid w:val="33B971D6"/>
    <w:rsid w:val="33BB691A"/>
    <w:rsid w:val="33FB6069"/>
    <w:rsid w:val="341868EB"/>
    <w:rsid w:val="342377F4"/>
    <w:rsid w:val="344A26C0"/>
    <w:rsid w:val="349543D2"/>
    <w:rsid w:val="34ADD86A"/>
    <w:rsid w:val="34D96C37"/>
    <w:rsid w:val="34E3EDB4"/>
    <w:rsid w:val="354F93C9"/>
    <w:rsid w:val="35BCB2DB"/>
    <w:rsid w:val="35BF4855"/>
    <w:rsid w:val="35CAD232"/>
    <w:rsid w:val="35D87B4A"/>
    <w:rsid w:val="3629CF72"/>
    <w:rsid w:val="363A8F77"/>
    <w:rsid w:val="364E8CD5"/>
    <w:rsid w:val="368088B8"/>
    <w:rsid w:val="3688FB71"/>
    <w:rsid w:val="369B4E33"/>
    <w:rsid w:val="3707663E"/>
    <w:rsid w:val="370E72A5"/>
    <w:rsid w:val="375A7E32"/>
    <w:rsid w:val="37CE407C"/>
    <w:rsid w:val="37DABA21"/>
    <w:rsid w:val="37FD4B28"/>
    <w:rsid w:val="3863BF10"/>
    <w:rsid w:val="38745E3D"/>
    <w:rsid w:val="3882B7D1"/>
    <w:rsid w:val="38A03A69"/>
    <w:rsid w:val="38CF5862"/>
    <w:rsid w:val="38E043C2"/>
    <w:rsid w:val="38FF78AD"/>
    <w:rsid w:val="394340C9"/>
    <w:rsid w:val="394F28EC"/>
    <w:rsid w:val="395A5372"/>
    <w:rsid w:val="395F232D"/>
    <w:rsid w:val="397D86A0"/>
    <w:rsid w:val="39B18B0D"/>
    <w:rsid w:val="39D48343"/>
    <w:rsid w:val="3A0B69F5"/>
    <w:rsid w:val="3A789100"/>
    <w:rsid w:val="3AC190D3"/>
    <w:rsid w:val="3AC496E7"/>
    <w:rsid w:val="3AC514CA"/>
    <w:rsid w:val="3ACBDC8D"/>
    <w:rsid w:val="3AE9544A"/>
    <w:rsid w:val="3AEA7227"/>
    <w:rsid w:val="3AFF4637"/>
    <w:rsid w:val="3B3027CC"/>
    <w:rsid w:val="3B3034B0"/>
    <w:rsid w:val="3B48B7B6"/>
    <w:rsid w:val="3BE88505"/>
    <w:rsid w:val="3BFC9709"/>
    <w:rsid w:val="3C1D2C29"/>
    <w:rsid w:val="3C665EA0"/>
    <w:rsid w:val="3D2D7BAF"/>
    <w:rsid w:val="3D30C77E"/>
    <w:rsid w:val="3D55F0A3"/>
    <w:rsid w:val="3D76DFF2"/>
    <w:rsid w:val="3D982EFC"/>
    <w:rsid w:val="3DFE7DDF"/>
    <w:rsid w:val="3E183F85"/>
    <w:rsid w:val="3E51A69C"/>
    <w:rsid w:val="3E71B8EA"/>
    <w:rsid w:val="3E7C6E77"/>
    <w:rsid w:val="3E8C9662"/>
    <w:rsid w:val="3E91A55D"/>
    <w:rsid w:val="3E923E5D"/>
    <w:rsid w:val="3ED6BB08"/>
    <w:rsid w:val="3EEF60A4"/>
    <w:rsid w:val="3F26793B"/>
    <w:rsid w:val="3F2BA33F"/>
    <w:rsid w:val="3F2E22A3"/>
    <w:rsid w:val="3F7C576D"/>
    <w:rsid w:val="3F89D471"/>
    <w:rsid w:val="3FFE8A96"/>
    <w:rsid w:val="402B3AAD"/>
    <w:rsid w:val="40AC3900"/>
    <w:rsid w:val="413A6430"/>
    <w:rsid w:val="414132CD"/>
    <w:rsid w:val="417FA88F"/>
    <w:rsid w:val="418079BD"/>
    <w:rsid w:val="41B2E049"/>
    <w:rsid w:val="41F8D774"/>
    <w:rsid w:val="4221B70D"/>
    <w:rsid w:val="422EE104"/>
    <w:rsid w:val="428754BC"/>
    <w:rsid w:val="42CC16D3"/>
    <w:rsid w:val="42E4C4C8"/>
    <w:rsid w:val="433A6D61"/>
    <w:rsid w:val="43541297"/>
    <w:rsid w:val="4371CA4C"/>
    <w:rsid w:val="43975114"/>
    <w:rsid w:val="43CAB165"/>
    <w:rsid w:val="43D62D65"/>
    <w:rsid w:val="4403F1A6"/>
    <w:rsid w:val="44108CA2"/>
    <w:rsid w:val="44997A44"/>
    <w:rsid w:val="44B4886D"/>
    <w:rsid w:val="44D501DC"/>
    <w:rsid w:val="44D6A7E8"/>
    <w:rsid w:val="44E9A14A"/>
    <w:rsid w:val="450968DD"/>
    <w:rsid w:val="457FE4F8"/>
    <w:rsid w:val="45D768C2"/>
    <w:rsid w:val="4605551A"/>
    <w:rsid w:val="46200F2D"/>
    <w:rsid w:val="465219E0"/>
    <w:rsid w:val="4678318E"/>
    <w:rsid w:val="469EECE9"/>
    <w:rsid w:val="46DC01E5"/>
    <w:rsid w:val="470099BB"/>
    <w:rsid w:val="47135B98"/>
    <w:rsid w:val="472140D5"/>
    <w:rsid w:val="475FD585"/>
    <w:rsid w:val="47D848DB"/>
    <w:rsid w:val="47DD2FFC"/>
    <w:rsid w:val="47E74E0B"/>
    <w:rsid w:val="47F6311A"/>
    <w:rsid w:val="4892B578"/>
    <w:rsid w:val="48A29EAD"/>
    <w:rsid w:val="48D9F27F"/>
    <w:rsid w:val="49331C55"/>
    <w:rsid w:val="49AD547C"/>
    <w:rsid w:val="49C0E010"/>
    <w:rsid w:val="4A351315"/>
    <w:rsid w:val="4A36FD26"/>
    <w:rsid w:val="4A39F2E9"/>
    <w:rsid w:val="4A4860B7"/>
    <w:rsid w:val="4A4AFC5A"/>
    <w:rsid w:val="4A4EFEFA"/>
    <w:rsid w:val="4A7A6D34"/>
    <w:rsid w:val="4A8C0013"/>
    <w:rsid w:val="4A987BB1"/>
    <w:rsid w:val="4ACB87BA"/>
    <w:rsid w:val="4AE79D82"/>
    <w:rsid w:val="4B1F20A3"/>
    <w:rsid w:val="4B2B24EE"/>
    <w:rsid w:val="4B35432F"/>
    <w:rsid w:val="4B87090D"/>
    <w:rsid w:val="4BA2D096"/>
    <w:rsid w:val="4BCD725B"/>
    <w:rsid w:val="4BCD918C"/>
    <w:rsid w:val="4BD0F0F1"/>
    <w:rsid w:val="4C07B337"/>
    <w:rsid w:val="4C3981A9"/>
    <w:rsid w:val="4C4C9B29"/>
    <w:rsid w:val="4D334523"/>
    <w:rsid w:val="4D9A853C"/>
    <w:rsid w:val="4DEA4946"/>
    <w:rsid w:val="4E0405A2"/>
    <w:rsid w:val="4E113499"/>
    <w:rsid w:val="4E2DE730"/>
    <w:rsid w:val="4E72D1C1"/>
    <w:rsid w:val="4E91D61C"/>
    <w:rsid w:val="4ED0A1AC"/>
    <w:rsid w:val="4ED6DAEB"/>
    <w:rsid w:val="4F05324E"/>
    <w:rsid w:val="4F64484A"/>
    <w:rsid w:val="4F6B1DCC"/>
    <w:rsid w:val="4FA40C86"/>
    <w:rsid w:val="4FBADEB7"/>
    <w:rsid w:val="4FCF7A08"/>
    <w:rsid w:val="4FD1A180"/>
    <w:rsid w:val="502B9E1F"/>
    <w:rsid w:val="50701BF0"/>
    <w:rsid w:val="50A102AF"/>
    <w:rsid w:val="50B9C8C0"/>
    <w:rsid w:val="50D722D2"/>
    <w:rsid w:val="50ECA935"/>
    <w:rsid w:val="50F56BEA"/>
    <w:rsid w:val="510E7AD0"/>
    <w:rsid w:val="51306499"/>
    <w:rsid w:val="515D6F45"/>
    <w:rsid w:val="5162EEF7"/>
    <w:rsid w:val="516B9301"/>
    <w:rsid w:val="518C531C"/>
    <w:rsid w:val="51C06BFB"/>
    <w:rsid w:val="51CA912F"/>
    <w:rsid w:val="52ABBA6E"/>
    <w:rsid w:val="52B1D209"/>
    <w:rsid w:val="530E9F17"/>
    <w:rsid w:val="5314802E"/>
    <w:rsid w:val="53A51FF4"/>
    <w:rsid w:val="53AE9431"/>
    <w:rsid w:val="53B99F7A"/>
    <w:rsid w:val="53F8D16A"/>
    <w:rsid w:val="540AB6D3"/>
    <w:rsid w:val="5448C8E7"/>
    <w:rsid w:val="547F5125"/>
    <w:rsid w:val="548E82AB"/>
    <w:rsid w:val="54C4238E"/>
    <w:rsid w:val="54C82081"/>
    <w:rsid w:val="54DB6CA0"/>
    <w:rsid w:val="5507B29A"/>
    <w:rsid w:val="557849AF"/>
    <w:rsid w:val="55A6A338"/>
    <w:rsid w:val="55A807B1"/>
    <w:rsid w:val="55CDE8EF"/>
    <w:rsid w:val="55D3A20F"/>
    <w:rsid w:val="563AD5A8"/>
    <w:rsid w:val="569AD56A"/>
    <w:rsid w:val="56B5915E"/>
    <w:rsid w:val="57190F58"/>
    <w:rsid w:val="57A880C5"/>
    <w:rsid w:val="57BE7E8B"/>
    <w:rsid w:val="57CD7880"/>
    <w:rsid w:val="57CFB59D"/>
    <w:rsid w:val="589095E4"/>
    <w:rsid w:val="58C54FC3"/>
    <w:rsid w:val="58CFC141"/>
    <w:rsid w:val="5954594F"/>
    <w:rsid w:val="595D390D"/>
    <w:rsid w:val="5960ECB6"/>
    <w:rsid w:val="597E61C9"/>
    <w:rsid w:val="5A090100"/>
    <w:rsid w:val="5A156F04"/>
    <w:rsid w:val="5A728497"/>
    <w:rsid w:val="5ABA868C"/>
    <w:rsid w:val="5AC43901"/>
    <w:rsid w:val="5B43D9A6"/>
    <w:rsid w:val="5B61D6CD"/>
    <w:rsid w:val="5B8E96E6"/>
    <w:rsid w:val="5B9DB751"/>
    <w:rsid w:val="5C369F7F"/>
    <w:rsid w:val="5C748286"/>
    <w:rsid w:val="5C93ECB8"/>
    <w:rsid w:val="5D005D7B"/>
    <w:rsid w:val="5DF4ADF5"/>
    <w:rsid w:val="5DFE99EC"/>
    <w:rsid w:val="5E0FA439"/>
    <w:rsid w:val="5E18C7AB"/>
    <w:rsid w:val="5E1D3F2E"/>
    <w:rsid w:val="5E25189F"/>
    <w:rsid w:val="5E335AFC"/>
    <w:rsid w:val="5E6EC25C"/>
    <w:rsid w:val="5E8B594E"/>
    <w:rsid w:val="5EEB6A8C"/>
    <w:rsid w:val="5F3C91A5"/>
    <w:rsid w:val="5F54A643"/>
    <w:rsid w:val="5F93C647"/>
    <w:rsid w:val="608A5659"/>
    <w:rsid w:val="608E0FE7"/>
    <w:rsid w:val="609327CC"/>
    <w:rsid w:val="60AE1D60"/>
    <w:rsid w:val="60BF833E"/>
    <w:rsid w:val="60C401A6"/>
    <w:rsid w:val="60C8D296"/>
    <w:rsid w:val="60D797C5"/>
    <w:rsid w:val="60D8C814"/>
    <w:rsid w:val="61339064"/>
    <w:rsid w:val="6230E6DF"/>
    <w:rsid w:val="6245ED4C"/>
    <w:rsid w:val="625D47CD"/>
    <w:rsid w:val="628B55B2"/>
    <w:rsid w:val="62DCA1E0"/>
    <w:rsid w:val="635FF4FC"/>
    <w:rsid w:val="6382F0F8"/>
    <w:rsid w:val="63C899CC"/>
    <w:rsid w:val="64E29D00"/>
    <w:rsid w:val="64FC22E9"/>
    <w:rsid w:val="65205384"/>
    <w:rsid w:val="6534C0F1"/>
    <w:rsid w:val="65C0D363"/>
    <w:rsid w:val="65F27378"/>
    <w:rsid w:val="661DCA3A"/>
    <w:rsid w:val="662378E3"/>
    <w:rsid w:val="665BFEFC"/>
    <w:rsid w:val="66755176"/>
    <w:rsid w:val="66CFE30D"/>
    <w:rsid w:val="66DA4445"/>
    <w:rsid w:val="67B94B24"/>
    <w:rsid w:val="681A3DC2"/>
    <w:rsid w:val="6833661F"/>
    <w:rsid w:val="68343B0F"/>
    <w:rsid w:val="68468970"/>
    <w:rsid w:val="6854C76D"/>
    <w:rsid w:val="68A80367"/>
    <w:rsid w:val="68A9C626"/>
    <w:rsid w:val="68B2A8EF"/>
    <w:rsid w:val="68C47162"/>
    <w:rsid w:val="690A5979"/>
    <w:rsid w:val="693B1F42"/>
    <w:rsid w:val="69589647"/>
    <w:rsid w:val="69630EBE"/>
    <w:rsid w:val="69647442"/>
    <w:rsid w:val="69A504B2"/>
    <w:rsid w:val="69B211BA"/>
    <w:rsid w:val="69F46A08"/>
    <w:rsid w:val="6A1BE729"/>
    <w:rsid w:val="6A4A8C86"/>
    <w:rsid w:val="6A506A89"/>
    <w:rsid w:val="6AA820CD"/>
    <w:rsid w:val="6AB97CD2"/>
    <w:rsid w:val="6B40D513"/>
    <w:rsid w:val="6B548033"/>
    <w:rsid w:val="6B7B97A1"/>
    <w:rsid w:val="6B9FE7EE"/>
    <w:rsid w:val="6BA52052"/>
    <w:rsid w:val="6BD8B255"/>
    <w:rsid w:val="6BD94111"/>
    <w:rsid w:val="6BE88E42"/>
    <w:rsid w:val="6BFFBD66"/>
    <w:rsid w:val="6C2F4006"/>
    <w:rsid w:val="6C43DB0F"/>
    <w:rsid w:val="6C6E42A8"/>
    <w:rsid w:val="6CD42187"/>
    <w:rsid w:val="6CED63D3"/>
    <w:rsid w:val="6D25BFC6"/>
    <w:rsid w:val="6D44C509"/>
    <w:rsid w:val="6D699E92"/>
    <w:rsid w:val="6DB2A5B4"/>
    <w:rsid w:val="6DE77522"/>
    <w:rsid w:val="6DEE9EDA"/>
    <w:rsid w:val="6E891F85"/>
    <w:rsid w:val="6EA7D14D"/>
    <w:rsid w:val="6EC02781"/>
    <w:rsid w:val="6EC47A2F"/>
    <w:rsid w:val="6EC764D9"/>
    <w:rsid w:val="6EE6D308"/>
    <w:rsid w:val="6F37DE86"/>
    <w:rsid w:val="6F5733CE"/>
    <w:rsid w:val="6F6E1001"/>
    <w:rsid w:val="6F982EAE"/>
    <w:rsid w:val="6F98D872"/>
    <w:rsid w:val="6F9F5340"/>
    <w:rsid w:val="6FABFCEE"/>
    <w:rsid w:val="6FB0E499"/>
    <w:rsid w:val="6FB5DC4D"/>
    <w:rsid w:val="6FCF3EEC"/>
    <w:rsid w:val="6FFE7DA8"/>
    <w:rsid w:val="700EA821"/>
    <w:rsid w:val="7014DA8C"/>
    <w:rsid w:val="7038BFCB"/>
    <w:rsid w:val="704A108D"/>
    <w:rsid w:val="70A78735"/>
    <w:rsid w:val="70C4DE11"/>
    <w:rsid w:val="70F534BE"/>
    <w:rsid w:val="710907A0"/>
    <w:rsid w:val="710D8D52"/>
    <w:rsid w:val="7111CC84"/>
    <w:rsid w:val="716DB5C8"/>
    <w:rsid w:val="71E410D0"/>
    <w:rsid w:val="71E4F756"/>
    <w:rsid w:val="71EB9584"/>
    <w:rsid w:val="7259CE7F"/>
    <w:rsid w:val="72BB3B95"/>
    <w:rsid w:val="72F55BDB"/>
    <w:rsid w:val="73B6B842"/>
    <w:rsid w:val="7456E55A"/>
    <w:rsid w:val="749A7E03"/>
    <w:rsid w:val="74B4E08A"/>
    <w:rsid w:val="74E4EED7"/>
    <w:rsid w:val="7519501B"/>
    <w:rsid w:val="75412B4D"/>
    <w:rsid w:val="75599B6F"/>
    <w:rsid w:val="756C8D84"/>
    <w:rsid w:val="758D52F5"/>
    <w:rsid w:val="75A73D9F"/>
    <w:rsid w:val="75D03B7B"/>
    <w:rsid w:val="75F666B6"/>
    <w:rsid w:val="76724CE3"/>
    <w:rsid w:val="767BCD1B"/>
    <w:rsid w:val="769CA84D"/>
    <w:rsid w:val="769FA343"/>
    <w:rsid w:val="76AEB90C"/>
    <w:rsid w:val="7733BA54"/>
    <w:rsid w:val="777133F7"/>
    <w:rsid w:val="778B937C"/>
    <w:rsid w:val="7812EEEC"/>
    <w:rsid w:val="7830618C"/>
    <w:rsid w:val="783B091F"/>
    <w:rsid w:val="7869897A"/>
    <w:rsid w:val="78750C92"/>
    <w:rsid w:val="7885378B"/>
    <w:rsid w:val="79077F37"/>
    <w:rsid w:val="7940F246"/>
    <w:rsid w:val="7956506A"/>
    <w:rsid w:val="7970CA90"/>
    <w:rsid w:val="79E8BD76"/>
    <w:rsid w:val="7A1B2835"/>
    <w:rsid w:val="7A326456"/>
    <w:rsid w:val="7A371994"/>
    <w:rsid w:val="7A3EE772"/>
    <w:rsid w:val="7A505D4F"/>
    <w:rsid w:val="7A9A6327"/>
    <w:rsid w:val="7AA535DE"/>
    <w:rsid w:val="7AE205E7"/>
    <w:rsid w:val="7AEDD223"/>
    <w:rsid w:val="7AF98171"/>
    <w:rsid w:val="7B177542"/>
    <w:rsid w:val="7B6FEFD4"/>
    <w:rsid w:val="7B81BE98"/>
    <w:rsid w:val="7BDAB7D3"/>
    <w:rsid w:val="7C05987A"/>
    <w:rsid w:val="7C2961B5"/>
    <w:rsid w:val="7C500E7D"/>
    <w:rsid w:val="7C7DD648"/>
    <w:rsid w:val="7C8B4F7E"/>
    <w:rsid w:val="7C8E8A20"/>
    <w:rsid w:val="7CAC9304"/>
    <w:rsid w:val="7D1C299F"/>
    <w:rsid w:val="7D57AAFA"/>
    <w:rsid w:val="7D77171B"/>
    <w:rsid w:val="7D8169FE"/>
    <w:rsid w:val="7DACD06C"/>
    <w:rsid w:val="7DC1B0D9"/>
    <w:rsid w:val="7E3ED135"/>
    <w:rsid w:val="7E4FA0FB"/>
    <w:rsid w:val="7E4FC908"/>
    <w:rsid w:val="7EA36F39"/>
    <w:rsid w:val="7EC86B7F"/>
    <w:rsid w:val="7ED250F4"/>
    <w:rsid w:val="7F1C13A6"/>
    <w:rsid w:val="7F48D93B"/>
    <w:rsid w:val="7F5AC148"/>
    <w:rsid w:val="7F87A6D7"/>
    <w:rsid w:val="7FBAD844"/>
    <w:rsid w:val="7FCE16EA"/>
    <w:rsid w:val="7FF09C69"/>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86CFC3"/>
  <w15:docId w15:val="{AEAC4184-D311-4CDC-91B0-27B40C9AE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lsdException w:name="List Bullet" w:semiHidden="1" w:unhideWhenUsed="1"/>
    <w:lsdException w:name="List Number" w:semiHidden="1" w:unhideWhenUsed="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lsdException w:name="Body Text Indent 2" w:semiHidden="1"/>
    <w:lsdException w:name="Body Text Indent 3" w:semiHidden="1"/>
    <w:lsdException w:name="Block Text" w:semiHidden="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93B7A"/>
    <w:rPr>
      <w:rFonts w:ascii="Calibri" w:hAnsi="Calibri" w:cs="Arial"/>
      <w:sz w:val="22"/>
      <w:szCs w:val="22"/>
    </w:rPr>
  </w:style>
  <w:style w:type="paragraph" w:styleId="Heading1">
    <w:name w:val="heading 1"/>
    <w:basedOn w:val="Normal"/>
    <w:next w:val="Normal"/>
    <w:link w:val="Heading1Char"/>
    <w:uiPriority w:val="9"/>
    <w:qFormat/>
    <w:rsid w:val="007F2128"/>
    <w:pPr>
      <w:numPr>
        <w:numId w:val="2"/>
      </w:numPr>
      <w:spacing w:before="120" w:after="120"/>
      <w:outlineLvl w:val="0"/>
    </w:pPr>
    <w:rPr>
      <w:color w:val="3FB84E"/>
      <w:sz w:val="32"/>
      <w:szCs w:val="32"/>
    </w:rPr>
  </w:style>
  <w:style w:type="paragraph" w:styleId="Heading2">
    <w:name w:val="heading 2"/>
    <w:basedOn w:val="Heading1"/>
    <w:next w:val="Normal"/>
    <w:link w:val="Heading2Char"/>
    <w:uiPriority w:val="9"/>
    <w:rsid w:val="007F2128"/>
    <w:pPr>
      <w:numPr>
        <w:ilvl w:val="1"/>
      </w:numPr>
      <w:tabs>
        <w:tab w:val="left" w:pos="680"/>
      </w:tabs>
      <w:outlineLvl w:val="1"/>
    </w:pPr>
  </w:style>
  <w:style w:type="paragraph" w:styleId="Heading3">
    <w:name w:val="heading 3"/>
    <w:basedOn w:val="Heading2"/>
    <w:next w:val="Normal"/>
    <w:link w:val="Heading3Char"/>
    <w:uiPriority w:val="9"/>
    <w:qFormat/>
    <w:rsid w:val="007F2128"/>
    <w:pPr>
      <w:numPr>
        <w:ilvl w:val="2"/>
      </w:numPr>
      <w:tabs>
        <w:tab w:val="clear" w:pos="680"/>
        <w:tab w:val="left" w:pos="907"/>
      </w:tabs>
      <w:spacing w:before="240"/>
      <w:outlineLvl w:val="2"/>
    </w:pPr>
  </w:style>
  <w:style w:type="paragraph" w:styleId="Heading4">
    <w:name w:val="heading 4"/>
    <w:basedOn w:val="Heading3"/>
    <w:next w:val="Normal"/>
    <w:link w:val="Heading4Char"/>
    <w:uiPriority w:val="9"/>
    <w:rsid w:val="007F2128"/>
    <w:pPr>
      <w:numPr>
        <w:ilvl w:val="3"/>
      </w:numPr>
      <w:tabs>
        <w:tab w:val="clear" w:pos="907"/>
        <w:tab w:val="left" w:pos="1134"/>
      </w:tabs>
      <w:outlineLvl w:val="3"/>
    </w:pPr>
  </w:style>
  <w:style w:type="paragraph" w:styleId="Heading5">
    <w:name w:val="heading 5"/>
    <w:basedOn w:val="Normal"/>
    <w:next w:val="Normal"/>
    <w:link w:val="Heading5Char"/>
    <w:uiPriority w:val="9"/>
    <w:qFormat/>
    <w:rsid w:val="006246E0"/>
    <w:pPr>
      <w:spacing w:before="240"/>
      <w:outlineLvl w:val="4"/>
    </w:pPr>
    <w:rPr>
      <w:rFonts w:eastAsia="Calibri"/>
      <w:b/>
      <w:bCs/>
      <w:color w:val="767171"/>
      <w:szCs w:val="24"/>
      <w:lang w:eastAsia="en-GB"/>
    </w:rPr>
  </w:style>
  <w:style w:type="paragraph" w:styleId="Heading6">
    <w:name w:val="heading 6"/>
    <w:basedOn w:val="Normal"/>
    <w:next w:val="Normal"/>
    <w:link w:val="Heading6Char"/>
    <w:uiPriority w:val="9"/>
    <w:rsid w:val="002609D9"/>
    <w:pPr>
      <w:keepNext/>
      <w:keepLines/>
      <w:spacing w:before="40"/>
      <w:outlineLvl w:val="5"/>
    </w:pPr>
    <w:rPr>
      <w:rFonts w:asciiTheme="majorHAnsi" w:eastAsiaTheme="majorEastAsia" w:hAnsiTheme="majorHAnsi" w:cstheme="majorBidi"/>
      <w:color w:val="443F1E" w:themeColor="accent1" w:themeShade="7F"/>
    </w:rPr>
  </w:style>
  <w:style w:type="paragraph" w:styleId="Heading7">
    <w:name w:val="heading 7"/>
    <w:basedOn w:val="Normal"/>
    <w:next w:val="Normal"/>
    <w:link w:val="Heading7Char"/>
    <w:uiPriority w:val="9"/>
    <w:semiHidden/>
    <w:qFormat/>
    <w:rsid w:val="002609D9"/>
    <w:pPr>
      <w:keepNext/>
      <w:keepLines/>
      <w:spacing w:before="40"/>
      <w:outlineLvl w:val="6"/>
    </w:pPr>
    <w:rPr>
      <w:rFonts w:asciiTheme="majorHAnsi" w:eastAsiaTheme="majorEastAsia" w:hAnsiTheme="majorHAnsi" w:cstheme="majorBidi"/>
      <w:i/>
      <w:iCs/>
      <w:color w:val="443F1E" w:themeColor="accent1" w:themeShade="7F"/>
    </w:rPr>
  </w:style>
  <w:style w:type="paragraph" w:styleId="Heading8">
    <w:name w:val="heading 8"/>
    <w:basedOn w:val="Normal"/>
    <w:next w:val="Normal"/>
    <w:link w:val="Heading8Char"/>
    <w:uiPriority w:val="9"/>
    <w:semiHidden/>
    <w:qFormat/>
    <w:rsid w:val="002609D9"/>
    <w:pPr>
      <w:keepNext/>
      <w:keepLines/>
      <w:spacing w:before="40"/>
      <w:outlineLvl w:val="7"/>
    </w:pPr>
    <w:rPr>
      <w:rFonts w:asciiTheme="majorHAnsi" w:eastAsiaTheme="majorEastAsia" w:hAnsiTheme="majorHAnsi" w:cstheme="majorBidi"/>
      <w:color w:val="58585A" w:themeColor="text1" w:themeTint="D8"/>
      <w:sz w:val="21"/>
      <w:szCs w:val="21"/>
    </w:rPr>
  </w:style>
  <w:style w:type="paragraph" w:styleId="Heading9">
    <w:name w:val="heading 9"/>
    <w:basedOn w:val="Normal"/>
    <w:next w:val="Normal"/>
    <w:link w:val="Heading9Char"/>
    <w:uiPriority w:val="9"/>
    <w:semiHidden/>
    <w:qFormat/>
    <w:rsid w:val="002609D9"/>
    <w:pPr>
      <w:keepNext/>
      <w:keepLines/>
      <w:spacing w:before="40"/>
      <w:outlineLvl w:val="8"/>
    </w:pPr>
    <w:rPr>
      <w:rFonts w:asciiTheme="majorHAnsi" w:eastAsiaTheme="majorEastAsia" w:hAnsiTheme="majorHAnsi" w:cstheme="majorBidi"/>
      <w:i/>
      <w:iCs/>
      <w:color w:val="58585A"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rsid w:val="00D367BF"/>
    <w:rPr>
      <w:rFonts w:eastAsiaTheme="minorEastAsia"/>
      <w:sz w:val="22"/>
      <w:szCs w:val="22"/>
      <w:lang w:val="en-US" w:eastAsia="zh-CN"/>
    </w:rPr>
  </w:style>
  <w:style w:type="character" w:customStyle="1" w:styleId="NoSpacingChar">
    <w:name w:val="No Spacing Char"/>
    <w:basedOn w:val="DefaultParagraphFont"/>
    <w:link w:val="NoSpacing"/>
    <w:uiPriority w:val="1"/>
    <w:rsid w:val="00DA5495"/>
    <w:rPr>
      <w:rFonts w:eastAsiaTheme="minorEastAsia"/>
      <w:sz w:val="22"/>
      <w:szCs w:val="22"/>
      <w:lang w:val="en-US" w:eastAsia="zh-CN"/>
    </w:rPr>
  </w:style>
  <w:style w:type="paragraph" w:customStyle="1" w:styleId="ItadCaption">
    <w:name w:val="Itad Caption"/>
    <w:basedOn w:val="Normal"/>
    <w:next w:val="ItadIntroText"/>
    <w:link w:val="ItadCaptionChar"/>
    <w:qFormat/>
    <w:rsid w:val="002111C6"/>
    <w:pPr>
      <w:tabs>
        <w:tab w:val="left" w:pos="1420"/>
      </w:tabs>
      <w:spacing w:before="120" w:after="120"/>
    </w:pPr>
    <w:rPr>
      <w:color w:val="767171" w:themeColor="background2" w:themeShade="80"/>
      <w:sz w:val="18"/>
      <w:szCs w:val="18"/>
      <w:lang w:eastAsia="en-GB"/>
    </w:rPr>
  </w:style>
  <w:style w:type="paragraph" w:customStyle="1" w:styleId="ItadFigureCap">
    <w:name w:val="Itad Figure Cap"/>
    <w:basedOn w:val="ItadCaption"/>
    <w:next w:val="ItadNormalText"/>
    <w:link w:val="ItadFigureCapChar"/>
    <w:qFormat/>
    <w:rsid w:val="002A22DA"/>
    <w:pPr>
      <w:jc w:val="center"/>
    </w:pPr>
  </w:style>
  <w:style w:type="paragraph" w:styleId="Footer">
    <w:name w:val="footer"/>
    <w:basedOn w:val="Normal"/>
    <w:link w:val="FooterChar"/>
    <w:uiPriority w:val="99"/>
    <w:rsid w:val="00967499"/>
    <w:pPr>
      <w:tabs>
        <w:tab w:val="center" w:pos="4513"/>
        <w:tab w:val="right" w:pos="9026"/>
      </w:tabs>
    </w:pPr>
  </w:style>
  <w:style w:type="character" w:customStyle="1" w:styleId="FooterChar">
    <w:name w:val="Footer Char"/>
    <w:basedOn w:val="DefaultParagraphFont"/>
    <w:link w:val="Footer"/>
    <w:uiPriority w:val="99"/>
    <w:rsid w:val="00DA5495"/>
    <w:rPr>
      <w:rFonts w:ascii="Calibri" w:hAnsi="Calibri" w:cs="Arial"/>
      <w:sz w:val="22"/>
      <w:szCs w:val="22"/>
    </w:rPr>
  </w:style>
  <w:style w:type="table" w:customStyle="1" w:styleId="ItadGreenHeaderRow">
    <w:name w:val="Itad Green Header Row"/>
    <w:basedOn w:val="TableNormal"/>
    <w:uiPriority w:val="99"/>
    <w:qFormat/>
    <w:rsid w:val="00A72142"/>
    <w:rPr>
      <w:rFonts w:ascii="Calibri" w:hAnsi="Calibri" w:cs="Arial"/>
      <w:color w:val="3B3B3C" w:themeColor="text1"/>
      <w:sz w:val="22"/>
    </w:rPr>
    <w:tblPr>
      <w:tblStyleRowBandSize w:val="1"/>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Pr>
    <w:tcPr>
      <w:shd w:val="clear" w:color="auto" w:fill="F2F2F2" w:themeFill="background1" w:themeFillShade="F2"/>
    </w:tcPr>
    <w:tblStylePr w:type="firstRow">
      <w:tblPr/>
      <w:tcPr>
        <w:shd w:val="clear" w:color="auto" w:fill="96C286" w:themeFill="text2" w:themeFillTint="99"/>
      </w:tcPr>
    </w:tblStylePr>
    <w:tblStylePr w:type="lastRow">
      <w:tblPr/>
      <w:tcPr>
        <w:shd w:val="clear" w:color="auto" w:fill="E7E6E6" w:themeFill="background2"/>
      </w:tcPr>
    </w:tblStylePr>
    <w:tblStylePr w:type="band1Horz">
      <w:tblPr/>
      <w:tcPr>
        <w:shd w:val="clear" w:color="auto" w:fill="FFFFFF" w:themeFill="background1"/>
      </w:tcPr>
    </w:tblStylePr>
    <w:tblStylePr w:type="band2Horz">
      <w:tblPr/>
      <w:tcPr>
        <w:shd w:val="clear" w:color="auto" w:fill="FFFFFF" w:themeFill="background1"/>
      </w:tcPr>
    </w:tblStylePr>
  </w:style>
  <w:style w:type="paragraph" w:customStyle="1" w:styleId="ItadSectionTitleBlock">
    <w:name w:val="Itad Section Title Block"/>
    <w:basedOn w:val="Normal"/>
    <w:next w:val="ItadNormalText"/>
    <w:link w:val="ItadSectionTitleBlockChar"/>
    <w:rsid w:val="000E1EBA"/>
    <w:pPr>
      <w:tabs>
        <w:tab w:val="left" w:pos="1420"/>
      </w:tabs>
      <w:spacing w:before="240" w:after="360"/>
      <w:contextualSpacing/>
      <w:outlineLvl w:val="0"/>
    </w:pPr>
    <w:rPr>
      <w:rFonts w:ascii="CubeOT" w:hAnsi="CubeOT" w:cs="CubeOT"/>
      <w:noProof/>
      <w:color w:val="767171" w:themeColor="background2" w:themeShade="80"/>
      <w:position w:val="-80"/>
      <w:sz w:val="56"/>
      <w:szCs w:val="56"/>
      <w:lang w:eastAsia="en-GB"/>
    </w:rPr>
  </w:style>
  <w:style w:type="character" w:styleId="PageNumber">
    <w:name w:val="page number"/>
    <w:basedOn w:val="DefaultParagraphFont"/>
    <w:uiPriority w:val="99"/>
    <w:semiHidden/>
    <w:rsid w:val="00A07595"/>
  </w:style>
  <w:style w:type="table" w:customStyle="1" w:styleId="Itademphasiseheaderandfirstcolumn">
    <w:name w:val="Itad emphasise header and first column"/>
    <w:basedOn w:val="TableNormal"/>
    <w:uiPriority w:val="99"/>
    <w:qFormat/>
    <w:rsid w:val="00CD76E1"/>
    <w:pPr>
      <w:ind w:left="57" w:right="57"/>
    </w:pPr>
    <w:tblPr>
      <w:tblStyleRowBandSize w:val="1"/>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2F2F2"/>
    </w:tcPr>
    <w:tblStylePr w:type="firstRow">
      <w:pPr>
        <w:wordWrap/>
        <w:spacing w:beforeLines="0" w:before="60" w:beforeAutospacing="0" w:afterLines="0" w:after="60" w:afterAutospacing="0"/>
        <w:ind w:leftChars="0" w:left="57" w:rightChars="0" w:right="0"/>
      </w:pPr>
      <w:rPr>
        <w:rFonts w:asciiTheme="minorHAnsi" w:hAnsiTheme="minorHAnsi"/>
        <w:color w:val="FFFFFF" w:themeColor="background1"/>
        <w:sz w:val="22"/>
      </w:rPr>
      <w:tblPr/>
      <w:tcPr>
        <w:tcBorders>
          <w:insideV w:val="single" w:sz="4" w:space="0" w:color="FFFFFF" w:themeColor="background1"/>
        </w:tcBorders>
        <w:shd w:val="clear" w:color="auto" w:fill="588B46" w:themeFill="text2"/>
      </w:tcPr>
    </w:tblStylePr>
    <w:tblStylePr w:type="firstCol">
      <w:rPr>
        <w:color w:val="3B3B3C" w:themeColor="text1"/>
      </w:rPr>
      <w:tblPr/>
      <w:tcPr>
        <w:shd w:val="clear" w:color="auto" w:fill="DCEAD6" w:themeFill="text2" w:themeFillTint="33"/>
      </w:tcPr>
    </w:tblStylePr>
    <w:tblStylePr w:type="band1Horz">
      <w:tblPr/>
      <w:tcPr>
        <w:shd w:val="clear" w:color="auto" w:fill="FFFFFF" w:themeFill="background1"/>
      </w:tcPr>
    </w:tblStylePr>
    <w:tblStylePr w:type="band2Horz">
      <w:tblPr/>
      <w:tcPr>
        <w:shd w:val="clear" w:color="auto" w:fill="FFFFFF" w:themeFill="background1"/>
      </w:tcPr>
    </w:tblStylePr>
  </w:style>
  <w:style w:type="table" w:customStyle="1" w:styleId="ItadPlain">
    <w:name w:val="Itad Plain"/>
    <w:basedOn w:val="TableNormal"/>
    <w:uiPriority w:val="99"/>
    <w:qFormat/>
    <w:rsid w:val="00F11EAD"/>
    <w:tblPr/>
    <w:tcPr>
      <w:vAlign w:val="center"/>
    </w:tcPr>
    <w:tblStylePr w:type="firstRow">
      <w:pPr>
        <w:jc w:val="left"/>
      </w:pPr>
      <w:rPr>
        <w:rFonts w:asciiTheme="minorHAnsi" w:hAnsiTheme="minorHAnsi"/>
        <w:b/>
        <w:color w:val="E37230" w:themeColor="accent2"/>
        <w:sz w:val="22"/>
      </w:rPr>
    </w:tblStylePr>
  </w:style>
  <w:style w:type="table" w:customStyle="1" w:styleId="ItadPull-outBoxgreen">
    <w:name w:val="Itad Pull-out Box green"/>
    <w:basedOn w:val="TableNormal"/>
    <w:uiPriority w:val="99"/>
    <w:qFormat/>
    <w:rsid w:val="00452A42"/>
    <w:pPr>
      <w:spacing w:after="60"/>
      <w:ind w:left="57" w:right="57"/>
    </w:pPr>
    <w:rPr>
      <w:rFonts w:ascii="Calibri" w:hAnsi="Calibri" w:cs="Arial"/>
    </w:rPr>
    <w:tblPr>
      <w:tblInd w:w="113" w:type="dxa"/>
      <w:tblBorders>
        <w:top w:val="single" w:sz="6" w:space="0" w:color="FFFFFF" w:themeColor="background1"/>
        <w:left w:val="single" w:sz="6" w:space="0" w:color="FFFFFF" w:themeColor="background1"/>
        <w:bottom w:val="single" w:sz="6" w:space="0" w:color="FFFFFF" w:themeColor="background1"/>
        <w:right w:val="single" w:sz="6" w:space="0" w:color="FFFFFF" w:themeColor="background1"/>
      </w:tblBorders>
    </w:tblPr>
    <w:tcPr>
      <w:shd w:val="clear" w:color="auto" w:fill="DCEAD6" w:themeFill="text2" w:themeFillTint="33"/>
    </w:tcPr>
  </w:style>
  <w:style w:type="character" w:customStyle="1" w:styleId="Heading2Char">
    <w:name w:val="Heading 2 Char"/>
    <w:basedOn w:val="DefaultParagraphFont"/>
    <w:link w:val="Heading2"/>
    <w:uiPriority w:val="9"/>
    <w:rsid w:val="008D540A"/>
    <w:rPr>
      <w:rFonts w:ascii="Calibri" w:hAnsi="Calibri" w:cs="Arial"/>
      <w:color w:val="3FB84E"/>
      <w:sz w:val="32"/>
      <w:szCs w:val="32"/>
    </w:rPr>
  </w:style>
  <w:style w:type="character" w:customStyle="1" w:styleId="Heading3Char">
    <w:name w:val="Heading 3 Char"/>
    <w:basedOn w:val="DefaultParagraphFont"/>
    <w:link w:val="Heading3"/>
    <w:uiPriority w:val="9"/>
    <w:rsid w:val="008D540A"/>
    <w:rPr>
      <w:rFonts w:ascii="Calibri" w:hAnsi="Calibri" w:cs="Arial"/>
      <w:color w:val="3FB84E"/>
      <w:sz w:val="32"/>
      <w:szCs w:val="32"/>
    </w:rPr>
  </w:style>
  <w:style w:type="character" w:customStyle="1" w:styleId="Heading4Char">
    <w:name w:val="Heading 4 Char"/>
    <w:basedOn w:val="DefaultParagraphFont"/>
    <w:link w:val="Heading4"/>
    <w:uiPriority w:val="9"/>
    <w:rsid w:val="008D540A"/>
    <w:rPr>
      <w:rFonts w:ascii="Calibri" w:hAnsi="Calibri" w:cs="Arial"/>
      <w:color w:val="3FB84E"/>
      <w:sz w:val="32"/>
      <w:szCs w:val="32"/>
    </w:rPr>
  </w:style>
  <w:style w:type="character" w:customStyle="1" w:styleId="Heading5Char">
    <w:name w:val="Heading 5 Char"/>
    <w:basedOn w:val="DefaultParagraphFont"/>
    <w:link w:val="Heading5"/>
    <w:uiPriority w:val="9"/>
    <w:rsid w:val="006246E0"/>
    <w:rPr>
      <w:rFonts w:ascii="Calibri" w:eastAsia="Calibri" w:hAnsi="Calibri" w:cs="Arial"/>
      <w:b/>
      <w:bCs/>
      <w:color w:val="767171"/>
      <w:sz w:val="22"/>
      <w:lang w:eastAsia="en-GB"/>
    </w:rPr>
  </w:style>
  <w:style w:type="character" w:customStyle="1" w:styleId="Heading6Char">
    <w:name w:val="Heading 6 Char"/>
    <w:basedOn w:val="DefaultParagraphFont"/>
    <w:link w:val="Heading6"/>
    <w:uiPriority w:val="9"/>
    <w:rsid w:val="008D540A"/>
    <w:rPr>
      <w:rFonts w:asciiTheme="majorHAnsi" w:eastAsiaTheme="majorEastAsia" w:hAnsiTheme="majorHAnsi" w:cstheme="majorBidi"/>
      <w:color w:val="443F1E" w:themeColor="accent1" w:themeShade="7F"/>
      <w:sz w:val="22"/>
      <w:szCs w:val="22"/>
    </w:rPr>
  </w:style>
  <w:style w:type="character" w:customStyle="1" w:styleId="Heading7Char">
    <w:name w:val="Heading 7 Char"/>
    <w:basedOn w:val="DefaultParagraphFont"/>
    <w:link w:val="Heading7"/>
    <w:uiPriority w:val="9"/>
    <w:semiHidden/>
    <w:rsid w:val="008D540A"/>
    <w:rPr>
      <w:rFonts w:asciiTheme="majorHAnsi" w:eastAsiaTheme="majorEastAsia" w:hAnsiTheme="majorHAnsi" w:cstheme="majorBidi"/>
      <w:i/>
      <w:iCs/>
      <w:color w:val="443F1E" w:themeColor="accent1" w:themeShade="7F"/>
      <w:sz w:val="22"/>
      <w:szCs w:val="22"/>
    </w:rPr>
  </w:style>
  <w:style w:type="character" w:customStyle="1" w:styleId="Heading8Char">
    <w:name w:val="Heading 8 Char"/>
    <w:basedOn w:val="DefaultParagraphFont"/>
    <w:link w:val="Heading8"/>
    <w:uiPriority w:val="9"/>
    <w:semiHidden/>
    <w:rsid w:val="008D540A"/>
    <w:rPr>
      <w:rFonts w:asciiTheme="majorHAnsi" w:eastAsiaTheme="majorEastAsia" w:hAnsiTheme="majorHAnsi" w:cstheme="majorBidi"/>
      <w:color w:val="58585A" w:themeColor="text1" w:themeTint="D8"/>
      <w:sz w:val="21"/>
      <w:szCs w:val="21"/>
    </w:rPr>
  </w:style>
  <w:style w:type="character" w:customStyle="1" w:styleId="Heading9Char">
    <w:name w:val="Heading 9 Char"/>
    <w:basedOn w:val="DefaultParagraphFont"/>
    <w:link w:val="Heading9"/>
    <w:uiPriority w:val="9"/>
    <w:semiHidden/>
    <w:rsid w:val="008D540A"/>
    <w:rPr>
      <w:rFonts w:asciiTheme="majorHAnsi" w:eastAsiaTheme="majorEastAsia" w:hAnsiTheme="majorHAnsi" w:cstheme="majorBidi"/>
      <w:i/>
      <w:iCs/>
      <w:color w:val="58585A" w:themeColor="text1" w:themeTint="D8"/>
      <w:sz w:val="21"/>
      <w:szCs w:val="21"/>
    </w:rPr>
  </w:style>
  <w:style w:type="paragraph" w:styleId="TOC1">
    <w:name w:val="toc 1"/>
    <w:aliases w:val="TOC 1 ITAD V4"/>
    <w:basedOn w:val="Normal"/>
    <w:next w:val="Normal"/>
    <w:autoRedefine/>
    <w:uiPriority w:val="39"/>
    <w:rsid w:val="003D3404"/>
    <w:pPr>
      <w:tabs>
        <w:tab w:val="left" w:pos="284"/>
        <w:tab w:val="right" w:pos="9010"/>
      </w:tabs>
      <w:spacing w:before="240" w:after="120"/>
      <w:ind w:left="284" w:hanging="284"/>
    </w:pPr>
    <w:rPr>
      <w:rFonts w:eastAsiaTheme="minorEastAsia"/>
      <w:bCs/>
      <w:noProof/>
      <w:color w:val="3B3B3C" w:themeColor="text1"/>
      <w:lang w:eastAsia="en-GB"/>
    </w:rPr>
  </w:style>
  <w:style w:type="paragraph" w:styleId="TOC2">
    <w:name w:val="toc 2"/>
    <w:aliases w:val="TOC 2 ITAD V4"/>
    <w:basedOn w:val="Normal"/>
    <w:next w:val="Normal"/>
    <w:autoRedefine/>
    <w:uiPriority w:val="39"/>
    <w:rsid w:val="003A0CCD"/>
    <w:pPr>
      <w:tabs>
        <w:tab w:val="left" w:pos="851"/>
        <w:tab w:val="right" w:pos="9010"/>
      </w:tabs>
      <w:spacing w:before="120" w:after="120"/>
      <w:ind w:left="1278" w:hanging="994"/>
    </w:pPr>
    <w:rPr>
      <w:iCs/>
      <w:noProof/>
    </w:rPr>
  </w:style>
  <w:style w:type="paragraph" w:styleId="TOC3">
    <w:name w:val="toc 3"/>
    <w:aliases w:val="TOC 3 ITAD V4"/>
    <w:basedOn w:val="Normal"/>
    <w:next w:val="Normal"/>
    <w:autoRedefine/>
    <w:uiPriority w:val="39"/>
    <w:rsid w:val="003A0CCD"/>
    <w:pPr>
      <w:tabs>
        <w:tab w:val="left" w:pos="1278"/>
        <w:tab w:val="right" w:pos="9010"/>
      </w:tabs>
      <w:spacing w:before="120" w:after="120"/>
      <w:ind w:left="1278" w:hanging="710"/>
    </w:pPr>
    <w:rPr>
      <w:noProof/>
    </w:rPr>
  </w:style>
  <w:style w:type="paragraph" w:styleId="TOC4">
    <w:name w:val="toc 4"/>
    <w:basedOn w:val="Normal"/>
    <w:next w:val="Normal"/>
    <w:autoRedefine/>
    <w:uiPriority w:val="39"/>
    <w:rsid w:val="003D273A"/>
    <w:pPr>
      <w:ind w:left="720"/>
    </w:pPr>
    <w:rPr>
      <w:sz w:val="20"/>
      <w:szCs w:val="20"/>
    </w:rPr>
  </w:style>
  <w:style w:type="paragraph" w:styleId="TOC5">
    <w:name w:val="toc 5"/>
    <w:basedOn w:val="Normal"/>
    <w:next w:val="Normal"/>
    <w:autoRedefine/>
    <w:uiPriority w:val="39"/>
    <w:rsid w:val="003D273A"/>
    <w:pPr>
      <w:ind w:left="960"/>
    </w:pPr>
    <w:rPr>
      <w:sz w:val="20"/>
      <w:szCs w:val="20"/>
    </w:rPr>
  </w:style>
  <w:style w:type="paragraph" w:styleId="TOC6">
    <w:name w:val="toc 6"/>
    <w:basedOn w:val="Normal"/>
    <w:next w:val="Normal"/>
    <w:autoRedefine/>
    <w:uiPriority w:val="39"/>
    <w:rsid w:val="003D273A"/>
    <w:pPr>
      <w:ind w:left="1200"/>
    </w:pPr>
    <w:rPr>
      <w:sz w:val="20"/>
      <w:szCs w:val="20"/>
    </w:rPr>
  </w:style>
  <w:style w:type="paragraph" w:styleId="TOC7">
    <w:name w:val="toc 7"/>
    <w:basedOn w:val="Normal"/>
    <w:next w:val="Normal"/>
    <w:autoRedefine/>
    <w:uiPriority w:val="39"/>
    <w:rsid w:val="003D273A"/>
    <w:pPr>
      <w:ind w:left="1440"/>
    </w:pPr>
    <w:rPr>
      <w:sz w:val="20"/>
      <w:szCs w:val="20"/>
    </w:rPr>
  </w:style>
  <w:style w:type="paragraph" w:styleId="TOC8">
    <w:name w:val="toc 8"/>
    <w:basedOn w:val="Normal"/>
    <w:next w:val="Normal"/>
    <w:autoRedefine/>
    <w:uiPriority w:val="39"/>
    <w:rsid w:val="003D273A"/>
    <w:pPr>
      <w:ind w:left="1680"/>
    </w:pPr>
    <w:rPr>
      <w:sz w:val="20"/>
      <w:szCs w:val="20"/>
    </w:rPr>
  </w:style>
  <w:style w:type="paragraph" w:styleId="TOC9">
    <w:name w:val="toc 9"/>
    <w:basedOn w:val="Normal"/>
    <w:next w:val="Normal"/>
    <w:autoRedefine/>
    <w:uiPriority w:val="39"/>
    <w:rsid w:val="003D273A"/>
    <w:pPr>
      <w:ind w:left="1920"/>
    </w:pPr>
    <w:rPr>
      <w:sz w:val="20"/>
      <w:szCs w:val="20"/>
    </w:rPr>
  </w:style>
  <w:style w:type="character" w:styleId="Hyperlink">
    <w:name w:val="Hyperlink"/>
    <w:basedOn w:val="DefaultParagraphFont"/>
    <w:uiPriority w:val="99"/>
    <w:rsid w:val="003D273A"/>
    <w:rPr>
      <w:color w:val="3B3B3C" w:themeColor="hyperlink"/>
      <w:u w:val="single"/>
    </w:rPr>
  </w:style>
  <w:style w:type="paragraph" w:styleId="FootnoteText">
    <w:name w:val="footnote text"/>
    <w:aliases w:val="single space,f,Footnote Text Char1,Footnote Text Char Char,Footnote Text Char11,Footnote Text Char Char1,Footnote Text Char Char Char1,Footnote Text Char1 Char Char,Footnote Text Char1 Char Char Char Char Char Char,ft,FOOTNOTES,fn,FOOTNOT"/>
    <w:basedOn w:val="Normal"/>
    <w:link w:val="FootnoteTextChar"/>
    <w:uiPriority w:val="99"/>
    <w:rsid w:val="00D32EC8"/>
    <w:rPr>
      <w:sz w:val="16"/>
      <w:szCs w:val="16"/>
    </w:rPr>
  </w:style>
  <w:style w:type="character" w:customStyle="1" w:styleId="FootnoteTextChar">
    <w:name w:val="Footnote Text Char"/>
    <w:aliases w:val="single space Char,f Char,Footnote Text Char1 Char,Footnote Text Char Char Char,Footnote Text Char11 Char,Footnote Text Char Char1 Char,Footnote Text Char Char Char1 Char,Footnote Text Char1 Char Char Char,ft Char,FOOTNOTES Char"/>
    <w:basedOn w:val="DefaultParagraphFont"/>
    <w:link w:val="FootnoteText"/>
    <w:uiPriority w:val="99"/>
    <w:rsid w:val="00D32EC8"/>
    <w:rPr>
      <w:rFonts w:ascii="Calibri" w:hAnsi="Calibri" w:cs="Arial"/>
      <w:sz w:val="16"/>
      <w:szCs w:val="16"/>
    </w:rPr>
  </w:style>
  <w:style w:type="character" w:styleId="FootnoteReference">
    <w:name w:val="footnote reference"/>
    <w:aliases w:val="ftref,16 Point,Superscript 6 Point, BVI fnr,BVI fnr,Ref,de nota al pie,ASI Footer,BVI fnr Car Car,BVI fnr Car,BVI fnr Car Car Car Car,BVI fnr Car Car Car Car Char,Appel note de bas de p.,Error-Fußnotenzeichen5,Error-Fußnotenzeichen6"/>
    <w:basedOn w:val="DefaultParagraphFont"/>
    <w:link w:val="BVIfnrCharCar1CarChar"/>
    <w:uiPriority w:val="99"/>
    <w:qFormat/>
    <w:rsid w:val="00D65CC2"/>
    <w:rPr>
      <w:rFonts w:asciiTheme="minorHAnsi" w:hAnsiTheme="minorHAnsi" w:cs="Arial"/>
      <w:position w:val="0"/>
      <w:sz w:val="20"/>
      <w:szCs w:val="20"/>
      <w:vertAlign w:val="superscript"/>
    </w:rPr>
  </w:style>
  <w:style w:type="paragraph" w:customStyle="1" w:styleId="ItadBullets">
    <w:name w:val="Itad Bullets"/>
    <w:basedOn w:val="ItadNormalText"/>
    <w:link w:val="ItadBulletsChar"/>
    <w:qFormat/>
    <w:rsid w:val="009D1380"/>
    <w:pPr>
      <w:numPr>
        <w:numId w:val="1"/>
      </w:numPr>
      <w:ind w:left="284" w:hanging="284"/>
    </w:pPr>
    <w:rPr>
      <w:lang w:eastAsia="en-GB"/>
    </w:rPr>
  </w:style>
  <w:style w:type="table" w:styleId="TableGrid">
    <w:name w:val="Table Grid"/>
    <w:aliases w:val="Plain Table Grid,Header Table Grid,FF Table 1"/>
    <w:basedOn w:val="TableNormal"/>
    <w:uiPriority w:val="39"/>
    <w:rsid w:val="005A32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tadQuote">
    <w:name w:val="Itad Quote"/>
    <w:basedOn w:val="Normal"/>
    <w:next w:val="ItadNormalText"/>
    <w:qFormat/>
    <w:rsid w:val="00CB63E8"/>
    <w:pPr>
      <w:tabs>
        <w:tab w:val="left" w:pos="1420"/>
      </w:tabs>
      <w:spacing w:before="360" w:after="360"/>
      <w:ind w:left="567" w:right="510"/>
    </w:pPr>
    <w:rPr>
      <w:i/>
      <w:iCs/>
      <w:color w:val="3B3B3C"/>
      <w:shd w:val="clear" w:color="auto" w:fill="FFFFFF"/>
      <w:lang w:eastAsia="en-GB"/>
    </w:rPr>
  </w:style>
  <w:style w:type="paragraph" w:customStyle="1" w:styleId="ItadPull-outBold">
    <w:name w:val="Itad Pull-out Bold"/>
    <w:basedOn w:val="ItadQuote"/>
    <w:next w:val="ItadNormalText"/>
    <w:rsid w:val="00A323EE"/>
    <w:rPr>
      <w:b/>
      <w:i w:val="0"/>
    </w:rPr>
  </w:style>
  <w:style w:type="paragraph" w:customStyle="1" w:styleId="ItadPull-outTint">
    <w:name w:val="Itad Pull-out Tint"/>
    <w:basedOn w:val="ItadPull-outBold"/>
    <w:next w:val="ItadNormalText"/>
    <w:rsid w:val="002F13A2"/>
    <w:pPr>
      <w:pBdr>
        <w:top w:val="single" w:sz="24" w:space="0" w:color="F4F9E9"/>
        <w:left w:val="single" w:sz="24" w:space="4" w:color="F4F9E9"/>
        <w:bottom w:val="single" w:sz="24" w:space="1" w:color="F4F9E9"/>
        <w:right w:val="single" w:sz="24" w:space="4" w:color="F4F9E9"/>
      </w:pBdr>
      <w:shd w:val="clear" w:color="auto" w:fill="F4F9E9"/>
    </w:pPr>
    <w:rPr>
      <w:b w:val="0"/>
      <w:shd w:val="clear" w:color="auto" w:fill="F4F9E9"/>
    </w:rPr>
  </w:style>
  <w:style w:type="paragraph" w:customStyle="1" w:styleId="ItadPull-outBlock">
    <w:name w:val="Itad Pull-out Block"/>
    <w:basedOn w:val="Normal"/>
    <w:next w:val="ItadNormalText"/>
    <w:rsid w:val="0026393B"/>
    <w:pPr>
      <w:pBdr>
        <w:top w:val="single" w:sz="24" w:space="1" w:color="8CCA45"/>
        <w:left w:val="single" w:sz="24" w:space="4" w:color="8CCA45"/>
        <w:bottom w:val="single" w:sz="24" w:space="1" w:color="8CCA45"/>
        <w:right w:val="single" w:sz="24" w:space="4" w:color="8CCA45"/>
      </w:pBdr>
      <w:shd w:val="clear" w:color="auto" w:fill="8CCA45"/>
      <w:spacing w:before="360" w:after="360"/>
      <w:ind w:left="851" w:right="851"/>
    </w:pPr>
    <w:rPr>
      <w:color w:val="FFFFFF" w:themeColor="background1"/>
    </w:rPr>
  </w:style>
  <w:style w:type="paragraph" w:styleId="Header">
    <w:name w:val="header"/>
    <w:basedOn w:val="Normal"/>
    <w:link w:val="HeaderChar"/>
    <w:uiPriority w:val="99"/>
    <w:rsid w:val="00D46FD7"/>
    <w:pPr>
      <w:tabs>
        <w:tab w:val="center" w:pos="4513"/>
        <w:tab w:val="right" w:pos="9026"/>
      </w:tabs>
    </w:pPr>
  </w:style>
  <w:style w:type="character" w:customStyle="1" w:styleId="HeaderChar">
    <w:name w:val="Header Char"/>
    <w:basedOn w:val="DefaultParagraphFont"/>
    <w:link w:val="Header"/>
    <w:uiPriority w:val="99"/>
    <w:rsid w:val="00D65CC2"/>
    <w:rPr>
      <w:rFonts w:ascii="Calibri" w:hAnsi="Calibri" w:cs="Arial"/>
      <w:sz w:val="22"/>
      <w:szCs w:val="22"/>
    </w:rPr>
  </w:style>
  <w:style w:type="paragraph" w:styleId="BalloonText">
    <w:name w:val="Balloon Text"/>
    <w:basedOn w:val="Normal"/>
    <w:link w:val="BalloonTextChar"/>
    <w:uiPriority w:val="99"/>
    <w:semiHidden/>
    <w:rsid w:val="007E092D"/>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DA5495"/>
    <w:rPr>
      <w:rFonts w:ascii="Times New Roman" w:hAnsi="Times New Roman" w:cs="Times New Roman"/>
      <w:sz w:val="18"/>
      <w:szCs w:val="18"/>
    </w:rPr>
  </w:style>
  <w:style w:type="paragraph" w:customStyle="1" w:styleId="ItadIntroText">
    <w:name w:val="Itad Intro Text"/>
    <w:basedOn w:val="Normal"/>
    <w:next w:val="ItadNormalText"/>
    <w:autoRedefine/>
    <w:rsid w:val="007F4DF1"/>
    <w:pPr>
      <w:spacing w:before="120" w:after="120" w:line="320" w:lineRule="atLeast"/>
    </w:pPr>
    <w:rPr>
      <w:color w:val="767171" w:themeColor="background2" w:themeShade="80"/>
      <w:sz w:val="28"/>
      <w:szCs w:val="28"/>
    </w:rPr>
  </w:style>
  <w:style w:type="paragraph" w:customStyle="1" w:styleId="ItadNormalText">
    <w:name w:val="Itad Normal Text"/>
    <w:basedOn w:val="NormalWeb"/>
    <w:link w:val="ItadNormalTextChar"/>
    <w:qFormat/>
    <w:rsid w:val="00AC2686"/>
    <w:pPr>
      <w:tabs>
        <w:tab w:val="left" w:pos="1418"/>
      </w:tabs>
      <w:spacing w:before="120" w:after="120"/>
    </w:pPr>
    <w:rPr>
      <w:rFonts w:ascii="Calibri" w:hAnsi="Calibri" w:cs="Arial"/>
      <w:color w:val="3B3B3C"/>
    </w:rPr>
  </w:style>
  <w:style w:type="paragraph" w:customStyle="1" w:styleId="ItadNormalTextBold">
    <w:name w:val="Itad Normal Text (Bold)"/>
    <w:basedOn w:val="ItadNormalText"/>
    <w:next w:val="ItadNormalText"/>
    <w:qFormat/>
    <w:rsid w:val="009D1380"/>
    <w:rPr>
      <w:b/>
      <w:bCs/>
    </w:rPr>
  </w:style>
  <w:style w:type="paragraph" w:customStyle="1" w:styleId="ItadNormalTextWhite">
    <w:name w:val="Itad Normal Text (White)"/>
    <w:basedOn w:val="ItadNormalText"/>
    <w:next w:val="ItadNormalText"/>
    <w:rsid w:val="00C407DB"/>
    <w:rPr>
      <w:color w:val="FFFFFF" w:themeColor="background1"/>
    </w:rPr>
  </w:style>
  <w:style w:type="paragraph" w:styleId="NormalWeb">
    <w:name w:val="Normal (Web)"/>
    <w:basedOn w:val="Normal"/>
    <w:link w:val="NormalWebChar"/>
    <w:uiPriority w:val="99"/>
    <w:rsid w:val="009D1380"/>
    <w:rPr>
      <w:rFonts w:ascii="Times New Roman" w:hAnsi="Times New Roman" w:cs="Times New Roman"/>
    </w:rPr>
  </w:style>
  <w:style w:type="paragraph" w:customStyle="1" w:styleId="ItadHeader">
    <w:name w:val="Itad Header"/>
    <w:basedOn w:val="Normal"/>
    <w:rsid w:val="00D32EC8"/>
    <w:pPr>
      <w:spacing w:after="480"/>
    </w:pPr>
    <w:rPr>
      <w:sz w:val="18"/>
      <w:szCs w:val="18"/>
    </w:rPr>
  </w:style>
  <w:style w:type="paragraph" w:customStyle="1" w:styleId="ItadFooter">
    <w:name w:val="Itad Footer"/>
    <w:basedOn w:val="ItadNormalText"/>
    <w:rsid w:val="001A6FFB"/>
    <w:pPr>
      <w:tabs>
        <w:tab w:val="clear" w:pos="1418"/>
        <w:tab w:val="right" w:pos="9072"/>
      </w:tabs>
      <w:spacing w:before="460" w:after="0"/>
      <w:contextualSpacing/>
    </w:pPr>
    <w:rPr>
      <w:sz w:val="18"/>
      <w:szCs w:val="18"/>
    </w:rPr>
  </w:style>
  <w:style w:type="character" w:customStyle="1" w:styleId="Heading1Char">
    <w:name w:val="Heading 1 Char"/>
    <w:basedOn w:val="DefaultParagraphFont"/>
    <w:link w:val="Heading1"/>
    <w:uiPriority w:val="9"/>
    <w:rsid w:val="008D540A"/>
    <w:rPr>
      <w:rFonts w:ascii="Calibri" w:hAnsi="Calibri" w:cs="Arial"/>
      <w:color w:val="3FB84E"/>
      <w:sz w:val="32"/>
      <w:szCs w:val="32"/>
    </w:rPr>
  </w:style>
  <w:style w:type="paragraph" w:customStyle="1" w:styleId="ItadH1Numbered">
    <w:name w:val="Itad H1 (Numbered)"/>
    <w:basedOn w:val="Heading1"/>
    <w:next w:val="ItadNormalText"/>
    <w:qFormat/>
    <w:rsid w:val="0045048E"/>
    <w:pPr>
      <w:ind w:firstLine="0"/>
    </w:pPr>
    <w:rPr>
      <w:b/>
      <w:bCs/>
      <w:color w:val="588B46" w:themeColor="text2"/>
    </w:rPr>
  </w:style>
  <w:style w:type="paragraph" w:customStyle="1" w:styleId="ItadH2Numbered">
    <w:name w:val="Itad H2 (Numbered)"/>
    <w:basedOn w:val="Heading2"/>
    <w:next w:val="ItadNormalText"/>
    <w:qFormat/>
    <w:rsid w:val="00DA58F5"/>
    <w:pPr>
      <w:spacing w:before="240" w:after="240"/>
      <w:ind w:firstLine="0"/>
    </w:pPr>
    <w:rPr>
      <w:b/>
      <w:bCs/>
      <w:color w:val="E37230" w:themeColor="accent2"/>
      <w:sz w:val="28"/>
      <w:szCs w:val="28"/>
    </w:rPr>
  </w:style>
  <w:style w:type="paragraph" w:customStyle="1" w:styleId="ItadH3Numbered">
    <w:name w:val="Itad H3 (Numbered)"/>
    <w:basedOn w:val="Heading3"/>
    <w:next w:val="ItadNormalText"/>
    <w:qFormat/>
    <w:rsid w:val="00DA58F5"/>
    <w:pPr>
      <w:tabs>
        <w:tab w:val="num" w:pos="680"/>
      </w:tabs>
      <w:spacing w:after="200"/>
      <w:ind w:left="0" w:firstLine="0"/>
    </w:pPr>
    <w:rPr>
      <w:b/>
      <w:bCs/>
      <w:color w:val="767171" w:themeColor="background2" w:themeShade="80"/>
      <w:sz w:val="24"/>
      <w:szCs w:val="24"/>
      <w:lang w:eastAsia="en-GB"/>
    </w:rPr>
  </w:style>
  <w:style w:type="paragraph" w:customStyle="1" w:styleId="ItadH4Numbered">
    <w:name w:val="Itad H4 (Numbered)"/>
    <w:basedOn w:val="Heading4"/>
    <w:qFormat/>
    <w:rsid w:val="009D2E35"/>
    <w:pPr>
      <w:ind w:left="907" w:hanging="907"/>
    </w:pPr>
    <w:rPr>
      <w:i/>
      <w:iCs/>
      <w:color w:val="767171" w:themeColor="background2" w:themeShade="80"/>
      <w:sz w:val="24"/>
      <w:szCs w:val="24"/>
    </w:rPr>
  </w:style>
  <w:style w:type="paragraph" w:customStyle="1" w:styleId="ItadH4">
    <w:name w:val="Itad H4"/>
    <w:basedOn w:val="Normal"/>
    <w:next w:val="ItadNormalText"/>
    <w:qFormat/>
    <w:rsid w:val="002F6B60"/>
    <w:pPr>
      <w:shd w:val="clear" w:color="auto" w:fill="DCEAD6" w:themeFill="text2" w:themeFillTint="33"/>
      <w:spacing w:after="120"/>
      <w:outlineLvl w:val="3"/>
    </w:pPr>
    <w:rPr>
      <w:rFonts w:eastAsia="Calibri"/>
      <w:b/>
      <w:bCs/>
      <w:color w:val="3B3B3C"/>
      <w:sz w:val="24"/>
      <w:szCs w:val="24"/>
    </w:rPr>
  </w:style>
  <w:style w:type="paragraph" w:customStyle="1" w:styleId="ItadH1">
    <w:name w:val="Itad H1"/>
    <w:basedOn w:val="ItadNormalText"/>
    <w:link w:val="ItadH1Char"/>
    <w:qFormat/>
    <w:rsid w:val="002E67FF"/>
    <w:pPr>
      <w:outlineLvl w:val="0"/>
    </w:pPr>
    <w:rPr>
      <w:b/>
      <w:bCs/>
      <w:color w:val="588B46" w:themeColor="text2"/>
      <w:sz w:val="36"/>
      <w:szCs w:val="36"/>
    </w:rPr>
  </w:style>
  <w:style w:type="paragraph" w:customStyle="1" w:styleId="ItadH2">
    <w:name w:val="Itad H2"/>
    <w:basedOn w:val="Normal"/>
    <w:next w:val="ItadNormalText"/>
    <w:qFormat/>
    <w:rsid w:val="0086557C"/>
    <w:pPr>
      <w:spacing w:before="240" w:after="120"/>
      <w:outlineLvl w:val="1"/>
    </w:pPr>
    <w:rPr>
      <w:b/>
      <w:bCs/>
      <w:color w:val="E37230" w:themeColor="accent2"/>
      <w:sz w:val="28"/>
      <w:szCs w:val="28"/>
    </w:rPr>
  </w:style>
  <w:style w:type="paragraph" w:customStyle="1" w:styleId="ItadH3">
    <w:name w:val="Itad H3"/>
    <w:basedOn w:val="ItadH3Numbered"/>
    <w:next w:val="ItadNormalText"/>
    <w:qFormat/>
    <w:rsid w:val="00083937"/>
    <w:pPr>
      <w:numPr>
        <w:ilvl w:val="0"/>
        <w:numId w:val="0"/>
      </w:numPr>
    </w:pPr>
  </w:style>
  <w:style w:type="paragraph" w:customStyle="1" w:styleId="ItadMainTitle1">
    <w:name w:val="Itad Main Title 1"/>
    <w:basedOn w:val="Normal"/>
    <w:next w:val="ItadMainTitle2"/>
    <w:rsid w:val="00A51EB8"/>
    <w:pPr>
      <w:spacing w:after="440"/>
    </w:pPr>
    <w:rPr>
      <w:sz w:val="36"/>
      <w:szCs w:val="36"/>
    </w:rPr>
  </w:style>
  <w:style w:type="paragraph" w:customStyle="1" w:styleId="ItadMainTitle2">
    <w:name w:val="Itad Main Title 2"/>
    <w:basedOn w:val="Normal"/>
    <w:next w:val="ItadMainTitle3"/>
    <w:rsid w:val="00A51EB8"/>
    <w:rPr>
      <w:sz w:val="52"/>
      <w:szCs w:val="52"/>
    </w:rPr>
  </w:style>
  <w:style w:type="paragraph" w:customStyle="1" w:styleId="ItadMainTitle3">
    <w:name w:val="Itad Main Title 3"/>
    <w:basedOn w:val="Normal"/>
    <w:rsid w:val="00390A6B"/>
    <w:pPr>
      <w:spacing w:before="260"/>
      <w:contextualSpacing/>
    </w:pPr>
    <w:rPr>
      <w:color w:val="3B3B3C" w:themeColor="text1"/>
    </w:rPr>
  </w:style>
  <w:style w:type="paragraph" w:customStyle="1" w:styleId="ItadHeading1Non-Contents">
    <w:name w:val="Itad Heading 1 (Non-Contents)"/>
    <w:basedOn w:val="ItadH1"/>
    <w:next w:val="ItadNormalText"/>
    <w:rsid w:val="00A51EB8"/>
  </w:style>
  <w:style w:type="paragraph" w:customStyle="1" w:styleId="ItadH4Tables">
    <w:name w:val="Itad H4 (Tables)"/>
    <w:basedOn w:val="ItadH4"/>
    <w:next w:val="ItadNormalText"/>
    <w:rsid w:val="009D2E35"/>
    <w:pPr>
      <w:spacing w:after="0"/>
    </w:pPr>
    <w:rPr>
      <w:b w:val="0"/>
      <w:bCs w:val="0"/>
      <w:i/>
      <w:iCs/>
    </w:rPr>
  </w:style>
  <w:style w:type="paragraph" w:customStyle="1" w:styleId="Itadnumberedparas">
    <w:name w:val="Itad numbered paras"/>
    <w:basedOn w:val="ItadNormalText"/>
    <w:rsid w:val="00314399"/>
    <w:pPr>
      <w:numPr>
        <w:numId w:val="3"/>
      </w:numPr>
      <w:ind w:left="0" w:hanging="709"/>
    </w:pPr>
  </w:style>
  <w:style w:type="paragraph" w:customStyle="1" w:styleId="ItadSubbullets">
    <w:name w:val="Itad Sub bullets"/>
    <w:qFormat/>
    <w:rsid w:val="00E71DAC"/>
    <w:pPr>
      <w:numPr>
        <w:numId w:val="4"/>
      </w:numPr>
      <w:spacing w:before="120" w:after="120"/>
      <w:ind w:left="568" w:hanging="284"/>
    </w:pPr>
    <w:rPr>
      <w:rFonts w:ascii="Calibri" w:hAnsi="Calibri" w:cs="Arial"/>
      <w:color w:val="3B3B3C" w:themeColor="text1"/>
      <w:sz w:val="22"/>
      <w:szCs w:val="22"/>
      <w:lang w:eastAsia="en-GB"/>
    </w:rPr>
  </w:style>
  <w:style w:type="paragraph" w:customStyle="1" w:styleId="Bannerheader">
    <w:name w:val="Banner header"/>
    <w:basedOn w:val="ItadH1"/>
    <w:link w:val="BannerheaderChar"/>
    <w:rsid w:val="00B90F0D"/>
    <w:rPr>
      <w:rFonts w:asciiTheme="minorHAnsi" w:hAnsiTheme="minorHAnsi"/>
      <w:color w:val="FFFFFF" w:themeColor="background1"/>
    </w:rPr>
  </w:style>
  <w:style w:type="character" w:customStyle="1" w:styleId="NormalWebChar">
    <w:name w:val="Normal (Web) Char"/>
    <w:basedOn w:val="DefaultParagraphFont"/>
    <w:link w:val="NormalWeb"/>
    <w:uiPriority w:val="99"/>
    <w:rsid w:val="0066140D"/>
    <w:rPr>
      <w:rFonts w:ascii="Times New Roman" w:hAnsi="Times New Roman" w:cs="Times New Roman"/>
      <w:sz w:val="22"/>
      <w:szCs w:val="22"/>
    </w:rPr>
  </w:style>
  <w:style w:type="character" w:customStyle="1" w:styleId="ItadNormalTextChar">
    <w:name w:val="Itad Normal Text Char"/>
    <w:basedOn w:val="NormalWebChar"/>
    <w:link w:val="ItadNormalText"/>
    <w:rsid w:val="00AC2686"/>
    <w:rPr>
      <w:rFonts w:ascii="Calibri" w:hAnsi="Calibri" w:cs="Arial"/>
      <w:color w:val="3B3B3C"/>
      <w:sz w:val="22"/>
      <w:szCs w:val="22"/>
    </w:rPr>
  </w:style>
  <w:style w:type="character" w:customStyle="1" w:styleId="ItadH1Char">
    <w:name w:val="Itad H1 Char"/>
    <w:basedOn w:val="ItadNormalTextChar"/>
    <w:link w:val="ItadH1"/>
    <w:rsid w:val="002E67FF"/>
    <w:rPr>
      <w:rFonts w:ascii="Calibri" w:hAnsi="Calibri" w:cs="Arial"/>
      <w:b/>
      <w:bCs/>
      <w:color w:val="588B46" w:themeColor="text2"/>
      <w:sz w:val="36"/>
      <w:szCs w:val="36"/>
    </w:rPr>
  </w:style>
  <w:style w:type="character" w:customStyle="1" w:styleId="BannerheaderChar">
    <w:name w:val="Banner header Char"/>
    <w:basedOn w:val="ItadH1Char"/>
    <w:link w:val="Bannerheader"/>
    <w:rsid w:val="00B90F0D"/>
    <w:rPr>
      <w:rFonts w:ascii="Calibri" w:hAnsi="Calibri" w:cs="Arial"/>
      <w:b/>
      <w:bCs/>
      <w:color w:val="FFFFFF" w:themeColor="background1"/>
      <w:sz w:val="36"/>
      <w:szCs w:val="32"/>
    </w:rPr>
  </w:style>
  <w:style w:type="paragraph" w:styleId="TOCHeading">
    <w:name w:val="TOC Heading"/>
    <w:basedOn w:val="Heading1"/>
    <w:next w:val="Normal"/>
    <w:uiPriority w:val="39"/>
    <w:unhideWhenUsed/>
    <w:rsid w:val="009E38EF"/>
    <w:pPr>
      <w:keepNext/>
      <w:keepLines/>
      <w:numPr>
        <w:numId w:val="0"/>
      </w:numPr>
      <w:spacing w:before="240" w:after="0" w:line="259" w:lineRule="auto"/>
      <w:outlineLvl w:val="9"/>
    </w:pPr>
    <w:rPr>
      <w:rFonts w:asciiTheme="majorHAnsi" w:eastAsiaTheme="majorEastAsia" w:hAnsiTheme="majorHAnsi" w:cstheme="majorBidi"/>
      <w:color w:val="665F2D" w:themeColor="accent1" w:themeShade="BF"/>
      <w:lang w:val="en-US"/>
    </w:rPr>
  </w:style>
  <w:style w:type="paragraph" w:customStyle="1" w:styleId="Itadtablestyle">
    <w:name w:val="Itad table style"/>
    <w:basedOn w:val="ItadFigureCap"/>
    <w:link w:val="ItadtablestyleChar"/>
    <w:qFormat/>
    <w:rsid w:val="008B3191"/>
    <w:pPr>
      <w:numPr>
        <w:numId w:val="5"/>
      </w:numPr>
      <w:ind w:left="57" w:firstLine="0"/>
    </w:pPr>
  </w:style>
  <w:style w:type="paragraph" w:styleId="Caption">
    <w:name w:val="caption"/>
    <w:basedOn w:val="Normal"/>
    <w:next w:val="Normal"/>
    <w:uiPriority w:val="35"/>
    <w:unhideWhenUsed/>
    <w:rsid w:val="00C3353E"/>
    <w:pPr>
      <w:spacing w:after="200"/>
    </w:pPr>
    <w:rPr>
      <w:iCs/>
      <w:color w:val="3B3B3C" w:themeColor="text1"/>
      <w:sz w:val="18"/>
      <w:szCs w:val="18"/>
    </w:rPr>
  </w:style>
  <w:style w:type="character" w:customStyle="1" w:styleId="ItadCaptionChar">
    <w:name w:val="Itad Caption Char"/>
    <w:basedOn w:val="DefaultParagraphFont"/>
    <w:link w:val="ItadCaption"/>
    <w:rsid w:val="002111C6"/>
    <w:rPr>
      <w:rFonts w:ascii="Calibri" w:hAnsi="Calibri" w:cs="Arial"/>
      <w:color w:val="767171" w:themeColor="background2" w:themeShade="80"/>
      <w:sz w:val="18"/>
      <w:szCs w:val="18"/>
      <w:lang w:eastAsia="en-GB"/>
    </w:rPr>
  </w:style>
  <w:style w:type="character" w:customStyle="1" w:styleId="ItadFigureCapChar">
    <w:name w:val="Itad Figure Cap Char"/>
    <w:basedOn w:val="ItadCaptionChar"/>
    <w:link w:val="ItadFigureCap"/>
    <w:rsid w:val="002A22DA"/>
    <w:rPr>
      <w:rFonts w:ascii="Calibri" w:hAnsi="Calibri" w:cs="Arial"/>
      <w:color w:val="767171" w:themeColor="background2" w:themeShade="80"/>
      <w:sz w:val="18"/>
      <w:szCs w:val="18"/>
      <w:lang w:eastAsia="en-GB"/>
    </w:rPr>
  </w:style>
  <w:style w:type="character" w:customStyle="1" w:styleId="ItadtablestyleChar">
    <w:name w:val="Itad table style Char"/>
    <w:basedOn w:val="ItadFigureCapChar"/>
    <w:link w:val="Itadtablestyle"/>
    <w:rsid w:val="008B3191"/>
    <w:rPr>
      <w:rFonts w:ascii="Calibri" w:hAnsi="Calibri" w:cs="Arial"/>
      <w:b w:val="0"/>
      <w:color w:val="767171" w:themeColor="background2" w:themeShade="80"/>
      <w:sz w:val="18"/>
      <w:szCs w:val="18"/>
      <w:lang w:eastAsia="en-GB"/>
    </w:rPr>
  </w:style>
  <w:style w:type="paragraph" w:customStyle="1" w:styleId="ItadSectionTitleBlocknumbered">
    <w:name w:val="Itad Section Title Block numbered"/>
    <w:basedOn w:val="ItadSectionTitleBlock"/>
    <w:link w:val="ItadSectionTitleBlocknumberedChar"/>
    <w:rsid w:val="00CB00A0"/>
    <w:pPr>
      <w:numPr>
        <w:numId w:val="7"/>
      </w:numPr>
      <w:tabs>
        <w:tab w:val="clear" w:pos="1420"/>
      </w:tabs>
      <w:ind w:left="0" w:firstLine="0"/>
    </w:pPr>
  </w:style>
  <w:style w:type="character" w:customStyle="1" w:styleId="ItadSectionTitleBlockChar">
    <w:name w:val="Itad Section Title Block Char"/>
    <w:basedOn w:val="DefaultParagraphFont"/>
    <w:link w:val="ItadSectionTitleBlock"/>
    <w:rsid w:val="000E1EBA"/>
    <w:rPr>
      <w:rFonts w:ascii="CubeOT" w:hAnsi="CubeOT" w:cs="CubeOT"/>
      <w:noProof/>
      <w:color w:val="767171" w:themeColor="background2" w:themeShade="80"/>
      <w:position w:val="-80"/>
      <w:sz w:val="56"/>
      <w:szCs w:val="56"/>
      <w:lang w:eastAsia="en-GB"/>
    </w:rPr>
  </w:style>
  <w:style w:type="character" w:customStyle="1" w:styleId="ItadSectionTitleBlocknumberedChar">
    <w:name w:val="Itad Section Title Block numbered Char"/>
    <w:basedOn w:val="ItadSectionTitleBlockChar"/>
    <w:link w:val="ItadSectionTitleBlocknumbered"/>
    <w:rsid w:val="00CB00A0"/>
    <w:rPr>
      <w:rFonts w:ascii="CubeOT" w:hAnsi="CubeOT" w:cs="CubeOT"/>
      <w:noProof/>
      <w:color w:val="767171" w:themeColor="background2" w:themeShade="80"/>
      <w:position w:val="-80"/>
      <w:sz w:val="56"/>
      <w:szCs w:val="56"/>
      <w:lang w:eastAsia="en-GB"/>
    </w:rPr>
  </w:style>
  <w:style w:type="paragraph" w:customStyle="1" w:styleId="Itadfootnotestyle">
    <w:name w:val="Itad footnote style"/>
    <w:basedOn w:val="FootnoteText"/>
    <w:link w:val="ItadfootnotestyleChar"/>
    <w:qFormat/>
    <w:rsid w:val="00D1522D"/>
  </w:style>
  <w:style w:type="character" w:styleId="CommentReference">
    <w:name w:val="annotation reference"/>
    <w:basedOn w:val="DefaultParagraphFont"/>
    <w:uiPriority w:val="99"/>
    <w:unhideWhenUsed/>
    <w:rsid w:val="006477BD"/>
    <w:rPr>
      <w:sz w:val="16"/>
      <w:szCs w:val="16"/>
    </w:rPr>
  </w:style>
  <w:style w:type="character" w:customStyle="1" w:styleId="ItadfootnotestyleChar">
    <w:name w:val="Itad footnote style Char"/>
    <w:basedOn w:val="FootnoteTextChar"/>
    <w:link w:val="Itadfootnotestyle"/>
    <w:rsid w:val="00D1522D"/>
    <w:rPr>
      <w:rFonts w:ascii="Calibri" w:hAnsi="Calibri" w:cs="Arial"/>
      <w:sz w:val="16"/>
      <w:szCs w:val="16"/>
    </w:rPr>
  </w:style>
  <w:style w:type="paragraph" w:styleId="CommentText">
    <w:name w:val="annotation text"/>
    <w:basedOn w:val="Normal"/>
    <w:link w:val="CommentTextChar"/>
    <w:uiPriority w:val="99"/>
    <w:unhideWhenUsed/>
    <w:rsid w:val="006477BD"/>
    <w:rPr>
      <w:sz w:val="20"/>
      <w:szCs w:val="20"/>
    </w:rPr>
  </w:style>
  <w:style w:type="character" w:customStyle="1" w:styleId="CommentTextChar">
    <w:name w:val="Comment Text Char"/>
    <w:basedOn w:val="DefaultParagraphFont"/>
    <w:link w:val="CommentText"/>
    <w:uiPriority w:val="99"/>
    <w:rsid w:val="006477BD"/>
    <w:rPr>
      <w:rFonts w:ascii="Calibri" w:hAnsi="Calibri" w:cs="Arial"/>
      <w:sz w:val="20"/>
      <w:szCs w:val="20"/>
    </w:rPr>
  </w:style>
  <w:style w:type="paragraph" w:styleId="CommentSubject">
    <w:name w:val="annotation subject"/>
    <w:basedOn w:val="CommentText"/>
    <w:next w:val="CommentText"/>
    <w:link w:val="CommentSubjectChar"/>
    <w:uiPriority w:val="99"/>
    <w:semiHidden/>
    <w:unhideWhenUsed/>
    <w:rsid w:val="006477BD"/>
    <w:rPr>
      <w:b/>
      <w:bCs/>
    </w:rPr>
  </w:style>
  <w:style w:type="character" w:customStyle="1" w:styleId="CommentSubjectChar">
    <w:name w:val="Comment Subject Char"/>
    <w:basedOn w:val="CommentTextChar"/>
    <w:link w:val="CommentSubject"/>
    <w:uiPriority w:val="99"/>
    <w:semiHidden/>
    <w:rsid w:val="006477BD"/>
    <w:rPr>
      <w:rFonts w:ascii="Calibri" w:hAnsi="Calibri" w:cs="Arial"/>
      <w:b/>
      <w:bCs/>
      <w:sz w:val="20"/>
      <w:szCs w:val="20"/>
    </w:rPr>
  </w:style>
  <w:style w:type="paragraph" w:customStyle="1" w:styleId="Itadtabletext">
    <w:name w:val="Itad table text"/>
    <w:basedOn w:val="ItadNormalText"/>
    <w:link w:val="ItadtabletextChar"/>
    <w:qFormat/>
    <w:rsid w:val="00215994"/>
    <w:pPr>
      <w:spacing w:before="60" w:after="60"/>
    </w:pPr>
    <w:rPr>
      <w:sz w:val="20"/>
    </w:rPr>
  </w:style>
  <w:style w:type="character" w:customStyle="1" w:styleId="ItadtabletextChar">
    <w:name w:val="Itad table text Char"/>
    <w:basedOn w:val="ItadNormalTextChar"/>
    <w:link w:val="Itadtabletext"/>
    <w:rsid w:val="00215994"/>
    <w:rPr>
      <w:rFonts w:ascii="Calibri" w:hAnsi="Calibri" w:cs="Arial"/>
      <w:color w:val="3B3B3C" w:themeColor="text1"/>
      <w:sz w:val="20"/>
      <w:szCs w:val="22"/>
    </w:rPr>
  </w:style>
  <w:style w:type="paragraph" w:customStyle="1" w:styleId="Figuresource">
    <w:name w:val="Figure source"/>
    <w:basedOn w:val="Normal"/>
    <w:link w:val="FiguresourceChar"/>
    <w:qFormat/>
    <w:rsid w:val="002111C6"/>
    <w:pPr>
      <w:jc w:val="right"/>
    </w:pPr>
    <w:rPr>
      <w:color w:val="767171" w:themeColor="background2" w:themeShade="80"/>
      <w:sz w:val="18"/>
      <w:szCs w:val="18"/>
    </w:rPr>
  </w:style>
  <w:style w:type="paragraph" w:customStyle="1" w:styleId="Sectionsubheading">
    <w:name w:val="Section subheading"/>
    <w:basedOn w:val="ItadH1"/>
    <w:link w:val="SectionsubheadingChar"/>
    <w:rsid w:val="00115008"/>
    <w:rPr>
      <w:b w:val="0"/>
      <w:bCs w:val="0"/>
      <w:color w:val="767171" w:themeColor="background2" w:themeShade="80"/>
    </w:rPr>
  </w:style>
  <w:style w:type="character" w:customStyle="1" w:styleId="FiguresourceChar">
    <w:name w:val="Figure source Char"/>
    <w:basedOn w:val="DefaultParagraphFont"/>
    <w:link w:val="Figuresource"/>
    <w:rsid w:val="002111C6"/>
    <w:rPr>
      <w:rFonts w:ascii="Calibri" w:hAnsi="Calibri" w:cs="Arial"/>
      <w:color w:val="767171" w:themeColor="background2" w:themeShade="80"/>
      <w:sz w:val="18"/>
      <w:szCs w:val="18"/>
    </w:rPr>
  </w:style>
  <w:style w:type="character" w:customStyle="1" w:styleId="SectionsubheadingChar">
    <w:name w:val="Section subheading Char"/>
    <w:basedOn w:val="ItadH1Char"/>
    <w:link w:val="Sectionsubheading"/>
    <w:rsid w:val="00115008"/>
    <w:rPr>
      <w:rFonts w:ascii="Calibri" w:hAnsi="Calibri" w:cs="Arial"/>
      <w:b w:val="0"/>
      <w:bCs w:val="0"/>
      <w:color w:val="767171" w:themeColor="background2" w:themeShade="80"/>
      <w:sz w:val="32"/>
      <w:szCs w:val="32"/>
    </w:rPr>
  </w:style>
  <w:style w:type="table" w:customStyle="1" w:styleId="Itadpulloutboxorange">
    <w:name w:val="Itad pullout box orange"/>
    <w:basedOn w:val="ItadPull-outBoxgreen"/>
    <w:uiPriority w:val="99"/>
    <w:rsid w:val="00452A42"/>
    <w:tblPr/>
    <w:tcPr>
      <w:shd w:val="clear" w:color="auto" w:fill="F9E2D5" w:themeFill="accent2" w:themeFillTint="33"/>
    </w:tcPr>
  </w:style>
  <w:style w:type="table" w:customStyle="1" w:styleId="ItadPulloutBoxGrey">
    <w:name w:val="Itad Pullout Box Grey"/>
    <w:basedOn w:val="ItadPull-outBoxgreen"/>
    <w:uiPriority w:val="99"/>
    <w:rsid w:val="00452A42"/>
    <w:tblPr/>
    <w:tcPr>
      <w:shd w:val="clear" w:color="auto" w:fill="F2F2F2" w:themeFill="background1" w:themeFillShade="F2"/>
    </w:tcPr>
  </w:style>
  <w:style w:type="table" w:customStyle="1" w:styleId="Itadalternaterows">
    <w:name w:val="Itad alternate rows"/>
    <w:basedOn w:val="ItadGreenHeaderRow"/>
    <w:uiPriority w:val="99"/>
    <w:rsid w:val="00452A42"/>
    <w:tblPr/>
    <w:tcPr>
      <w:shd w:val="clear" w:color="auto" w:fill="F2F2F2" w:themeFill="background1" w:themeFillShade="F2"/>
    </w:tcPr>
    <w:tblStylePr w:type="firstRow">
      <w:tblPr/>
      <w:tcPr>
        <w:shd w:val="clear" w:color="auto" w:fill="96C286" w:themeFill="text2" w:themeFillTint="99"/>
      </w:tcPr>
    </w:tblStylePr>
    <w:tblStylePr w:type="lastRow">
      <w:tblPr/>
      <w:tcPr>
        <w:shd w:val="clear" w:color="auto" w:fill="FFFFFF" w:themeFill="background1"/>
      </w:tcPr>
    </w:tblStylePr>
    <w:tblStylePr w:type="band1Horz">
      <w:tblPr/>
      <w:tcPr>
        <w:shd w:val="clear" w:color="auto" w:fill="F2F2F2" w:themeFill="background1" w:themeFillShade="F2"/>
      </w:tcPr>
    </w:tblStylePr>
    <w:tblStylePr w:type="band2Horz">
      <w:tblPr/>
      <w:tcPr>
        <w:shd w:val="clear" w:color="auto" w:fill="FFFFFF" w:themeFill="background1"/>
      </w:tcPr>
    </w:tblStylePr>
  </w:style>
  <w:style w:type="table" w:styleId="TableGridLight">
    <w:name w:val="Grid Table Light"/>
    <w:basedOn w:val="TableNormal"/>
    <w:uiPriority w:val="40"/>
    <w:rsid w:val="00470168"/>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FC54BD"/>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Itadplaingridgrey">
    <w:name w:val="Itad plain grid grey"/>
    <w:basedOn w:val="TableGridLight"/>
    <w:uiPriority w:val="99"/>
    <w:rsid w:val="00325542"/>
    <w:tblPr/>
    <w:tcPr>
      <w:vAlign w:val="center"/>
    </w:tcPr>
  </w:style>
  <w:style w:type="paragraph" w:customStyle="1" w:styleId="BoxHeader">
    <w:name w:val="Box Header"/>
    <w:basedOn w:val="ItadFigureCap"/>
    <w:link w:val="BoxHeaderChar"/>
    <w:rsid w:val="00A95893"/>
    <w:rPr>
      <w:color w:val="E37230" w:themeColor="accent2"/>
      <w:sz w:val="24"/>
    </w:rPr>
  </w:style>
  <w:style w:type="character" w:styleId="UnresolvedMention">
    <w:name w:val="Unresolved Mention"/>
    <w:basedOn w:val="DefaultParagraphFont"/>
    <w:uiPriority w:val="99"/>
    <w:semiHidden/>
    <w:unhideWhenUsed/>
    <w:rsid w:val="00325542"/>
    <w:rPr>
      <w:color w:val="605E5C"/>
      <w:shd w:val="clear" w:color="auto" w:fill="E1DFDD"/>
    </w:rPr>
  </w:style>
  <w:style w:type="character" w:customStyle="1" w:styleId="BoxHeaderChar">
    <w:name w:val="Box Header Char"/>
    <w:basedOn w:val="ItadFigureCapChar"/>
    <w:link w:val="BoxHeader"/>
    <w:rsid w:val="00A95893"/>
    <w:rPr>
      <w:rFonts w:ascii="Calibri" w:hAnsi="Calibri" w:cs="Arial"/>
      <w:b w:val="0"/>
      <w:color w:val="E37230" w:themeColor="accent2"/>
      <w:sz w:val="18"/>
      <w:szCs w:val="18"/>
      <w:lang w:eastAsia="en-GB"/>
    </w:rPr>
  </w:style>
  <w:style w:type="character" w:styleId="FollowedHyperlink">
    <w:name w:val="FollowedHyperlink"/>
    <w:basedOn w:val="DefaultParagraphFont"/>
    <w:uiPriority w:val="99"/>
    <w:semiHidden/>
    <w:unhideWhenUsed/>
    <w:rsid w:val="00325542"/>
    <w:rPr>
      <w:color w:val="F3932D" w:themeColor="followedHyperlink"/>
      <w:u w:val="single"/>
    </w:rPr>
  </w:style>
  <w:style w:type="character" w:styleId="LineNumber">
    <w:name w:val="line number"/>
    <w:basedOn w:val="DefaultParagraphFont"/>
    <w:uiPriority w:val="99"/>
    <w:semiHidden/>
    <w:unhideWhenUsed/>
    <w:rsid w:val="00314399"/>
  </w:style>
  <w:style w:type="paragraph" w:customStyle="1" w:styleId="Itadnumberedlist">
    <w:name w:val="Itad numbered list"/>
    <w:basedOn w:val="ItadBullets"/>
    <w:link w:val="ItadnumberedlistChar"/>
    <w:qFormat/>
    <w:rsid w:val="00A12329"/>
    <w:pPr>
      <w:numPr>
        <w:numId w:val="8"/>
      </w:numPr>
      <w:tabs>
        <w:tab w:val="clear" w:pos="567"/>
        <w:tab w:val="clear" w:pos="1418"/>
        <w:tab w:val="num" w:pos="284"/>
      </w:tabs>
      <w:ind w:left="284" w:hanging="284"/>
    </w:pPr>
    <w:rPr>
      <w:bCs/>
      <w:lang w:val="it-IT"/>
    </w:rPr>
  </w:style>
  <w:style w:type="character" w:customStyle="1" w:styleId="ItadBulletsChar">
    <w:name w:val="Itad Bullets Char"/>
    <w:basedOn w:val="ItadNormalTextChar"/>
    <w:link w:val="ItadBullets"/>
    <w:rsid w:val="00314399"/>
    <w:rPr>
      <w:rFonts w:ascii="Calibri" w:hAnsi="Calibri" w:cs="Arial"/>
      <w:color w:val="3B3B3C" w:themeColor="text1"/>
      <w:sz w:val="22"/>
      <w:szCs w:val="22"/>
      <w:lang w:eastAsia="en-GB"/>
    </w:rPr>
  </w:style>
  <w:style w:type="character" w:customStyle="1" w:styleId="ItadnumberedlistChar">
    <w:name w:val="Itad numbered list Char"/>
    <w:basedOn w:val="ItadBulletsChar"/>
    <w:link w:val="Itadnumberedlist"/>
    <w:rsid w:val="00A12329"/>
    <w:rPr>
      <w:rFonts w:ascii="Calibri" w:hAnsi="Calibri" w:cs="Arial"/>
      <w:bCs/>
      <w:color w:val="3B3B3C"/>
      <w:sz w:val="22"/>
      <w:szCs w:val="22"/>
      <w:lang w:val="it-IT" w:eastAsia="en-GB"/>
    </w:rPr>
  </w:style>
  <w:style w:type="paragraph" w:customStyle="1" w:styleId="Itadboxnumbers">
    <w:name w:val="Itad box numbers"/>
    <w:basedOn w:val="ItadNormalText"/>
    <w:link w:val="ItadboxnumbersChar"/>
    <w:qFormat/>
    <w:rsid w:val="00E71DAC"/>
    <w:pPr>
      <w:framePr w:hSpace="180" w:wrap="around" w:vAnchor="text" w:hAnchor="margin" w:y="307"/>
      <w:numPr>
        <w:numId w:val="9"/>
      </w:numPr>
      <w:tabs>
        <w:tab w:val="left" w:pos="567"/>
      </w:tabs>
      <w:ind w:right="57"/>
    </w:pPr>
    <w:rPr>
      <w:b/>
      <w:bCs/>
      <w:color w:val="E37230" w:themeColor="accent2"/>
    </w:rPr>
  </w:style>
  <w:style w:type="character" w:customStyle="1" w:styleId="ItadboxnumbersChar">
    <w:name w:val="Itad box numbers Char"/>
    <w:basedOn w:val="ItadNormalTextChar"/>
    <w:link w:val="Itadboxnumbers"/>
    <w:rsid w:val="00E71DAC"/>
    <w:rPr>
      <w:rFonts w:ascii="Calibri" w:hAnsi="Calibri" w:cs="Arial"/>
      <w:b/>
      <w:bCs/>
      <w:color w:val="E37230" w:themeColor="accent2"/>
      <w:sz w:val="22"/>
      <w:szCs w:val="22"/>
    </w:rPr>
  </w:style>
  <w:style w:type="character" w:customStyle="1" w:styleId="eop">
    <w:name w:val="eop"/>
    <w:basedOn w:val="DefaultParagraphFont"/>
    <w:rsid w:val="00D42B8B"/>
  </w:style>
  <w:style w:type="character" w:styleId="Emphasis">
    <w:name w:val="Emphasis"/>
    <w:basedOn w:val="DefaultParagraphFont"/>
    <w:uiPriority w:val="20"/>
    <w:qFormat/>
    <w:rsid w:val="00012EE7"/>
    <w:rPr>
      <w:i/>
      <w:iCs/>
    </w:rPr>
  </w:style>
  <w:style w:type="character" w:styleId="Strong">
    <w:name w:val="Strong"/>
    <w:basedOn w:val="DefaultParagraphFont"/>
    <w:uiPriority w:val="22"/>
    <w:rsid w:val="00012EE7"/>
    <w:rPr>
      <w:b/>
      <w:bCs/>
    </w:rPr>
  </w:style>
  <w:style w:type="paragraph" w:customStyle="1" w:styleId="ql-indent-1">
    <w:name w:val="ql-indent-1"/>
    <w:basedOn w:val="Normal"/>
    <w:rsid w:val="00012EE7"/>
    <w:pPr>
      <w:spacing w:before="100" w:beforeAutospacing="1" w:after="100" w:afterAutospacing="1"/>
    </w:pPr>
    <w:rPr>
      <w:rFonts w:ascii="Times New Roman" w:eastAsia="Times New Roman" w:hAnsi="Times New Roman" w:cs="Times New Roman"/>
      <w:sz w:val="24"/>
      <w:szCs w:val="24"/>
      <w:lang w:eastAsia="en-GB"/>
    </w:rPr>
  </w:style>
  <w:style w:type="paragraph" w:customStyle="1" w:styleId="ql-indent-2">
    <w:name w:val="ql-indent-2"/>
    <w:basedOn w:val="Normal"/>
    <w:rsid w:val="00012EE7"/>
    <w:pPr>
      <w:spacing w:before="100" w:beforeAutospacing="1" w:after="100" w:afterAutospacing="1"/>
    </w:pPr>
    <w:rPr>
      <w:rFonts w:ascii="Times New Roman" w:eastAsia="Times New Roman" w:hAnsi="Times New Roman" w:cs="Times New Roman"/>
      <w:sz w:val="24"/>
      <w:szCs w:val="24"/>
      <w:lang w:eastAsia="en-GB"/>
    </w:rPr>
  </w:style>
  <w:style w:type="paragraph" w:customStyle="1" w:styleId="paragraph">
    <w:name w:val="paragraph"/>
    <w:basedOn w:val="Normal"/>
    <w:rsid w:val="00012EE7"/>
    <w:pPr>
      <w:spacing w:before="100" w:beforeAutospacing="1" w:after="100" w:afterAutospacing="1"/>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012EE7"/>
  </w:style>
  <w:style w:type="paragraph" w:styleId="ListParagraph">
    <w:name w:val="List Paragraph"/>
    <w:aliases w:val="Dot pt,Numbered Para 1,No Spacing1,List Paragraph Char Char Char,Indicator Text,Bullet 1,Bullet Points,F5 List Paragraph,Colorful List - Accent 11,List Paragraph2,Normal numbered,OBC Bullet,Bullet Style,L,List Paragraph12,MAIN CONTENT"/>
    <w:basedOn w:val="Normal"/>
    <w:link w:val="ListParagraphChar"/>
    <w:uiPriority w:val="34"/>
    <w:rsid w:val="00012EE7"/>
    <w:pPr>
      <w:ind w:left="720"/>
      <w:contextualSpacing/>
    </w:pPr>
    <w:rPr>
      <w:rFonts w:asciiTheme="minorHAnsi" w:hAnsiTheme="minorHAnsi" w:cstheme="minorBidi"/>
      <w:sz w:val="24"/>
      <w:szCs w:val="24"/>
    </w:rPr>
  </w:style>
  <w:style w:type="paragraph" w:customStyle="1" w:styleId="pf0">
    <w:name w:val="pf0"/>
    <w:basedOn w:val="Normal"/>
    <w:rsid w:val="00012EE7"/>
    <w:pPr>
      <w:spacing w:before="100" w:beforeAutospacing="1" w:after="100" w:afterAutospacing="1"/>
    </w:pPr>
    <w:rPr>
      <w:rFonts w:ascii="Times New Roman" w:eastAsia="Times New Roman" w:hAnsi="Times New Roman" w:cs="Times New Roman"/>
      <w:sz w:val="24"/>
      <w:szCs w:val="24"/>
      <w:lang w:eastAsia="en-GB"/>
    </w:rPr>
  </w:style>
  <w:style w:type="character" w:customStyle="1" w:styleId="cf01">
    <w:name w:val="cf01"/>
    <w:basedOn w:val="DefaultParagraphFont"/>
    <w:rsid w:val="00012EE7"/>
    <w:rPr>
      <w:rFonts w:ascii="Segoe UI" w:hAnsi="Segoe UI" w:cs="Segoe UI" w:hint="default"/>
      <w:sz w:val="18"/>
      <w:szCs w:val="18"/>
    </w:rPr>
  </w:style>
  <w:style w:type="paragraph" w:customStyle="1" w:styleId="BVIfnrCharCar1CarChar">
    <w:name w:val="BVI fnr Char Car1 Car Char"/>
    <w:aliases w:val="BVI fnr Char Car Car Char,ftref Char Car Car Char,BVI fnr Char Car Char Char Car Car Char,ftref Char Car Char Char Car Car Char,BVI fnr Char, BVI fnr Char Car Char Char Car Car Char, BVI fnr Char"/>
    <w:basedOn w:val="Normal"/>
    <w:next w:val="Normal"/>
    <w:link w:val="FootnoteReference"/>
    <w:uiPriority w:val="99"/>
    <w:rsid w:val="00012EE7"/>
    <w:pPr>
      <w:spacing w:line="240" w:lineRule="exact"/>
      <w:jc w:val="both"/>
    </w:pPr>
    <w:rPr>
      <w:rFonts w:asciiTheme="minorHAnsi" w:hAnsiTheme="minorHAnsi"/>
      <w:sz w:val="20"/>
      <w:szCs w:val="20"/>
      <w:vertAlign w:val="superscript"/>
    </w:rPr>
  </w:style>
  <w:style w:type="paragraph" w:customStyle="1" w:styleId="FFNormal">
    <w:name w:val="FF Normal"/>
    <w:basedOn w:val="Normal"/>
    <w:link w:val="FFNormalChar"/>
    <w:rsid w:val="00012EE7"/>
    <w:rPr>
      <w:rFonts w:eastAsia="Calibri" w:cs="Times New Roman"/>
      <w:sz w:val="24"/>
      <w:szCs w:val="24"/>
    </w:rPr>
  </w:style>
  <w:style w:type="character" w:customStyle="1" w:styleId="FFNormalChar">
    <w:name w:val="FF Normal Char"/>
    <w:link w:val="FFNormal"/>
    <w:rsid w:val="00012EE7"/>
    <w:rPr>
      <w:rFonts w:ascii="Calibri" w:eastAsia="Calibri" w:hAnsi="Calibri" w:cs="Times New Roman"/>
    </w:rPr>
  </w:style>
  <w:style w:type="character" w:customStyle="1" w:styleId="fontstyle01">
    <w:name w:val="fontstyle01"/>
    <w:rsid w:val="00012EE7"/>
    <w:rPr>
      <w:rFonts w:ascii="Arial" w:hAnsi="Arial" w:cs="Arial" w:hint="default"/>
      <w:b w:val="0"/>
      <w:bCs w:val="0"/>
      <w:i w:val="0"/>
      <w:iCs w:val="0"/>
      <w:color w:val="000000"/>
      <w:sz w:val="24"/>
      <w:szCs w:val="24"/>
    </w:rPr>
  </w:style>
  <w:style w:type="paragraph" w:customStyle="1" w:styleId="Default">
    <w:name w:val="Default"/>
    <w:rsid w:val="00012EE7"/>
    <w:pPr>
      <w:autoSpaceDE w:val="0"/>
      <w:autoSpaceDN w:val="0"/>
      <w:adjustRightInd w:val="0"/>
    </w:pPr>
    <w:rPr>
      <w:rFonts w:ascii="Calibri" w:hAnsi="Calibri" w:cs="Calibri"/>
      <w:color w:val="000000"/>
    </w:rPr>
  </w:style>
  <w:style w:type="character" w:customStyle="1" w:styleId="cf11">
    <w:name w:val="cf11"/>
    <w:basedOn w:val="DefaultParagraphFont"/>
    <w:rsid w:val="00012EE7"/>
    <w:rPr>
      <w:rFonts w:ascii="Segoe UI" w:hAnsi="Segoe UI" w:cs="Segoe UI" w:hint="default"/>
      <w:sz w:val="18"/>
      <w:szCs w:val="18"/>
    </w:rPr>
  </w:style>
  <w:style w:type="character" w:customStyle="1" w:styleId="cf21">
    <w:name w:val="cf21"/>
    <w:basedOn w:val="DefaultParagraphFont"/>
    <w:rsid w:val="00012EE7"/>
    <w:rPr>
      <w:rFonts w:ascii="Segoe UI" w:hAnsi="Segoe UI" w:cs="Segoe UI" w:hint="default"/>
      <w:sz w:val="18"/>
      <w:szCs w:val="18"/>
      <w:shd w:val="clear" w:color="auto" w:fill="FFFF00"/>
    </w:rPr>
  </w:style>
  <w:style w:type="paragraph" w:styleId="Title">
    <w:name w:val="Title"/>
    <w:basedOn w:val="Normal"/>
    <w:next w:val="Normal"/>
    <w:link w:val="TitleChar"/>
    <w:uiPriority w:val="10"/>
    <w:rsid w:val="00012EE7"/>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12EE7"/>
    <w:rPr>
      <w:rFonts w:asciiTheme="majorHAnsi" w:eastAsiaTheme="majorEastAsia" w:hAnsiTheme="majorHAnsi" w:cstheme="majorBidi"/>
      <w:spacing w:val="-10"/>
      <w:kern w:val="28"/>
      <w:sz w:val="56"/>
      <w:szCs w:val="56"/>
    </w:rPr>
  </w:style>
  <w:style w:type="character" w:customStyle="1" w:styleId="apple-converted-space">
    <w:name w:val="apple-converted-space"/>
    <w:basedOn w:val="DefaultParagraphFont"/>
    <w:rsid w:val="00012EE7"/>
  </w:style>
  <w:style w:type="paragraph" w:styleId="Revision">
    <w:name w:val="Revision"/>
    <w:hidden/>
    <w:uiPriority w:val="99"/>
    <w:semiHidden/>
    <w:rsid w:val="00012EE7"/>
  </w:style>
  <w:style w:type="paragraph" w:styleId="EndnoteText">
    <w:name w:val="endnote text"/>
    <w:basedOn w:val="Normal"/>
    <w:link w:val="EndnoteTextChar"/>
    <w:uiPriority w:val="99"/>
    <w:semiHidden/>
    <w:unhideWhenUsed/>
    <w:rsid w:val="00012EE7"/>
    <w:rPr>
      <w:rFonts w:asciiTheme="minorHAnsi" w:hAnsiTheme="minorHAnsi" w:cstheme="minorBidi"/>
      <w:sz w:val="20"/>
      <w:szCs w:val="20"/>
    </w:rPr>
  </w:style>
  <w:style w:type="character" w:customStyle="1" w:styleId="EndnoteTextChar">
    <w:name w:val="Endnote Text Char"/>
    <w:basedOn w:val="DefaultParagraphFont"/>
    <w:link w:val="EndnoteText"/>
    <w:uiPriority w:val="99"/>
    <w:semiHidden/>
    <w:rsid w:val="00012EE7"/>
    <w:rPr>
      <w:sz w:val="20"/>
      <w:szCs w:val="20"/>
    </w:rPr>
  </w:style>
  <w:style w:type="character" w:styleId="EndnoteReference">
    <w:name w:val="endnote reference"/>
    <w:basedOn w:val="DefaultParagraphFont"/>
    <w:uiPriority w:val="99"/>
    <w:semiHidden/>
    <w:unhideWhenUsed/>
    <w:rsid w:val="00012EE7"/>
    <w:rPr>
      <w:vertAlign w:val="superscript"/>
    </w:rPr>
  </w:style>
  <w:style w:type="character" w:customStyle="1" w:styleId="cf31">
    <w:name w:val="cf31"/>
    <w:basedOn w:val="DefaultParagraphFont"/>
    <w:rsid w:val="00012EE7"/>
    <w:rPr>
      <w:rFonts w:ascii="Segoe UI" w:hAnsi="Segoe UI" w:cs="Segoe UI" w:hint="default"/>
      <w:i/>
      <w:iCs/>
      <w:sz w:val="18"/>
      <w:szCs w:val="18"/>
    </w:rPr>
  </w:style>
  <w:style w:type="character" w:customStyle="1" w:styleId="cf41">
    <w:name w:val="cf41"/>
    <w:basedOn w:val="DefaultParagraphFont"/>
    <w:rsid w:val="00012EE7"/>
    <w:rPr>
      <w:rFonts w:ascii="Segoe UI" w:hAnsi="Segoe UI" w:cs="Segoe UI" w:hint="default"/>
      <w:sz w:val="18"/>
      <w:szCs w:val="18"/>
    </w:rPr>
  </w:style>
  <w:style w:type="character" w:customStyle="1" w:styleId="findhit">
    <w:name w:val="findhit"/>
    <w:basedOn w:val="DefaultParagraphFont"/>
    <w:rsid w:val="00012EE7"/>
  </w:style>
  <w:style w:type="character" w:customStyle="1" w:styleId="scxp108269843">
    <w:name w:val="scxp108269843"/>
    <w:basedOn w:val="DefaultParagraphFont"/>
    <w:rsid w:val="00012EE7"/>
  </w:style>
  <w:style w:type="table" w:styleId="GridTable2">
    <w:name w:val="Grid Table 2"/>
    <w:basedOn w:val="TableNormal"/>
    <w:uiPriority w:val="47"/>
    <w:rsid w:val="00012EE7"/>
    <w:tblPr>
      <w:tblStyleRowBandSize w:val="1"/>
      <w:tblStyleColBandSize w:val="1"/>
      <w:tblBorders>
        <w:top w:val="single" w:sz="2" w:space="0" w:color="88888A" w:themeColor="text1" w:themeTint="99"/>
        <w:bottom w:val="single" w:sz="2" w:space="0" w:color="88888A" w:themeColor="text1" w:themeTint="99"/>
        <w:insideH w:val="single" w:sz="2" w:space="0" w:color="88888A" w:themeColor="text1" w:themeTint="99"/>
        <w:insideV w:val="single" w:sz="2" w:space="0" w:color="88888A" w:themeColor="text1" w:themeTint="99"/>
      </w:tblBorders>
    </w:tblPr>
    <w:tblStylePr w:type="firstRow">
      <w:rPr>
        <w:b/>
        <w:bCs/>
      </w:rPr>
      <w:tblPr/>
      <w:tcPr>
        <w:tcBorders>
          <w:top w:val="nil"/>
          <w:bottom w:val="single" w:sz="12" w:space="0" w:color="88888A" w:themeColor="text1" w:themeTint="99"/>
          <w:insideH w:val="nil"/>
          <w:insideV w:val="nil"/>
        </w:tcBorders>
        <w:shd w:val="clear" w:color="auto" w:fill="FFFFFF" w:themeFill="background1"/>
      </w:tcPr>
    </w:tblStylePr>
    <w:tblStylePr w:type="lastRow">
      <w:rPr>
        <w:b/>
        <w:bCs/>
      </w:rPr>
      <w:tblPr/>
      <w:tcPr>
        <w:tcBorders>
          <w:top w:val="double" w:sz="2" w:space="0" w:color="88888A"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7D7D8" w:themeFill="text1" w:themeFillTint="33"/>
      </w:tcPr>
    </w:tblStylePr>
    <w:tblStylePr w:type="band1Horz">
      <w:tblPr/>
      <w:tcPr>
        <w:shd w:val="clear" w:color="auto" w:fill="D7D7D8" w:themeFill="text1" w:themeFillTint="33"/>
      </w:tcPr>
    </w:tblStylePr>
  </w:style>
  <w:style w:type="table" w:styleId="ListTable3-Accent3">
    <w:name w:val="List Table 3 Accent 3"/>
    <w:basedOn w:val="TableNormal"/>
    <w:uiPriority w:val="48"/>
    <w:rsid w:val="00012EE7"/>
    <w:tblPr>
      <w:tblStyleRowBandSize w:val="1"/>
      <w:tblStyleColBandSize w:val="1"/>
      <w:tblBorders>
        <w:top w:val="single" w:sz="4" w:space="0" w:color="3FB84E" w:themeColor="accent3"/>
        <w:left w:val="single" w:sz="4" w:space="0" w:color="3FB84E" w:themeColor="accent3"/>
        <w:bottom w:val="single" w:sz="4" w:space="0" w:color="3FB84E" w:themeColor="accent3"/>
        <w:right w:val="single" w:sz="4" w:space="0" w:color="3FB84E" w:themeColor="accent3"/>
      </w:tblBorders>
    </w:tblPr>
    <w:tblStylePr w:type="firstRow">
      <w:rPr>
        <w:b/>
        <w:bCs/>
        <w:color w:val="FFFFFF" w:themeColor="background1"/>
      </w:rPr>
      <w:tblPr/>
      <w:tcPr>
        <w:shd w:val="clear" w:color="auto" w:fill="3FB84E" w:themeFill="accent3"/>
      </w:tcPr>
    </w:tblStylePr>
    <w:tblStylePr w:type="lastRow">
      <w:rPr>
        <w:b/>
        <w:bCs/>
      </w:rPr>
      <w:tblPr/>
      <w:tcPr>
        <w:tcBorders>
          <w:top w:val="double" w:sz="4" w:space="0" w:color="3FB84E"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3FB84E" w:themeColor="accent3"/>
          <w:right w:val="single" w:sz="4" w:space="0" w:color="3FB84E" w:themeColor="accent3"/>
        </w:tcBorders>
      </w:tcPr>
    </w:tblStylePr>
    <w:tblStylePr w:type="band1Horz">
      <w:tblPr/>
      <w:tcPr>
        <w:tcBorders>
          <w:top w:val="single" w:sz="4" w:space="0" w:color="3FB84E" w:themeColor="accent3"/>
          <w:bottom w:val="single" w:sz="4" w:space="0" w:color="3FB84E"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3FB84E" w:themeColor="accent3"/>
          <w:left w:val="nil"/>
        </w:tcBorders>
      </w:tcPr>
    </w:tblStylePr>
    <w:tblStylePr w:type="swCell">
      <w:tblPr/>
      <w:tcPr>
        <w:tcBorders>
          <w:top w:val="double" w:sz="4" w:space="0" w:color="3FB84E" w:themeColor="accent3"/>
          <w:right w:val="nil"/>
        </w:tcBorders>
      </w:tcPr>
    </w:tblStylePr>
  </w:style>
  <w:style w:type="table" w:styleId="ListTable3-Accent6">
    <w:name w:val="List Table 3 Accent 6"/>
    <w:basedOn w:val="TableNormal"/>
    <w:uiPriority w:val="48"/>
    <w:rsid w:val="00012EE7"/>
    <w:tblPr>
      <w:tblStyleRowBandSize w:val="1"/>
      <w:tblStyleColBandSize w:val="1"/>
      <w:tblBorders>
        <w:top w:val="single" w:sz="4" w:space="0" w:color="8CCA45" w:themeColor="accent6"/>
        <w:left w:val="single" w:sz="4" w:space="0" w:color="8CCA45" w:themeColor="accent6"/>
        <w:bottom w:val="single" w:sz="4" w:space="0" w:color="8CCA45" w:themeColor="accent6"/>
        <w:right w:val="single" w:sz="4" w:space="0" w:color="8CCA45" w:themeColor="accent6"/>
      </w:tblBorders>
    </w:tblPr>
    <w:tblStylePr w:type="firstRow">
      <w:rPr>
        <w:b/>
        <w:bCs/>
        <w:color w:val="FFFFFF" w:themeColor="background1"/>
      </w:rPr>
      <w:tblPr/>
      <w:tcPr>
        <w:shd w:val="clear" w:color="auto" w:fill="8CCA45" w:themeFill="accent6"/>
      </w:tcPr>
    </w:tblStylePr>
    <w:tblStylePr w:type="lastRow">
      <w:rPr>
        <w:b/>
        <w:bCs/>
      </w:rPr>
      <w:tblPr/>
      <w:tcPr>
        <w:tcBorders>
          <w:top w:val="double" w:sz="4" w:space="0" w:color="8CCA45"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CCA45" w:themeColor="accent6"/>
          <w:right w:val="single" w:sz="4" w:space="0" w:color="8CCA45" w:themeColor="accent6"/>
        </w:tcBorders>
      </w:tcPr>
    </w:tblStylePr>
    <w:tblStylePr w:type="band1Horz">
      <w:tblPr/>
      <w:tcPr>
        <w:tcBorders>
          <w:top w:val="single" w:sz="4" w:space="0" w:color="8CCA45" w:themeColor="accent6"/>
          <w:bottom w:val="single" w:sz="4" w:space="0" w:color="8CCA45"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CCA45" w:themeColor="accent6"/>
          <w:left w:val="nil"/>
        </w:tcBorders>
      </w:tcPr>
    </w:tblStylePr>
    <w:tblStylePr w:type="swCell">
      <w:tblPr/>
      <w:tcPr>
        <w:tcBorders>
          <w:top w:val="double" w:sz="4" w:space="0" w:color="8CCA45" w:themeColor="accent6"/>
          <w:right w:val="nil"/>
        </w:tcBorders>
      </w:tcPr>
    </w:tblStylePr>
  </w:style>
  <w:style w:type="table" w:styleId="GridTable6Colorful">
    <w:name w:val="Grid Table 6 Colorful"/>
    <w:basedOn w:val="TableNormal"/>
    <w:uiPriority w:val="51"/>
    <w:rsid w:val="00012EE7"/>
    <w:rPr>
      <w:color w:val="3B3B3C" w:themeColor="text1"/>
    </w:rPr>
    <w:tblPr>
      <w:tblStyleRowBandSize w:val="1"/>
      <w:tblStyleColBandSize w:val="1"/>
      <w:tblBorders>
        <w:top w:val="single" w:sz="4" w:space="0" w:color="88888A" w:themeColor="text1" w:themeTint="99"/>
        <w:left w:val="single" w:sz="4" w:space="0" w:color="88888A" w:themeColor="text1" w:themeTint="99"/>
        <w:bottom w:val="single" w:sz="4" w:space="0" w:color="88888A" w:themeColor="text1" w:themeTint="99"/>
        <w:right w:val="single" w:sz="4" w:space="0" w:color="88888A" w:themeColor="text1" w:themeTint="99"/>
        <w:insideH w:val="single" w:sz="4" w:space="0" w:color="88888A" w:themeColor="text1" w:themeTint="99"/>
        <w:insideV w:val="single" w:sz="4" w:space="0" w:color="88888A" w:themeColor="text1" w:themeTint="99"/>
      </w:tblBorders>
    </w:tblPr>
    <w:tblStylePr w:type="firstRow">
      <w:rPr>
        <w:b/>
        <w:bCs/>
      </w:rPr>
      <w:tblPr/>
      <w:tcPr>
        <w:tcBorders>
          <w:bottom w:val="single" w:sz="12" w:space="0" w:color="88888A" w:themeColor="text1" w:themeTint="99"/>
        </w:tcBorders>
      </w:tcPr>
    </w:tblStylePr>
    <w:tblStylePr w:type="lastRow">
      <w:rPr>
        <w:b/>
        <w:bCs/>
      </w:rPr>
      <w:tblPr/>
      <w:tcPr>
        <w:tcBorders>
          <w:top w:val="double" w:sz="4" w:space="0" w:color="88888A" w:themeColor="text1" w:themeTint="99"/>
        </w:tcBorders>
      </w:tcPr>
    </w:tblStylePr>
    <w:tblStylePr w:type="firstCol">
      <w:rPr>
        <w:b/>
        <w:bCs/>
      </w:rPr>
    </w:tblStylePr>
    <w:tblStylePr w:type="lastCol">
      <w:rPr>
        <w:b/>
        <w:bCs/>
      </w:rPr>
    </w:tblStylePr>
    <w:tblStylePr w:type="band1Vert">
      <w:tblPr/>
      <w:tcPr>
        <w:shd w:val="clear" w:color="auto" w:fill="D7D7D8" w:themeFill="text1" w:themeFillTint="33"/>
      </w:tcPr>
    </w:tblStylePr>
    <w:tblStylePr w:type="band1Horz">
      <w:tblPr/>
      <w:tcPr>
        <w:shd w:val="clear" w:color="auto" w:fill="D7D7D8" w:themeFill="text1" w:themeFillTint="33"/>
      </w:tcPr>
    </w:tblStylePr>
  </w:style>
  <w:style w:type="table" w:styleId="GridTable4">
    <w:name w:val="Grid Table 4"/>
    <w:basedOn w:val="TableNormal"/>
    <w:uiPriority w:val="49"/>
    <w:rsid w:val="00012EE7"/>
    <w:tblPr>
      <w:tblStyleRowBandSize w:val="1"/>
      <w:tblStyleColBandSize w:val="1"/>
      <w:tblBorders>
        <w:top w:val="single" w:sz="4" w:space="0" w:color="88888A" w:themeColor="text1" w:themeTint="99"/>
        <w:left w:val="single" w:sz="4" w:space="0" w:color="88888A" w:themeColor="text1" w:themeTint="99"/>
        <w:bottom w:val="single" w:sz="4" w:space="0" w:color="88888A" w:themeColor="text1" w:themeTint="99"/>
        <w:right w:val="single" w:sz="4" w:space="0" w:color="88888A" w:themeColor="text1" w:themeTint="99"/>
        <w:insideH w:val="single" w:sz="4" w:space="0" w:color="88888A" w:themeColor="text1" w:themeTint="99"/>
        <w:insideV w:val="single" w:sz="4" w:space="0" w:color="88888A" w:themeColor="text1" w:themeTint="99"/>
      </w:tblBorders>
    </w:tblPr>
    <w:tblStylePr w:type="firstRow">
      <w:rPr>
        <w:b/>
        <w:bCs/>
        <w:color w:val="FFFFFF" w:themeColor="background1"/>
      </w:rPr>
      <w:tblPr/>
      <w:tcPr>
        <w:tcBorders>
          <w:top w:val="single" w:sz="4" w:space="0" w:color="3B3B3C" w:themeColor="text1"/>
          <w:left w:val="single" w:sz="4" w:space="0" w:color="3B3B3C" w:themeColor="text1"/>
          <w:bottom w:val="single" w:sz="4" w:space="0" w:color="3B3B3C" w:themeColor="text1"/>
          <w:right w:val="single" w:sz="4" w:space="0" w:color="3B3B3C" w:themeColor="text1"/>
          <w:insideH w:val="nil"/>
          <w:insideV w:val="nil"/>
        </w:tcBorders>
        <w:shd w:val="clear" w:color="auto" w:fill="3B3B3C" w:themeFill="text1"/>
      </w:tcPr>
    </w:tblStylePr>
    <w:tblStylePr w:type="lastRow">
      <w:rPr>
        <w:b/>
        <w:bCs/>
      </w:rPr>
      <w:tblPr/>
      <w:tcPr>
        <w:tcBorders>
          <w:top w:val="double" w:sz="4" w:space="0" w:color="3B3B3C" w:themeColor="text1"/>
        </w:tcBorders>
      </w:tcPr>
    </w:tblStylePr>
    <w:tblStylePr w:type="firstCol">
      <w:rPr>
        <w:b/>
        <w:bCs/>
      </w:rPr>
    </w:tblStylePr>
    <w:tblStylePr w:type="lastCol">
      <w:rPr>
        <w:b/>
        <w:bCs/>
      </w:rPr>
    </w:tblStylePr>
    <w:tblStylePr w:type="band1Vert">
      <w:tblPr/>
      <w:tcPr>
        <w:shd w:val="clear" w:color="auto" w:fill="D7D7D8" w:themeFill="text1" w:themeFillTint="33"/>
      </w:tcPr>
    </w:tblStylePr>
    <w:tblStylePr w:type="band1Horz">
      <w:tblPr/>
      <w:tcPr>
        <w:shd w:val="clear" w:color="auto" w:fill="D7D7D8" w:themeFill="text1" w:themeFillTint="33"/>
      </w:tcPr>
    </w:tblStylePr>
  </w:style>
  <w:style w:type="table" w:styleId="ListTable6Colorful">
    <w:name w:val="List Table 6 Colorful"/>
    <w:basedOn w:val="TableNormal"/>
    <w:uiPriority w:val="51"/>
    <w:rsid w:val="00012EE7"/>
    <w:rPr>
      <w:color w:val="3B3B3C" w:themeColor="text1"/>
    </w:rPr>
    <w:tblPr>
      <w:tblStyleRowBandSize w:val="1"/>
      <w:tblStyleColBandSize w:val="1"/>
      <w:tblBorders>
        <w:top w:val="single" w:sz="4" w:space="0" w:color="3B3B3C" w:themeColor="text1"/>
        <w:bottom w:val="single" w:sz="4" w:space="0" w:color="3B3B3C" w:themeColor="text1"/>
      </w:tblBorders>
    </w:tblPr>
    <w:tblStylePr w:type="firstRow">
      <w:rPr>
        <w:b/>
        <w:bCs/>
      </w:rPr>
      <w:tblPr/>
      <w:tcPr>
        <w:tcBorders>
          <w:bottom w:val="single" w:sz="4" w:space="0" w:color="3B3B3C" w:themeColor="text1"/>
        </w:tcBorders>
      </w:tcPr>
    </w:tblStylePr>
    <w:tblStylePr w:type="lastRow">
      <w:rPr>
        <w:b/>
        <w:bCs/>
      </w:rPr>
      <w:tblPr/>
      <w:tcPr>
        <w:tcBorders>
          <w:top w:val="double" w:sz="4" w:space="0" w:color="3B3B3C" w:themeColor="text1"/>
        </w:tcBorders>
      </w:tcPr>
    </w:tblStylePr>
    <w:tblStylePr w:type="firstCol">
      <w:rPr>
        <w:b/>
        <w:bCs/>
      </w:rPr>
    </w:tblStylePr>
    <w:tblStylePr w:type="lastCol">
      <w:rPr>
        <w:b/>
        <w:bCs/>
      </w:rPr>
    </w:tblStylePr>
    <w:tblStylePr w:type="band1Vert">
      <w:tblPr/>
      <w:tcPr>
        <w:shd w:val="clear" w:color="auto" w:fill="D7D7D8" w:themeFill="text1" w:themeFillTint="33"/>
      </w:tcPr>
    </w:tblStylePr>
    <w:tblStylePr w:type="band1Horz">
      <w:tblPr/>
      <w:tcPr>
        <w:shd w:val="clear" w:color="auto" w:fill="D7D7D8" w:themeFill="text1" w:themeFillTint="33"/>
      </w:tcPr>
    </w:tblStylePr>
  </w:style>
  <w:style w:type="paragraph" w:styleId="TableofFigures">
    <w:name w:val="table of figures"/>
    <w:basedOn w:val="Normal"/>
    <w:next w:val="Normal"/>
    <w:uiPriority w:val="99"/>
    <w:unhideWhenUsed/>
    <w:rsid w:val="00012EE7"/>
    <w:rPr>
      <w:rFonts w:asciiTheme="minorHAnsi" w:hAnsiTheme="minorHAnsi" w:cstheme="minorBidi"/>
      <w:sz w:val="24"/>
      <w:szCs w:val="24"/>
    </w:rPr>
  </w:style>
  <w:style w:type="character" w:customStyle="1" w:styleId="Error-Funotenzeichen61">
    <w:name w:val="Error-Fußnotenzeichen61"/>
    <w:basedOn w:val="DefaultParagraphFont"/>
    <w:uiPriority w:val="99"/>
    <w:rsid w:val="00DF29DB"/>
    <w:rPr>
      <w:rFonts w:ascii="Calibri" w:hAnsi="Calibri" w:cs="Arial"/>
      <w:position w:val="0"/>
      <w:sz w:val="20"/>
      <w:szCs w:val="20"/>
      <w:vertAlign w:val="superscript"/>
    </w:rPr>
  </w:style>
  <w:style w:type="character" w:customStyle="1" w:styleId="m4664602168025286625fontstyle01">
    <w:name w:val="m_4664602168025286625fontstyle01"/>
    <w:basedOn w:val="DefaultParagraphFont"/>
    <w:rsid w:val="00470226"/>
  </w:style>
  <w:style w:type="character" w:customStyle="1" w:styleId="Hyperlink1">
    <w:name w:val="Hyperlink1"/>
    <w:basedOn w:val="DefaultParagraphFont"/>
    <w:uiPriority w:val="99"/>
    <w:rsid w:val="00C37940"/>
    <w:rPr>
      <w:color w:val="3B3B3C"/>
      <w:u w:val="single"/>
    </w:rPr>
  </w:style>
  <w:style w:type="character" w:customStyle="1" w:styleId="ListParagraphChar">
    <w:name w:val="List Paragraph Char"/>
    <w:aliases w:val="Dot pt Char,Numbered Para 1 Char,No Spacing1 Char,List Paragraph Char Char Char Char,Indicator Text Char,Bullet 1 Char,Bullet Points Char,F5 List Paragraph Char,Colorful List - Accent 11 Char,List Paragraph2 Char,Normal numbered Char"/>
    <w:link w:val="ListParagraph"/>
    <w:uiPriority w:val="34"/>
    <w:qFormat/>
    <w:locked/>
    <w:rsid w:val="007524CA"/>
  </w:style>
  <w:style w:type="character" w:customStyle="1" w:styleId="A12">
    <w:name w:val="A12"/>
    <w:uiPriority w:val="99"/>
    <w:rsid w:val="003F4A34"/>
    <w:rPr>
      <w:color w:val="3A3A3B"/>
      <w:sz w:val="14"/>
      <w:szCs w:val="14"/>
    </w:rPr>
  </w:style>
  <w:style w:type="paragraph" w:customStyle="1" w:styleId="FFBoxText">
    <w:name w:val="FF Box Text"/>
    <w:basedOn w:val="Normal"/>
    <w:link w:val="FFBoxTextChar"/>
    <w:qFormat/>
    <w:rsid w:val="00163F93"/>
    <w:pPr>
      <w:spacing w:after="120"/>
      <w:ind w:left="57" w:right="57"/>
    </w:pPr>
    <w:rPr>
      <w:rFonts w:eastAsia="Times New Roman"/>
      <w:color w:val="3B3B3C"/>
      <w:sz w:val="21"/>
      <w:szCs w:val="21"/>
      <w:lang w:eastAsia="en-GB"/>
    </w:rPr>
  </w:style>
  <w:style w:type="paragraph" w:customStyle="1" w:styleId="FFBoxTitle">
    <w:name w:val="FF Box Title"/>
    <w:basedOn w:val="ItadCaption"/>
    <w:link w:val="FFBoxTitleChar"/>
    <w:qFormat/>
    <w:rsid w:val="00AA498E"/>
    <w:pPr>
      <w:keepNext/>
    </w:pPr>
    <w:rPr>
      <w:b/>
      <w:bCs/>
      <w:sz w:val="20"/>
      <w:szCs w:val="20"/>
    </w:rPr>
  </w:style>
  <w:style w:type="character" w:customStyle="1" w:styleId="FFBoxTextChar">
    <w:name w:val="FF Box Text Char"/>
    <w:basedOn w:val="DefaultParagraphFont"/>
    <w:link w:val="FFBoxText"/>
    <w:rsid w:val="00163F93"/>
    <w:rPr>
      <w:rFonts w:ascii="Calibri" w:eastAsia="Times New Roman" w:hAnsi="Calibri" w:cs="Arial"/>
      <w:color w:val="3B3B3C"/>
      <w:sz w:val="21"/>
      <w:szCs w:val="21"/>
      <w:lang w:eastAsia="en-GB"/>
    </w:rPr>
  </w:style>
  <w:style w:type="character" w:customStyle="1" w:styleId="FFBoxTitleChar">
    <w:name w:val="FF Box Title Char"/>
    <w:basedOn w:val="DefaultParagraphFont"/>
    <w:link w:val="FFBoxTitle"/>
    <w:rsid w:val="00AA498E"/>
    <w:rPr>
      <w:rFonts w:ascii="Calibri" w:hAnsi="Calibri" w:cs="Arial"/>
      <w:b/>
      <w:bCs/>
      <w:color w:val="767171" w:themeColor="background2" w:themeShade="80"/>
      <w:sz w:val="20"/>
      <w:szCs w:val="20"/>
      <w:lang w:eastAsia="en-GB"/>
    </w:rPr>
  </w:style>
  <w:style w:type="character" w:customStyle="1" w:styleId="ng-star-inserted">
    <w:name w:val="ng-star-inserted"/>
    <w:basedOn w:val="DefaultParagraphFont"/>
    <w:rsid w:val="008D5C7F"/>
  </w:style>
  <w:style w:type="paragraph" w:customStyle="1" w:styleId="StyleTOC2TOC2ITADV4Left05cmHanging1cm">
    <w:name w:val="Style TOC 2TOC 2 ITAD V4 + Left:  0.5 cm Hanging:  1 cm"/>
    <w:basedOn w:val="TOC2"/>
    <w:qFormat/>
    <w:rsid w:val="006C2FD9"/>
    <w:pPr>
      <w:ind w:left="851" w:hanging="567"/>
    </w:pPr>
    <w:rPr>
      <w:rFonts w:eastAsia="Times New Roman" w:cs="Times New Roman"/>
      <w:iCs w:val="0"/>
      <w:szCs w:val="20"/>
    </w:rPr>
  </w:style>
  <w:style w:type="paragraph" w:customStyle="1" w:styleId="EQhead">
    <w:name w:val="EQ head"/>
    <w:basedOn w:val="Normal"/>
    <w:qFormat/>
    <w:rsid w:val="00CF3D84"/>
    <w:pPr>
      <w:spacing w:after="120"/>
      <w:jc w:val="both"/>
    </w:pPr>
    <w:rPr>
      <w:rFonts w:eastAsia="Calibri" w:cs="Calibri"/>
      <w:b/>
      <w:bCs/>
      <w:i/>
      <w:iCs/>
      <w:color w:val="E37230" w:themeColor="accent2"/>
    </w:rPr>
  </w:style>
  <w:style w:type="paragraph" w:customStyle="1" w:styleId="Textboxbullet">
    <w:name w:val="Text box bullet"/>
    <w:basedOn w:val="ListParagraph"/>
    <w:qFormat/>
    <w:rsid w:val="00512F37"/>
    <w:pPr>
      <w:framePr w:hSpace="180" w:wrap="around" w:vAnchor="text" w:hAnchor="margin" w:y="208"/>
      <w:numPr>
        <w:numId w:val="26"/>
      </w:numPr>
      <w:spacing w:after="120" w:line="259" w:lineRule="auto"/>
      <w:ind w:right="57"/>
    </w:pPr>
    <w:rPr>
      <w:rFonts w:eastAsia="Times New Roman"/>
      <w:color w:val="3B3B3C"/>
      <w:sz w:val="21"/>
      <w:szCs w:val="21"/>
      <w:lang w:eastAsia="en-GB"/>
    </w:rPr>
  </w:style>
  <w:style w:type="paragraph" w:styleId="Quote">
    <w:name w:val="Quote"/>
    <w:basedOn w:val="Normal"/>
    <w:next w:val="Normal"/>
    <w:link w:val="QuoteChar"/>
    <w:uiPriority w:val="29"/>
    <w:rsid w:val="005450AC"/>
    <w:pPr>
      <w:spacing w:before="120" w:after="120"/>
      <w:ind w:left="142" w:right="20"/>
    </w:pPr>
    <w:rPr>
      <w:rFonts w:eastAsia="Calibri" w:cs="Calibri"/>
      <w:i/>
      <w:iCs/>
      <w:color w:val="3B3B3C"/>
      <w:sz w:val="20"/>
      <w:szCs w:val="20"/>
    </w:rPr>
  </w:style>
  <w:style w:type="character" w:customStyle="1" w:styleId="QuoteChar">
    <w:name w:val="Quote Char"/>
    <w:basedOn w:val="DefaultParagraphFont"/>
    <w:link w:val="Quote"/>
    <w:uiPriority w:val="29"/>
    <w:rsid w:val="005450AC"/>
    <w:rPr>
      <w:rFonts w:ascii="Calibri" w:eastAsia="Calibri" w:hAnsi="Calibri" w:cs="Calibri"/>
      <w:i/>
      <w:iCs/>
      <w:color w:val="3B3B3C"/>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11934">
      <w:bodyDiv w:val="1"/>
      <w:marLeft w:val="0"/>
      <w:marRight w:val="0"/>
      <w:marTop w:val="0"/>
      <w:marBottom w:val="0"/>
      <w:divBdr>
        <w:top w:val="none" w:sz="0" w:space="0" w:color="auto"/>
        <w:left w:val="none" w:sz="0" w:space="0" w:color="auto"/>
        <w:bottom w:val="none" w:sz="0" w:space="0" w:color="auto"/>
        <w:right w:val="none" w:sz="0" w:space="0" w:color="auto"/>
      </w:divBdr>
      <w:divsChild>
        <w:div w:id="5599713">
          <w:marLeft w:val="0"/>
          <w:marRight w:val="0"/>
          <w:marTop w:val="0"/>
          <w:marBottom w:val="0"/>
          <w:divBdr>
            <w:top w:val="none" w:sz="0" w:space="0" w:color="auto"/>
            <w:left w:val="none" w:sz="0" w:space="0" w:color="auto"/>
            <w:bottom w:val="none" w:sz="0" w:space="0" w:color="auto"/>
            <w:right w:val="none" w:sz="0" w:space="0" w:color="auto"/>
          </w:divBdr>
          <w:divsChild>
            <w:div w:id="279344194">
              <w:marLeft w:val="0"/>
              <w:marRight w:val="0"/>
              <w:marTop w:val="0"/>
              <w:marBottom w:val="0"/>
              <w:divBdr>
                <w:top w:val="none" w:sz="0" w:space="0" w:color="auto"/>
                <w:left w:val="none" w:sz="0" w:space="0" w:color="auto"/>
                <w:bottom w:val="none" w:sz="0" w:space="0" w:color="auto"/>
                <w:right w:val="none" w:sz="0" w:space="0" w:color="auto"/>
              </w:divBdr>
            </w:div>
            <w:div w:id="536354293">
              <w:marLeft w:val="0"/>
              <w:marRight w:val="0"/>
              <w:marTop w:val="0"/>
              <w:marBottom w:val="0"/>
              <w:divBdr>
                <w:top w:val="none" w:sz="0" w:space="0" w:color="auto"/>
                <w:left w:val="none" w:sz="0" w:space="0" w:color="auto"/>
                <w:bottom w:val="none" w:sz="0" w:space="0" w:color="auto"/>
                <w:right w:val="none" w:sz="0" w:space="0" w:color="auto"/>
              </w:divBdr>
            </w:div>
            <w:div w:id="641231175">
              <w:marLeft w:val="0"/>
              <w:marRight w:val="0"/>
              <w:marTop w:val="0"/>
              <w:marBottom w:val="0"/>
              <w:divBdr>
                <w:top w:val="none" w:sz="0" w:space="0" w:color="auto"/>
                <w:left w:val="none" w:sz="0" w:space="0" w:color="auto"/>
                <w:bottom w:val="none" w:sz="0" w:space="0" w:color="auto"/>
                <w:right w:val="none" w:sz="0" w:space="0" w:color="auto"/>
              </w:divBdr>
            </w:div>
            <w:div w:id="1377042790">
              <w:marLeft w:val="0"/>
              <w:marRight w:val="0"/>
              <w:marTop w:val="0"/>
              <w:marBottom w:val="0"/>
              <w:divBdr>
                <w:top w:val="none" w:sz="0" w:space="0" w:color="auto"/>
                <w:left w:val="none" w:sz="0" w:space="0" w:color="auto"/>
                <w:bottom w:val="none" w:sz="0" w:space="0" w:color="auto"/>
                <w:right w:val="none" w:sz="0" w:space="0" w:color="auto"/>
              </w:divBdr>
            </w:div>
          </w:divsChild>
        </w:div>
        <w:div w:id="372968424">
          <w:marLeft w:val="0"/>
          <w:marRight w:val="0"/>
          <w:marTop w:val="0"/>
          <w:marBottom w:val="0"/>
          <w:divBdr>
            <w:top w:val="none" w:sz="0" w:space="0" w:color="auto"/>
            <w:left w:val="none" w:sz="0" w:space="0" w:color="auto"/>
            <w:bottom w:val="none" w:sz="0" w:space="0" w:color="auto"/>
            <w:right w:val="none" w:sz="0" w:space="0" w:color="auto"/>
          </w:divBdr>
          <w:divsChild>
            <w:div w:id="629633032">
              <w:marLeft w:val="0"/>
              <w:marRight w:val="0"/>
              <w:marTop w:val="0"/>
              <w:marBottom w:val="0"/>
              <w:divBdr>
                <w:top w:val="none" w:sz="0" w:space="0" w:color="auto"/>
                <w:left w:val="none" w:sz="0" w:space="0" w:color="auto"/>
                <w:bottom w:val="none" w:sz="0" w:space="0" w:color="auto"/>
                <w:right w:val="none" w:sz="0" w:space="0" w:color="auto"/>
              </w:divBdr>
            </w:div>
            <w:div w:id="716130696">
              <w:marLeft w:val="0"/>
              <w:marRight w:val="0"/>
              <w:marTop w:val="0"/>
              <w:marBottom w:val="0"/>
              <w:divBdr>
                <w:top w:val="none" w:sz="0" w:space="0" w:color="auto"/>
                <w:left w:val="none" w:sz="0" w:space="0" w:color="auto"/>
                <w:bottom w:val="none" w:sz="0" w:space="0" w:color="auto"/>
                <w:right w:val="none" w:sz="0" w:space="0" w:color="auto"/>
              </w:divBdr>
            </w:div>
            <w:div w:id="846284377">
              <w:marLeft w:val="0"/>
              <w:marRight w:val="0"/>
              <w:marTop w:val="0"/>
              <w:marBottom w:val="0"/>
              <w:divBdr>
                <w:top w:val="none" w:sz="0" w:space="0" w:color="auto"/>
                <w:left w:val="none" w:sz="0" w:space="0" w:color="auto"/>
                <w:bottom w:val="none" w:sz="0" w:space="0" w:color="auto"/>
                <w:right w:val="none" w:sz="0" w:space="0" w:color="auto"/>
              </w:divBdr>
            </w:div>
            <w:div w:id="1944485296">
              <w:marLeft w:val="0"/>
              <w:marRight w:val="0"/>
              <w:marTop w:val="0"/>
              <w:marBottom w:val="0"/>
              <w:divBdr>
                <w:top w:val="none" w:sz="0" w:space="0" w:color="auto"/>
                <w:left w:val="none" w:sz="0" w:space="0" w:color="auto"/>
                <w:bottom w:val="none" w:sz="0" w:space="0" w:color="auto"/>
                <w:right w:val="none" w:sz="0" w:space="0" w:color="auto"/>
              </w:divBdr>
            </w:div>
            <w:div w:id="2062364659">
              <w:marLeft w:val="0"/>
              <w:marRight w:val="0"/>
              <w:marTop w:val="0"/>
              <w:marBottom w:val="0"/>
              <w:divBdr>
                <w:top w:val="none" w:sz="0" w:space="0" w:color="auto"/>
                <w:left w:val="none" w:sz="0" w:space="0" w:color="auto"/>
                <w:bottom w:val="none" w:sz="0" w:space="0" w:color="auto"/>
                <w:right w:val="none" w:sz="0" w:space="0" w:color="auto"/>
              </w:divBdr>
            </w:div>
          </w:divsChild>
        </w:div>
        <w:div w:id="703599684">
          <w:marLeft w:val="0"/>
          <w:marRight w:val="0"/>
          <w:marTop w:val="0"/>
          <w:marBottom w:val="0"/>
          <w:divBdr>
            <w:top w:val="none" w:sz="0" w:space="0" w:color="auto"/>
            <w:left w:val="none" w:sz="0" w:space="0" w:color="auto"/>
            <w:bottom w:val="none" w:sz="0" w:space="0" w:color="auto"/>
            <w:right w:val="none" w:sz="0" w:space="0" w:color="auto"/>
          </w:divBdr>
          <w:divsChild>
            <w:div w:id="176895130">
              <w:marLeft w:val="0"/>
              <w:marRight w:val="0"/>
              <w:marTop w:val="0"/>
              <w:marBottom w:val="0"/>
              <w:divBdr>
                <w:top w:val="none" w:sz="0" w:space="0" w:color="auto"/>
                <w:left w:val="none" w:sz="0" w:space="0" w:color="auto"/>
                <w:bottom w:val="none" w:sz="0" w:space="0" w:color="auto"/>
                <w:right w:val="none" w:sz="0" w:space="0" w:color="auto"/>
              </w:divBdr>
            </w:div>
            <w:div w:id="503857981">
              <w:marLeft w:val="0"/>
              <w:marRight w:val="0"/>
              <w:marTop w:val="0"/>
              <w:marBottom w:val="0"/>
              <w:divBdr>
                <w:top w:val="none" w:sz="0" w:space="0" w:color="auto"/>
                <w:left w:val="none" w:sz="0" w:space="0" w:color="auto"/>
                <w:bottom w:val="none" w:sz="0" w:space="0" w:color="auto"/>
                <w:right w:val="none" w:sz="0" w:space="0" w:color="auto"/>
              </w:divBdr>
            </w:div>
            <w:div w:id="768936055">
              <w:marLeft w:val="0"/>
              <w:marRight w:val="0"/>
              <w:marTop w:val="0"/>
              <w:marBottom w:val="0"/>
              <w:divBdr>
                <w:top w:val="none" w:sz="0" w:space="0" w:color="auto"/>
                <w:left w:val="none" w:sz="0" w:space="0" w:color="auto"/>
                <w:bottom w:val="none" w:sz="0" w:space="0" w:color="auto"/>
                <w:right w:val="none" w:sz="0" w:space="0" w:color="auto"/>
              </w:divBdr>
            </w:div>
            <w:div w:id="1311246947">
              <w:marLeft w:val="0"/>
              <w:marRight w:val="0"/>
              <w:marTop w:val="0"/>
              <w:marBottom w:val="0"/>
              <w:divBdr>
                <w:top w:val="none" w:sz="0" w:space="0" w:color="auto"/>
                <w:left w:val="none" w:sz="0" w:space="0" w:color="auto"/>
                <w:bottom w:val="none" w:sz="0" w:space="0" w:color="auto"/>
                <w:right w:val="none" w:sz="0" w:space="0" w:color="auto"/>
              </w:divBdr>
            </w:div>
            <w:div w:id="1428113896">
              <w:marLeft w:val="0"/>
              <w:marRight w:val="0"/>
              <w:marTop w:val="0"/>
              <w:marBottom w:val="0"/>
              <w:divBdr>
                <w:top w:val="none" w:sz="0" w:space="0" w:color="auto"/>
                <w:left w:val="none" w:sz="0" w:space="0" w:color="auto"/>
                <w:bottom w:val="none" w:sz="0" w:space="0" w:color="auto"/>
                <w:right w:val="none" w:sz="0" w:space="0" w:color="auto"/>
              </w:divBdr>
            </w:div>
          </w:divsChild>
        </w:div>
        <w:div w:id="947153838">
          <w:marLeft w:val="0"/>
          <w:marRight w:val="0"/>
          <w:marTop w:val="0"/>
          <w:marBottom w:val="0"/>
          <w:divBdr>
            <w:top w:val="none" w:sz="0" w:space="0" w:color="auto"/>
            <w:left w:val="none" w:sz="0" w:space="0" w:color="auto"/>
            <w:bottom w:val="none" w:sz="0" w:space="0" w:color="auto"/>
            <w:right w:val="none" w:sz="0" w:space="0" w:color="auto"/>
          </w:divBdr>
          <w:divsChild>
            <w:div w:id="84956854">
              <w:marLeft w:val="0"/>
              <w:marRight w:val="0"/>
              <w:marTop w:val="0"/>
              <w:marBottom w:val="0"/>
              <w:divBdr>
                <w:top w:val="none" w:sz="0" w:space="0" w:color="auto"/>
                <w:left w:val="none" w:sz="0" w:space="0" w:color="auto"/>
                <w:bottom w:val="none" w:sz="0" w:space="0" w:color="auto"/>
                <w:right w:val="none" w:sz="0" w:space="0" w:color="auto"/>
              </w:divBdr>
            </w:div>
            <w:div w:id="439449913">
              <w:marLeft w:val="0"/>
              <w:marRight w:val="0"/>
              <w:marTop w:val="0"/>
              <w:marBottom w:val="0"/>
              <w:divBdr>
                <w:top w:val="none" w:sz="0" w:space="0" w:color="auto"/>
                <w:left w:val="none" w:sz="0" w:space="0" w:color="auto"/>
                <w:bottom w:val="none" w:sz="0" w:space="0" w:color="auto"/>
                <w:right w:val="none" w:sz="0" w:space="0" w:color="auto"/>
              </w:divBdr>
            </w:div>
            <w:div w:id="610940017">
              <w:marLeft w:val="0"/>
              <w:marRight w:val="0"/>
              <w:marTop w:val="0"/>
              <w:marBottom w:val="0"/>
              <w:divBdr>
                <w:top w:val="none" w:sz="0" w:space="0" w:color="auto"/>
                <w:left w:val="none" w:sz="0" w:space="0" w:color="auto"/>
                <w:bottom w:val="none" w:sz="0" w:space="0" w:color="auto"/>
                <w:right w:val="none" w:sz="0" w:space="0" w:color="auto"/>
              </w:divBdr>
            </w:div>
            <w:div w:id="1104110618">
              <w:marLeft w:val="0"/>
              <w:marRight w:val="0"/>
              <w:marTop w:val="0"/>
              <w:marBottom w:val="0"/>
              <w:divBdr>
                <w:top w:val="none" w:sz="0" w:space="0" w:color="auto"/>
                <w:left w:val="none" w:sz="0" w:space="0" w:color="auto"/>
                <w:bottom w:val="none" w:sz="0" w:space="0" w:color="auto"/>
                <w:right w:val="none" w:sz="0" w:space="0" w:color="auto"/>
              </w:divBdr>
            </w:div>
            <w:div w:id="1411123529">
              <w:marLeft w:val="0"/>
              <w:marRight w:val="0"/>
              <w:marTop w:val="0"/>
              <w:marBottom w:val="0"/>
              <w:divBdr>
                <w:top w:val="none" w:sz="0" w:space="0" w:color="auto"/>
                <w:left w:val="none" w:sz="0" w:space="0" w:color="auto"/>
                <w:bottom w:val="none" w:sz="0" w:space="0" w:color="auto"/>
                <w:right w:val="none" w:sz="0" w:space="0" w:color="auto"/>
              </w:divBdr>
            </w:div>
          </w:divsChild>
        </w:div>
        <w:div w:id="1145319380">
          <w:marLeft w:val="0"/>
          <w:marRight w:val="0"/>
          <w:marTop w:val="0"/>
          <w:marBottom w:val="0"/>
          <w:divBdr>
            <w:top w:val="none" w:sz="0" w:space="0" w:color="auto"/>
            <w:left w:val="none" w:sz="0" w:space="0" w:color="auto"/>
            <w:bottom w:val="none" w:sz="0" w:space="0" w:color="auto"/>
            <w:right w:val="none" w:sz="0" w:space="0" w:color="auto"/>
          </w:divBdr>
          <w:divsChild>
            <w:div w:id="277183570">
              <w:marLeft w:val="0"/>
              <w:marRight w:val="0"/>
              <w:marTop w:val="0"/>
              <w:marBottom w:val="0"/>
              <w:divBdr>
                <w:top w:val="none" w:sz="0" w:space="0" w:color="auto"/>
                <w:left w:val="none" w:sz="0" w:space="0" w:color="auto"/>
                <w:bottom w:val="none" w:sz="0" w:space="0" w:color="auto"/>
                <w:right w:val="none" w:sz="0" w:space="0" w:color="auto"/>
              </w:divBdr>
            </w:div>
            <w:div w:id="299500061">
              <w:marLeft w:val="0"/>
              <w:marRight w:val="0"/>
              <w:marTop w:val="0"/>
              <w:marBottom w:val="0"/>
              <w:divBdr>
                <w:top w:val="none" w:sz="0" w:space="0" w:color="auto"/>
                <w:left w:val="none" w:sz="0" w:space="0" w:color="auto"/>
                <w:bottom w:val="none" w:sz="0" w:space="0" w:color="auto"/>
                <w:right w:val="none" w:sz="0" w:space="0" w:color="auto"/>
              </w:divBdr>
            </w:div>
            <w:div w:id="686909749">
              <w:marLeft w:val="0"/>
              <w:marRight w:val="0"/>
              <w:marTop w:val="0"/>
              <w:marBottom w:val="0"/>
              <w:divBdr>
                <w:top w:val="none" w:sz="0" w:space="0" w:color="auto"/>
                <w:left w:val="none" w:sz="0" w:space="0" w:color="auto"/>
                <w:bottom w:val="none" w:sz="0" w:space="0" w:color="auto"/>
                <w:right w:val="none" w:sz="0" w:space="0" w:color="auto"/>
              </w:divBdr>
            </w:div>
            <w:div w:id="1007901438">
              <w:marLeft w:val="0"/>
              <w:marRight w:val="0"/>
              <w:marTop w:val="0"/>
              <w:marBottom w:val="0"/>
              <w:divBdr>
                <w:top w:val="none" w:sz="0" w:space="0" w:color="auto"/>
                <w:left w:val="none" w:sz="0" w:space="0" w:color="auto"/>
                <w:bottom w:val="none" w:sz="0" w:space="0" w:color="auto"/>
                <w:right w:val="none" w:sz="0" w:space="0" w:color="auto"/>
              </w:divBdr>
            </w:div>
            <w:div w:id="1736931294">
              <w:marLeft w:val="0"/>
              <w:marRight w:val="0"/>
              <w:marTop w:val="0"/>
              <w:marBottom w:val="0"/>
              <w:divBdr>
                <w:top w:val="none" w:sz="0" w:space="0" w:color="auto"/>
                <w:left w:val="none" w:sz="0" w:space="0" w:color="auto"/>
                <w:bottom w:val="none" w:sz="0" w:space="0" w:color="auto"/>
                <w:right w:val="none" w:sz="0" w:space="0" w:color="auto"/>
              </w:divBdr>
            </w:div>
          </w:divsChild>
        </w:div>
        <w:div w:id="1599289385">
          <w:marLeft w:val="0"/>
          <w:marRight w:val="0"/>
          <w:marTop w:val="0"/>
          <w:marBottom w:val="0"/>
          <w:divBdr>
            <w:top w:val="none" w:sz="0" w:space="0" w:color="auto"/>
            <w:left w:val="none" w:sz="0" w:space="0" w:color="auto"/>
            <w:bottom w:val="none" w:sz="0" w:space="0" w:color="auto"/>
            <w:right w:val="none" w:sz="0" w:space="0" w:color="auto"/>
          </w:divBdr>
          <w:divsChild>
            <w:div w:id="11928232">
              <w:marLeft w:val="0"/>
              <w:marRight w:val="0"/>
              <w:marTop w:val="0"/>
              <w:marBottom w:val="0"/>
              <w:divBdr>
                <w:top w:val="none" w:sz="0" w:space="0" w:color="auto"/>
                <w:left w:val="none" w:sz="0" w:space="0" w:color="auto"/>
                <w:bottom w:val="none" w:sz="0" w:space="0" w:color="auto"/>
                <w:right w:val="none" w:sz="0" w:space="0" w:color="auto"/>
              </w:divBdr>
            </w:div>
            <w:div w:id="530873197">
              <w:marLeft w:val="0"/>
              <w:marRight w:val="0"/>
              <w:marTop w:val="0"/>
              <w:marBottom w:val="0"/>
              <w:divBdr>
                <w:top w:val="none" w:sz="0" w:space="0" w:color="auto"/>
                <w:left w:val="none" w:sz="0" w:space="0" w:color="auto"/>
                <w:bottom w:val="none" w:sz="0" w:space="0" w:color="auto"/>
                <w:right w:val="none" w:sz="0" w:space="0" w:color="auto"/>
              </w:divBdr>
            </w:div>
            <w:div w:id="678973519">
              <w:marLeft w:val="0"/>
              <w:marRight w:val="0"/>
              <w:marTop w:val="0"/>
              <w:marBottom w:val="0"/>
              <w:divBdr>
                <w:top w:val="none" w:sz="0" w:space="0" w:color="auto"/>
                <w:left w:val="none" w:sz="0" w:space="0" w:color="auto"/>
                <w:bottom w:val="none" w:sz="0" w:space="0" w:color="auto"/>
                <w:right w:val="none" w:sz="0" w:space="0" w:color="auto"/>
              </w:divBdr>
            </w:div>
            <w:div w:id="1850480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277425">
      <w:bodyDiv w:val="1"/>
      <w:marLeft w:val="0"/>
      <w:marRight w:val="0"/>
      <w:marTop w:val="0"/>
      <w:marBottom w:val="0"/>
      <w:divBdr>
        <w:top w:val="none" w:sz="0" w:space="0" w:color="auto"/>
        <w:left w:val="none" w:sz="0" w:space="0" w:color="auto"/>
        <w:bottom w:val="none" w:sz="0" w:space="0" w:color="auto"/>
        <w:right w:val="none" w:sz="0" w:space="0" w:color="auto"/>
      </w:divBdr>
    </w:div>
    <w:div w:id="62147024">
      <w:bodyDiv w:val="1"/>
      <w:marLeft w:val="0"/>
      <w:marRight w:val="0"/>
      <w:marTop w:val="0"/>
      <w:marBottom w:val="0"/>
      <w:divBdr>
        <w:top w:val="none" w:sz="0" w:space="0" w:color="auto"/>
        <w:left w:val="none" w:sz="0" w:space="0" w:color="auto"/>
        <w:bottom w:val="none" w:sz="0" w:space="0" w:color="auto"/>
        <w:right w:val="none" w:sz="0" w:space="0" w:color="auto"/>
      </w:divBdr>
    </w:div>
    <w:div w:id="120268785">
      <w:bodyDiv w:val="1"/>
      <w:marLeft w:val="0"/>
      <w:marRight w:val="0"/>
      <w:marTop w:val="0"/>
      <w:marBottom w:val="0"/>
      <w:divBdr>
        <w:top w:val="none" w:sz="0" w:space="0" w:color="auto"/>
        <w:left w:val="none" w:sz="0" w:space="0" w:color="auto"/>
        <w:bottom w:val="none" w:sz="0" w:space="0" w:color="auto"/>
        <w:right w:val="none" w:sz="0" w:space="0" w:color="auto"/>
      </w:divBdr>
    </w:div>
    <w:div w:id="160005242">
      <w:bodyDiv w:val="1"/>
      <w:marLeft w:val="0"/>
      <w:marRight w:val="0"/>
      <w:marTop w:val="0"/>
      <w:marBottom w:val="0"/>
      <w:divBdr>
        <w:top w:val="none" w:sz="0" w:space="0" w:color="auto"/>
        <w:left w:val="none" w:sz="0" w:space="0" w:color="auto"/>
        <w:bottom w:val="none" w:sz="0" w:space="0" w:color="auto"/>
        <w:right w:val="none" w:sz="0" w:space="0" w:color="auto"/>
      </w:divBdr>
    </w:div>
    <w:div w:id="198709820">
      <w:bodyDiv w:val="1"/>
      <w:marLeft w:val="0"/>
      <w:marRight w:val="0"/>
      <w:marTop w:val="0"/>
      <w:marBottom w:val="0"/>
      <w:divBdr>
        <w:top w:val="none" w:sz="0" w:space="0" w:color="auto"/>
        <w:left w:val="none" w:sz="0" w:space="0" w:color="auto"/>
        <w:bottom w:val="none" w:sz="0" w:space="0" w:color="auto"/>
        <w:right w:val="none" w:sz="0" w:space="0" w:color="auto"/>
      </w:divBdr>
    </w:div>
    <w:div w:id="284239528">
      <w:bodyDiv w:val="1"/>
      <w:marLeft w:val="0"/>
      <w:marRight w:val="0"/>
      <w:marTop w:val="0"/>
      <w:marBottom w:val="0"/>
      <w:divBdr>
        <w:top w:val="none" w:sz="0" w:space="0" w:color="auto"/>
        <w:left w:val="none" w:sz="0" w:space="0" w:color="auto"/>
        <w:bottom w:val="none" w:sz="0" w:space="0" w:color="auto"/>
        <w:right w:val="none" w:sz="0" w:space="0" w:color="auto"/>
      </w:divBdr>
    </w:div>
    <w:div w:id="314067640">
      <w:bodyDiv w:val="1"/>
      <w:marLeft w:val="0"/>
      <w:marRight w:val="0"/>
      <w:marTop w:val="0"/>
      <w:marBottom w:val="0"/>
      <w:divBdr>
        <w:top w:val="none" w:sz="0" w:space="0" w:color="auto"/>
        <w:left w:val="none" w:sz="0" w:space="0" w:color="auto"/>
        <w:bottom w:val="none" w:sz="0" w:space="0" w:color="auto"/>
        <w:right w:val="none" w:sz="0" w:space="0" w:color="auto"/>
      </w:divBdr>
    </w:div>
    <w:div w:id="422578567">
      <w:bodyDiv w:val="1"/>
      <w:marLeft w:val="0"/>
      <w:marRight w:val="0"/>
      <w:marTop w:val="0"/>
      <w:marBottom w:val="0"/>
      <w:divBdr>
        <w:top w:val="none" w:sz="0" w:space="0" w:color="auto"/>
        <w:left w:val="none" w:sz="0" w:space="0" w:color="auto"/>
        <w:bottom w:val="none" w:sz="0" w:space="0" w:color="auto"/>
        <w:right w:val="none" w:sz="0" w:space="0" w:color="auto"/>
      </w:divBdr>
    </w:div>
    <w:div w:id="466093752">
      <w:bodyDiv w:val="1"/>
      <w:marLeft w:val="0"/>
      <w:marRight w:val="0"/>
      <w:marTop w:val="0"/>
      <w:marBottom w:val="0"/>
      <w:divBdr>
        <w:top w:val="none" w:sz="0" w:space="0" w:color="auto"/>
        <w:left w:val="none" w:sz="0" w:space="0" w:color="auto"/>
        <w:bottom w:val="none" w:sz="0" w:space="0" w:color="auto"/>
        <w:right w:val="none" w:sz="0" w:space="0" w:color="auto"/>
      </w:divBdr>
    </w:div>
    <w:div w:id="515509704">
      <w:bodyDiv w:val="1"/>
      <w:marLeft w:val="0"/>
      <w:marRight w:val="0"/>
      <w:marTop w:val="0"/>
      <w:marBottom w:val="0"/>
      <w:divBdr>
        <w:top w:val="none" w:sz="0" w:space="0" w:color="auto"/>
        <w:left w:val="none" w:sz="0" w:space="0" w:color="auto"/>
        <w:bottom w:val="none" w:sz="0" w:space="0" w:color="auto"/>
        <w:right w:val="none" w:sz="0" w:space="0" w:color="auto"/>
      </w:divBdr>
    </w:div>
    <w:div w:id="516120058">
      <w:bodyDiv w:val="1"/>
      <w:marLeft w:val="0"/>
      <w:marRight w:val="0"/>
      <w:marTop w:val="0"/>
      <w:marBottom w:val="0"/>
      <w:divBdr>
        <w:top w:val="none" w:sz="0" w:space="0" w:color="auto"/>
        <w:left w:val="none" w:sz="0" w:space="0" w:color="auto"/>
        <w:bottom w:val="none" w:sz="0" w:space="0" w:color="auto"/>
        <w:right w:val="none" w:sz="0" w:space="0" w:color="auto"/>
      </w:divBdr>
    </w:div>
    <w:div w:id="537006852">
      <w:bodyDiv w:val="1"/>
      <w:marLeft w:val="0"/>
      <w:marRight w:val="0"/>
      <w:marTop w:val="0"/>
      <w:marBottom w:val="0"/>
      <w:divBdr>
        <w:top w:val="none" w:sz="0" w:space="0" w:color="auto"/>
        <w:left w:val="none" w:sz="0" w:space="0" w:color="auto"/>
        <w:bottom w:val="none" w:sz="0" w:space="0" w:color="auto"/>
        <w:right w:val="none" w:sz="0" w:space="0" w:color="auto"/>
      </w:divBdr>
    </w:div>
    <w:div w:id="629288655">
      <w:bodyDiv w:val="1"/>
      <w:marLeft w:val="0"/>
      <w:marRight w:val="0"/>
      <w:marTop w:val="0"/>
      <w:marBottom w:val="0"/>
      <w:divBdr>
        <w:top w:val="none" w:sz="0" w:space="0" w:color="auto"/>
        <w:left w:val="none" w:sz="0" w:space="0" w:color="auto"/>
        <w:bottom w:val="none" w:sz="0" w:space="0" w:color="auto"/>
        <w:right w:val="none" w:sz="0" w:space="0" w:color="auto"/>
      </w:divBdr>
    </w:div>
    <w:div w:id="631398129">
      <w:bodyDiv w:val="1"/>
      <w:marLeft w:val="0"/>
      <w:marRight w:val="0"/>
      <w:marTop w:val="0"/>
      <w:marBottom w:val="0"/>
      <w:divBdr>
        <w:top w:val="none" w:sz="0" w:space="0" w:color="auto"/>
        <w:left w:val="none" w:sz="0" w:space="0" w:color="auto"/>
        <w:bottom w:val="none" w:sz="0" w:space="0" w:color="auto"/>
        <w:right w:val="none" w:sz="0" w:space="0" w:color="auto"/>
      </w:divBdr>
    </w:div>
    <w:div w:id="702052972">
      <w:bodyDiv w:val="1"/>
      <w:marLeft w:val="0"/>
      <w:marRight w:val="0"/>
      <w:marTop w:val="0"/>
      <w:marBottom w:val="0"/>
      <w:divBdr>
        <w:top w:val="none" w:sz="0" w:space="0" w:color="auto"/>
        <w:left w:val="none" w:sz="0" w:space="0" w:color="auto"/>
        <w:bottom w:val="none" w:sz="0" w:space="0" w:color="auto"/>
        <w:right w:val="none" w:sz="0" w:space="0" w:color="auto"/>
      </w:divBdr>
    </w:div>
    <w:div w:id="728841788">
      <w:bodyDiv w:val="1"/>
      <w:marLeft w:val="0"/>
      <w:marRight w:val="0"/>
      <w:marTop w:val="0"/>
      <w:marBottom w:val="0"/>
      <w:divBdr>
        <w:top w:val="none" w:sz="0" w:space="0" w:color="auto"/>
        <w:left w:val="none" w:sz="0" w:space="0" w:color="auto"/>
        <w:bottom w:val="none" w:sz="0" w:space="0" w:color="auto"/>
        <w:right w:val="none" w:sz="0" w:space="0" w:color="auto"/>
      </w:divBdr>
    </w:div>
    <w:div w:id="785276601">
      <w:bodyDiv w:val="1"/>
      <w:marLeft w:val="0"/>
      <w:marRight w:val="0"/>
      <w:marTop w:val="0"/>
      <w:marBottom w:val="0"/>
      <w:divBdr>
        <w:top w:val="none" w:sz="0" w:space="0" w:color="auto"/>
        <w:left w:val="none" w:sz="0" w:space="0" w:color="auto"/>
        <w:bottom w:val="none" w:sz="0" w:space="0" w:color="auto"/>
        <w:right w:val="none" w:sz="0" w:space="0" w:color="auto"/>
      </w:divBdr>
    </w:div>
    <w:div w:id="854422663">
      <w:bodyDiv w:val="1"/>
      <w:marLeft w:val="0"/>
      <w:marRight w:val="0"/>
      <w:marTop w:val="0"/>
      <w:marBottom w:val="0"/>
      <w:divBdr>
        <w:top w:val="none" w:sz="0" w:space="0" w:color="auto"/>
        <w:left w:val="none" w:sz="0" w:space="0" w:color="auto"/>
        <w:bottom w:val="none" w:sz="0" w:space="0" w:color="auto"/>
        <w:right w:val="none" w:sz="0" w:space="0" w:color="auto"/>
      </w:divBdr>
    </w:div>
    <w:div w:id="932972560">
      <w:bodyDiv w:val="1"/>
      <w:marLeft w:val="0"/>
      <w:marRight w:val="0"/>
      <w:marTop w:val="0"/>
      <w:marBottom w:val="0"/>
      <w:divBdr>
        <w:top w:val="none" w:sz="0" w:space="0" w:color="auto"/>
        <w:left w:val="none" w:sz="0" w:space="0" w:color="auto"/>
        <w:bottom w:val="none" w:sz="0" w:space="0" w:color="auto"/>
        <w:right w:val="none" w:sz="0" w:space="0" w:color="auto"/>
      </w:divBdr>
    </w:div>
    <w:div w:id="995112965">
      <w:bodyDiv w:val="1"/>
      <w:marLeft w:val="0"/>
      <w:marRight w:val="0"/>
      <w:marTop w:val="0"/>
      <w:marBottom w:val="0"/>
      <w:divBdr>
        <w:top w:val="none" w:sz="0" w:space="0" w:color="auto"/>
        <w:left w:val="none" w:sz="0" w:space="0" w:color="auto"/>
        <w:bottom w:val="none" w:sz="0" w:space="0" w:color="auto"/>
        <w:right w:val="none" w:sz="0" w:space="0" w:color="auto"/>
      </w:divBdr>
    </w:div>
    <w:div w:id="997343322">
      <w:bodyDiv w:val="1"/>
      <w:marLeft w:val="0"/>
      <w:marRight w:val="0"/>
      <w:marTop w:val="0"/>
      <w:marBottom w:val="0"/>
      <w:divBdr>
        <w:top w:val="none" w:sz="0" w:space="0" w:color="auto"/>
        <w:left w:val="none" w:sz="0" w:space="0" w:color="auto"/>
        <w:bottom w:val="none" w:sz="0" w:space="0" w:color="auto"/>
        <w:right w:val="none" w:sz="0" w:space="0" w:color="auto"/>
      </w:divBdr>
    </w:div>
    <w:div w:id="1037270270">
      <w:bodyDiv w:val="1"/>
      <w:marLeft w:val="0"/>
      <w:marRight w:val="0"/>
      <w:marTop w:val="0"/>
      <w:marBottom w:val="0"/>
      <w:divBdr>
        <w:top w:val="none" w:sz="0" w:space="0" w:color="auto"/>
        <w:left w:val="none" w:sz="0" w:space="0" w:color="auto"/>
        <w:bottom w:val="none" w:sz="0" w:space="0" w:color="auto"/>
        <w:right w:val="none" w:sz="0" w:space="0" w:color="auto"/>
      </w:divBdr>
    </w:div>
    <w:div w:id="1049570568">
      <w:bodyDiv w:val="1"/>
      <w:marLeft w:val="0"/>
      <w:marRight w:val="0"/>
      <w:marTop w:val="0"/>
      <w:marBottom w:val="0"/>
      <w:divBdr>
        <w:top w:val="none" w:sz="0" w:space="0" w:color="auto"/>
        <w:left w:val="none" w:sz="0" w:space="0" w:color="auto"/>
        <w:bottom w:val="none" w:sz="0" w:space="0" w:color="auto"/>
        <w:right w:val="none" w:sz="0" w:space="0" w:color="auto"/>
      </w:divBdr>
      <w:divsChild>
        <w:div w:id="1985893806">
          <w:marLeft w:val="0"/>
          <w:marRight w:val="0"/>
          <w:marTop w:val="0"/>
          <w:marBottom w:val="0"/>
          <w:divBdr>
            <w:top w:val="none" w:sz="0" w:space="0" w:color="auto"/>
            <w:left w:val="none" w:sz="0" w:space="0" w:color="auto"/>
            <w:bottom w:val="none" w:sz="0" w:space="0" w:color="auto"/>
            <w:right w:val="none" w:sz="0" w:space="0" w:color="auto"/>
          </w:divBdr>
        </w:div>
      </w:divsChild>
    </w:div>
    <w:div w:id="1063911833">
      <w:bodyDiv w:val="1"/>
      <w:marLeft w:val="0"/>
      <w:marRight w:val="0"/>
      <w:marTop w:val="0"/>
      <w:marBottom w:val="0"/>
      <w:divBdr>
        <w:top w:val="none" w:sz="0" w:space="0" w:color="auto"/>
        <w:left w:val="none" w:sz="0" w:space="0" w:color="auto"/>
        <w:bottom w:val="none" w:sz="0" w:space="0" w:color="auto"/>
        <w:right w:val="none" w:sz="0" w:space="0" w:color="auto"/>
      </w:divBdr>
    </w:div>
    <w:div w:id="1063941594">
      <w:bodyDiv w:val="1"/>
      <w:marLeft w:val="0"/>
      <w:marRight w:val="0"/>
      <w:marTop w:val="0"/>
      <w:marBottom w:val="0"/>
      <w:divBdr>
        <w:top w:val="none" w:sz="0" w:space="0" w:color="auto"/>
        <w:left w:val="none" w:sz="0" w:space="0" w:color="auto"/>
        <w:bottom w:val="none" w:sz="0" w:space="0" w:color="auto"/>
        <w:right w:val="none" w:sz="0" w:space="0" w:color="auto"/>
      </w:divBdr>
    </w:div>
    <w:div w:id="1077022665">
      <w:bodyDiv w:val="1"/>
      <w:marLeft w:val="0"/>
      <w:marRight w:val="0"/>
      <w:marTop w:val="0"/>
      <w:marBottom w:val="0"/>
      <w:divBdr>
        <w:top w:val="none" w:sz="0" w:space="0" w:color="auto"/>
        <w:left w:val="none" w:sz="0" w:space="0" w:color="auto"/>
        <w:bottom w:val="none" w:sz="0" w:space="0" w:color="auto"/>
        <w:right w:val="none" w:sz="0" w:space="0" w:color="auto"/>
      </w:divBdr>
    </w:div>
    <w:div w:id="1157191061">
      <w:bodyDiv w:val="1"/>
      <w:marLeft w:val="0"/>
      <w:marRight w:val="0"/>
      <w:marTop w:val="0"/>
      <w:marBottom w:val="0"/>
      <w:divBdr>
        <w:top w:val="none" w:sz="0" w:space="0" w:color="auto"/>
        <w:left w:val="none" w:sz="0" w:space="0" w:color="auto"/>
        <w:bottom w:val="none" w:sz="0" w:space="0" w:color="auto"/>
        <w:right w:val="none" w:sz="0" w:space="0" w:color="auto"/>
      </w:divBdr>
    </w:div>
    <w:div w:id="1306473942">
      <w:bodyDiv w:val="1"/>
      <w:marLeft w:val="0"/>
      <w:marRight w:val="0"/>
      <w:marTop w:val="0"/>
      <w:marBottom w:val="0"/>
      <w:divBdr>
        <w:top w:val="none" w:sz="0" w:space="0" w:color="auto"/>
        <w:left w:val="none" w:sz="0" w:space="0" w:color="auto"/>
        <w:bottom w:val="none" w:sz="0" w:space="0" w:color="auto"/>
        <w:right w:val="none" w:sz="0" w:space="0" w:color="auto"/>
      </w:divBdr>
    </w:div>
    <w:div w:id="1379088474">
      <w:bodyDiv w:val="1"/>
      <w:marLeft w:val="0"/>
      <w:marRight w:val="0"/>
      <w:marTop w:val="0"/>
      <w:marBottom w:val="0"/>
      <w:divBdr>
        <w:top w:val="none" w:sz="0" w:space="0" w:color="auto"/>
        <w:left w:val="none" w:sz="0" w:space="0" w:color="auto"/>
        <w:bottom w:val="none" w:sz="0" w:space="0" w:color="auto"/>
        <w:right w:val="none" w:sz="0" w:space="0" w:color="auto"/>
      </w:divBdr>
    </w:div>
    <w:div w:id="1397168327">
      <w:bodyDiv w:val="1"/>
      <w:marLeft w:val="0"/>
      <w:marRight w:val="0"/>
      <w:marTop w:val="0"/>
      <w:marBottom w:val="0"/>
      <w:divBdr>
        <w:top w:val="none" w:sz="0" w:space="0" w:color="auto"/>
        <w:left w:val="none" w:sz="0" w:space="0" w:color="auto"/>
        <w:bottom w:val="none" w:sz="0" w:space="0" w:color="auto"/>
        <w:right w:val="none" w:sz="0" w:space="0" w:color="auto"/>
      </w:divBdr>
    </w:div>
    <w:div w:id="1399864012">
      <w:bodyDiv w:val="1"/>
      <w:marLeft w:val="0"/>
      <w:marRight w:val="0"/>
      <w:marTop w:val="0"/>
      <w:marBottom w:val="0"/>
      <w:divBdr>
        <w:top w:val="none" w:sz="0" w:space="0" w:color="auto"/>
        <w:left w:val="none" w:sz="0" w:space="0" w:color="auto"/>
        <w:bottom w:val="none" w:sz="0" w:space="0" w:color="auto"/>
        <w:right w:val="none" w:sz="0" w:space="0" w:color="auto"/>
      </w:divBdr>
    </w:div>
    <w:div w:id="1574463707">
      <w:bodyDiv w:val="1"/>
      <w:marLeft w:val="0"/>
      <w:marRight w:val="0"/>
      <w:marTop w:val="0"/>
      <w:marBottom w:val="0"/>
      <w:divBdr>
        <w:top w:val="none" w:sz="0" w:space="0" w:color="auto"/>
        <w:left w:val="none" w:sz="0" w:space="0" w:color="auto"/>
        <w:bottom w:val="none" w:sz="0" w:space="0" w:color="auto"/>
        <w:right w:val="none" w:sz="0" w:space="0" w:color="auto"/>
      </w:divBdr>
    </w:div>
    <w:div w:id="1605454194">
      <w:bodyDiv w:val="1"/>
      <w:marLeft w:val="0"/>
      <w:marRight w:val="0"/>
      <w:marTop w:val="0"/>
      <w:marBottom w:val="0"/>
      <w:divBdr>
        <w:top w:val="none" w:sz="0" w:space="0" w:color="auto"/>
        <w:left w:val="none" w:sz="0" w:space="0" w:color="auto"/>
        <w:bottom w:val="none" w:sz="0" w:space="0" w:color="auto"/>
        <w:right w:val="none" w:sz="0" w:space="0" w:color="auto"/>
      </w:divBdr>
    </w:div>
    <w:div w:id="1628046800">
      <w:bodyDiv w:val="1"/>
      <w:marLeft w:val="0"/>
      <w:marRight w:val="0"/>
      <w:marTop w:val="0"/>
      <w:marBottom w:val="0"/>
      <w:divBdr>
        <w:top w:val="none" w:sz="0" w:space="0" w:color="auto"/>
        <w:left w:val="none" w:sz="0" w:space="0" w:color="auto"/>
        <w:bottom w:val="none" w:sz="0" w:space="0" w:color="auto"/>
        <w:right w:val="none" w:sz="0" w:space="0" w:color="auto"/>
      </w:divBdr>
    </w:div>
    <w:div w:id="1645812341">
      <w:bodyDiv w:val="1"/>
      <w:marLeft w:val="0"/>
      <w:marRight w:val="0"/>
      <w:marTop w:val="0"/>
      <w:marBottom w:val="0"/>
      <w:divBdr>
        <w:top w:val="none" w:sz="0" w:space="0" w:color="auto"/>
        <w:left w:val="none" w:sz="0" w:space="0" w:color="auto"/>
        <w:bottom w:val="none" w:sz="0" w:space="0" w:color="auto"/>
        <w:right w:val="none" w:sz="0" w:space="0" w:color="auto"/>
      </w:divBdr>
    </w:div>
    <w:div w:id="1784423444">
      <w:bodyDiv w:val="1"/>
      <w:marLeft w:val="0"/>
      <w:marRight w:val="0"/>
      <w:marTop w:val="0"/>
      <w:marBottom w:val="0"/>
      <w:divBdr>
        <w:top w:val="none" w:sz="0" w:space="0" w:color="auto"/>
        <w:left w:val="none" w:sz="0" w:space="0" w:color="auto"/>
        <w:bottom w:val="none" w:sz="0" w:space="0" w:color="auto"/>
        <w:right w:val="none" w:sz="0" w:space="0" w:color="auto"/>
      </w:divBdr>
    </w:div>
    <w:div w:id="1790121017">
      <w:bodyDiv w:val="1"/>
      <w:marLeft w:val="0"/>
      <w:marRight w:val="0"/>
      <w:marTop w:val="0"/>
      <w:marBottom w:val="0"/>
      <w:divBdr>
        <w:top w:val="none" w:sz="0" w:space="0" w:color="auto"/>
        <w:left w:val="none" w:sz="0" w:space="0" w:color="auto"/>
        <w:bottom w:val="none" w:sz="0" w:space="0" w:color="auto"/>
        <w:right w:val="none" w:sz="0" w:space="0" w:color="auto"/>
      </w:divBdr>
    </w:div>
    <w:div w:id="1808861339">
      <w:bodyDiv w:val="1"/>
      <w:marLeft w:val="0"/>
      <w:marRight w:val="0"/>
      <w:marTop w:val="0"/>
      <w:marBottom w:val="0"/>
      <w:divBdr>
        <w:top w:val="none" w:sz="0" w:space="0" w:color="auto"/>
        <w:left w:val="none" w:sz="0" w:space="0" w:color="auto"/>
        <w:bottom w:val="none" w:sz="0" w:space="0" w:color="auto"/>
        <w:right w:val="none" w:sz="0" w:space="0" w:color="auto"/>
      </w:divBdr>
    </w:div>
    <w:div w:id="1846938471">
      <w:bodyDiv w:val="1"/>
      <w:marLeft w:val="0"/>
      <w:marRight w:val="0"/>
      <w:marTop w:val="0"/>
      <w:marBottom w:val="0"/>
      <w:divBdr>
        <w:top w:val="none" w:sz="0" w:space="0" w:color="auto"/>
        <w:left w:val="none" w:sz="0" w:space="0" w:color="auto"/>
        <w:bottom w:val="none" w:sz="0" w:space="0" w:color="auto"/>
        <w:right w:val="none" w:sz="0" w:space="0" w:color="auto"/>
      </w:divBdr>
    </w:div>
    <w:div w:id="1964070805">
      <w:bodyDiv w:val="1"/>
      <w:marLeft w:val="0"/>
      <w:marRight w:val="0"/>
      <w:marTop w:val="0"/>
      <w:marBottom w:val="0"/>
      <w:divBdr>
        <w:top w:val="none" w:sz="0" w:space="0" w:color="auto"/>
        <w:left w:val="none" w:sz="0" w:space="0" w:color="auto"/>
        <w:bottom w:val="none" w:sz="0" w:space="0" w:color="auto"/>
        <w:right w:val="none" w:sz="0" w:space="0" w:color="auto"/>
      </w:divBdr>
    </w:div>
    <w:div w:id="2005892464">
      <w:bodyDiv w:val="1"/>
      <w:marLeft w:val="0"/>
      <w:marRight w:val="0"/>
      <w:marTop w:val="0"/>
      <w:marBottom w:val="0"/>
      <w:divBdr>
        <w:top w:val="none" w:sz="0" w:space="0" w:color="auto"/>
        <w:left w:val="none" w:sz="0" w:space="0" w:color="auto"/>
        <w:bottom w:val="none" w:sz="0" w:space="0" w:color="auto"/>
        <w:right w:val="none" w:sz="0" w:space="0" w:color="auto"/>
      </w:divBdr>
    </w:div>
    <w:div w:id="2089577566">
      <w:bodyDiv w:val="1"/>
      <w:marLeft w:val="0"/>
      <w:marRight w:val="0"/>
      <w:marTop w:val="0"/>
      <w:marBottom w:val="0"/>
      <w:divBdr>
        <w:top w:val="none" w:sz="0" w:space="0" w:color="auto"/>
        <w:left w:val="none" w:sz="0" w:space="0" w:color="auto"/>
        <w:bottom w:val="none" w:sz="0" w:space="0" w:color="auto"/>
        <w:right w:val="none" w:sz="0" w:space="0" w:color="auto"/>
      </w:divBdr>
    </w:div>
    <w:div w:id="2099249499">
      <w:bodyDiv w:val="1"/>
      <w:marLeft w:val="0"/>
      <w:marRight w:val="0"/>
      <w:marTop w:val="0"/>
      <w:marBottom w:val="0"/>
      <w:divBdr>
        <w:top w:val="none" w:sz="0" w:space="0" w:color="auto"/>
        <w:left w:val="none" w:sz="0" w:space="0" w:color="auto"/>
        <w:bottom w:val="none" w:sz="0" w:space="0" w:color="auto"/>
        <w:right w:val="none" w:sz="0" w:space="0" w:color="auto"/>
      </w:divBdr>
    </w:div>
    <w:div w:id="2132550909">
      <w:bodyDiv w:val="1"/>
      <w:marLeft w:val="0"/>
      <w:marRight w:val="0"/>
      <w:marTop w:val="0"/>
      <w:marBottom w:val="0"/>
      <w:divBdr>
        <w:top w:val="none" w:sz="0" w:space="0" w:color="auto"/>
        <w:left w:val="none" w:sz="0" w:space="0" w:color="auto"/>
        <w:bottom w:val="none" w:sz="0" w:space="0" w:color="auto"/>
        <w:right w:val="none" w:sz="0" w:space="0" w:color="auto"/>
      </w:divBdr>
    </w:div>
    <w:div w:id="214453835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endnotes.xml.rels><?xml version="1.0" encoding="UTF-8" standalone="yes"?>
<Relationships xmlns="http://schemas.openxmlformats.org/package/2006/relationships"><Relationship Id="rId8" Type="http://schemas.openxmlformats.org/officeDocument/2006/relationships/hyperlink" Target="https://www.who.int/initiatives/tripartite-zoonosis-guide" TargetMode="External"/><Relationship Id="rId3" Type="http://schemas.openxmlformats.org/officeDocument/2006/relationships/hyperlink" Target="https://www.flemingfund.org/knowledge-resources/" TargetMode="External"/><Relationship Id="rId7" Type="http://schemas.openxmlformats.org/officeDocument/2006/relationships/hyperlink" Target="https://apps.who.int/gb/ebwha/pdf_files/WHA75/A75_19-en.pdf" TargetMode="External"/><Relationship Id="rId2" Type="http://schemas.openxmlformats.org/officeDocument/2006/relationships/hyperlink" Target="https://www.avma.org/resources-tools/one-health" TargetMode="External"/><Relationship Id="rId1" Type="http://schemas.openxmlformats.org/officeDocument/2006/relationships/hyperlink" Target="https://amr-review.org/sites/default/files/160525_Final%20paper_with%20cover.pdf" TargetMode="External"/><Relationship Id="rId6" Type="http://schemas.openxmlformats.org/officeDocument/2006/relationships/hyperlink" Target="https://apps.who.int/iris/handle/10665/340079" TargetMode="External"/><Relationship Id="rId5" Type="http://schemas.openxmlformats.org/officeDocument/2006/relationships/hyperlink" Target="https://openknowledge.worldbank.org/entities/publication/d964eff2-d6b8-5aea-96d5-c0a628a13706" TargetMode="External"/><Relationship Id="rId10" Type="http://schemas.openxmlformats.org/officeDocument/2006/relationships/hyperlink" Target="https://icai.independent.gov.uk/wp-content/uploads/ICAI-report-DFIDs-approach-to-Delivering-Impact.pdf" TargetMode="External"/><Relationship Id="rId4" Type="http://schemas.openxmlformats.org/officeDocument/2006/relationships/hyperlink" Target="https://www.flemingfund.org/our-approach/programme-design/" TargetMode="External"/><Relationship Id="rId9" Type="http://schemas.openxmlformats.org/officeDocument/2006/relationships/hyperlink" Target="https://commonslibrary.parliament.uk/research-briefings/sn05262/"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Itad">
      <a:dk1>
        <a:srgbClr val="3B3B3C"/>
      </a:dk1>
      <a:lt1>
        <a:sysClr val="window" lastClr="FFFFFF"/>
      </a:lt1>
      <a:dk2>
        <a:srgbClr val="588B46"/>
      </a:dk2>
      <a:lt2>
        <a:srgbClr val="E7E6E6"/>
      </a:lt2>
      <a:accent1>
        <a:srgbClr val="89803D"/>
      </a:accent1>
      <a:accent2>
        <a:srgbClr val="E37230"/>
      </a:accent2>
      <a:accent3>
        <a:srgbClr val="3FB84E"/>
      </a:accent3>
      <a:accent4>
        <a:srgbClr val="F1B249"/>
      </a:accent4>
      <a:accent5>
        <a:srgbClr val="F4F142"/>
      </a:accent5>
      <a:accent6>
        <a:srgbClr val="8CCA45"/>
      </a:accent6>
      <a:hlink>
        <a:srgbClr val="3B3B3C"/>
      </a:hlink>
      <a:folHlink>
        <a:srgbClr val="F3932D"/>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E5D992F4F1BC4469E6B89EB86B8986A" ma:contentTypeVersion="8" ma:contentTypeDescription="Create a new document." ma:contentTypeScope="" ma:versionID="47d3eee47d6067f7f1c3c43eb0007236">
  <xsd:schema xmlns:xsd="http://www.w3.org/2001/XMLSchema" xmlns:xs="http://www.w3.org/2001/XMLSchema" xmlns:p="http://schemas.microsoft.com/office/2006/metadata/properties" xmlns:ns2="bdd75724-7c91-4237-853c-255501370aa0" xmlns:ns3="7aa07ef2-f4ec-4a8c-98d7-e2e24130d9f5" targetNamespace="http://schemas.microsoft.com/office/2006/metadata/properties" ma:root="true" ma:fieldsID="4afdbb87b07a28ba0bfb356767e59669" ns2:_="" ns3:_="">
    <xsd:import namespace="bdd75724-7c91-4237-853c-255501370aa0"/>
    <xsd:import namespace="7aa07ef2-f4ec-4a8c-98d7-e2e24130d9f5"/>
    <xsd:element name="properties">
      <xsd:complexType>
        <xsd:sequence>
          <xsd:element name="documentManagement">
            <xsd:complexType>
              <xsd:all>
                <xsd:element ref="ns2:lcf76f155ced4ddcb4097134ff3c332f" minOccurs="0"/>
                <xsd:element ref="ns3:SharedWithUsers" minOccurs="0"/>
                <xsd:element ref="ns3:SharedWithDetails"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d75724-7c91-4237-853c-255501370aa0" elementFormDefault="qualified">
    <xsd:import namespace="http://schemas.microsoft.com/office/2006/documentManagement/types"/>
    <xsd:import namespace="http://schemas.microsoft.com/office/infopath/2007/PartnerControls"/>
    <xsd:element name="lcf76f155ced4ddcb4097134ff3c332f" ma:index="9" nillable="true" ma:taxonomy="true" ma:internalName="lcf76f155ced4ddcb4097134ff3c332f" ma:taxonomyFieldName="MediaServiceImageTags" ma:displayName="Image Tags" ma:readOnly="false" ma:fieldId="{5cf76f15-5ced-4ddc-b409-7134ff3c332f}" ma:taxonomyMulti="true" ma:sspId="1caf2c84-180d-4652-98d8-3773f236d385" ma:termSetId="09814cd3-568e-fe90-9814-8d621ff8fb84" ma:anchorId="fba54fb3-c3e1-fe81-a776-ca4b69148c4d" ma:open="true" ma:isKeyword="false">
      <xsd:complexType>
        <xsd:sequence>
          <xsd:element ref="pc:Terms" minOccurs="0" maxOccurs="1"/>
        </xsd:sequence>
      </xsd:complexType>
    </xsd:element>
    <xsd:element name="MediaLengthInSeconds" ma:index="12" nillable="true" ma:displayName="MediaLengthInSeconds" ma:hidden="true" ma:internalName="MediaLengthInSeconds" ma:readOnly="true">
      <xsd:simpleType>
        <xsd:restriction base="dms:Unknown"/>
      </xsd:simpleType>
    </xsd:element>
    <xsd:element name="MediaServiceObjectDetectorVersions" ma:index="1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1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aa07ef2-f4ec-4a8c-98d7-e2e24130d9f5"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bdd75724-7c91-4237-853c-255501370aa0">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b:Source>
    <b:Tag>Wor214</b:Tag>
    <b:SourceType>InternetSite</b:SourceType>
    <b:Guid>{C3B532CD-15C6-DC4A-B7A2-C5E08AD0741A}</b:Guid>
    <b:Author>
      <b:Author>
        <b:Corporate>World Bannk</b:Corporate>
      </b:Author>
    </b:Author>
    <b:Title>Safeguarding Animal, Human and Ecosystem Health: One Health at the World Bank </b:Title>
    <b:URL>https://www.worldbank.org/en/topic/agriculture/brief/safeguarding-animal-human-and-ecosystem-health-one-health-at-the-world-bank</b:URL>
    <b:Year>2021</b:Year>
    <b:Month>June</b:Month>
    <b:Day>3</b:Day>
    <b:RefOrder>1</b:RefOrder>
  </b:Source>
</b:Sources>
</file>

<file path=customXml/itemProps1.xml><?xml version="1.0" encoding="utf-8"?>
<ds:datastoreItem xmlns:ds="http://schemas.openxmlformats.org/officeDocument/2006/customXml" ds:itemID="{A97443F0-D4A5-4216-AC77-A688E85F0C1D}">
  <ds:schemaRefs>
    <ds:schemaRef ds:uri="http://schemas.microsoft.com/sharepoint/v3/contenttype/forms"/>
  </ds:schemaRefs>
</ds:datastoreItem>
</file>

<file path=customXml/itemProps2.xml><?xml version="1.0" encoding="utf-8"?>
<ds:datastoreItem xmlns:ds="http://schemas.openxmlformats.org/officeDocument/2006/customXml" ds:itemID="{F6C97579-E1DB-40D1-8C0A-6ED962A878A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d75724-7c91-4237-853c-255501370aa0"/>
    <ds:schemaRef ds:uri="7aa07ef2-f4ec-4a8c-98d7-e2e24130d9f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F71E91D-DAF8-42A2-97C9-16008A93F058}">
  <ds:schemaRefs>
    <ds:schemaRef ds:uri="http://purl.org/dc/dcmitype/"/>
    <ds:schemaRef ds:uri="http://schemas.openxmlformats.org/package/2006/metadata/core-properties"/>
    <ds:schemaRef ds:uri="http://purl.org/dc/elements/1.1/"/>
    <ds:schemaRef ds:uri="http://www.w3.org/XML/1998/namespace"/>
    <ds:schemaRef ds:uri="http://schemas.microsoft.com/office/2006/documentManagement/types"/>
    <ds:schemaRef ds:uri="http://schemas.microsoft.com/office/infopath/2007/PartnerControls"/>
    <ds:schemaRef ds:uri="7aa07ef2-f4ec-4a8c-98d7-e2e24130d9f5"/>
    <ds:schemaRef ds:uri="bdd75724-7c91-4237-853c-255501370aa0"/>
    <ds:schemaRef ds:uri="http://schemas.microsoft.com/office/2006/metadata/properties"/>
    <ds:schemaRef ds:uri="http://purl.org/dc/terms/"/>
  </ds:schemaRefs>
</ds:datastoreItem>
</file>

<file path=customXml/itemProps4.xml><?xml version="1.0" encoding="utf-8"?>
<ds:datastoreItem xmlns:ds="http://schemas.openxmlformats.org/officeDocument/2006/customXml" ds:itemID="{C5B669CE-92D4-7247-B9CE-D2DFBFE8E4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5224</Words>
  <Characters>29783</Characters>
  <Application>Microsoft Office Word</Application>
  <DocSecurity>0</DocSecurity>
  <Lines>248</Lines>
  <Paragraphs>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dc:creator>
  <cp:keywords/>
  <dc:description/>
  <cp:lastModifiedBy>Kayuma, Mwaanga</cp:lastModifiedBy>
  <cp:revision>2</cp:revision>
  <dcterms:created xsi:type="dcterms:W3CDTF">2024-04-24T11:42:00Z</dcterms:created>
  <dcterms:modified xsi:type="dcterms:W3CDTF">2024-04-24T11:42:00Z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0x010100BE5D992F4F1BC4469E6B89EB86B8986A</vt:lpwstr>
  </property>
  <property fmtid="{D5CDD505-2E9C-101B-9397-08002B2CF9AE}" pid="3" name="MediaServiceImageTags">
    <vt:lpwstr/>
  </property>
  <property fmtid="{D5CDD505-2E9C-101B-9397-08002B2CF9AE}" pid="4" name="GrammarlyDocumentId">
    <vt:lpwstr>2b7850be6e2e9a0a6885a81179869877e7965d238fcf7cc1d824b896095061b7</vt:lpwstr>
  </property>
</Properties>
</file>