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3935393" w:displacedByCustomXml="next"/>
    <w:sdt>
      <w:sdtPr>
        <w:id w:val="-809237571"/>
        <w:docPartObj>
          <w:docPartGallery w:val="Cover Pages"/>
          <w:docPartUnique/>
        </w:docPartObj>
      </w:sdtPr>
      <w:sdtEndPr/>
      <w:sdtContent>
        <w:p w14:paraId="1904D8F2" w14:textId="77777777" w:rsidR="00ED72A1" w:rsidRDefault="001517E0" w:rsidP="004D7FC2">
          <w:pPr>
            <w:tabs>
              <w:tab w:val="center" w:pos="4759"/>
            </w:tabs>
          </w:pPr>
          <w:r>
            <w:rPr>
              <w:noProof/>
              <w:lang w:eastAsia="en-GB"/>
            </w:rPr>
            <w:drawing>
              <wp:anchor distT="0" distB="0" distL="114300" distR="114300" simplePos="0" relativeHeight="251658242" behindDoc="1" locked="0" layoutInCell="1" allowOverlap="1" wp14:anchorId="31C26F4E" wp14:editId="0B34CF64">
                <wp:simplePos x="0" y="0"/>
                <wp:positionH relativeFrom="page">
                  <wp:posOffset>-2540</wp:posOffset>
                </wp:positionH>
                <wp:positionV relativeFrom="paragraph">
                  <wp:posOffset>-883920</wp:posOffset>
                </wp:positionV>
                <wp:extent cx="7548535" cy="1067752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548535"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7FC2">
            <w:tab/>
          </w:r>
        </w:p>
        <w:p w14:paraId="6A036FFD" w14:textId="4AC46AC0" w:rsidR="00ED72A1" w:rsidRDefault="00F21C29">
          <w:pPr>
            <w:rPr>
              <w:color w:val="000000"/>
            </w:rPr>
          </w:pPr>
          <w:r>
            <w:rPr>
              <w:noProof/>
              <w:lang w:eastAsia="en-GB"/>
            </w:rPr>
            <w:drawing>
              <wp:anchor distT="0" distB="0" distL="114300" distR="114300" simplePos="0" relativeHeight="251658243" behindDoc="1" locked="0" layoutInCell="1" allowOverlap="1" wp14:anchorId="2A7937DA" wp14:editId="17CC7F25">
                <wp:simplePos x="0" y="0"/>
                <wp:positionH relativeFrom="page">
                  <wp:posOffset>-7620</wp:posOffset>
                </wp:positionH>
                <wp:positionV relativeFrom="paragraph">
                  <wp:posOffset>4663440</wp:posOffset>
                </wp:positionV>
                <wp:extent cx="7557770" cy="3512820"/>
                <wp:effectExtent l="0" t="0" r="5080" b="0"/>
                <wp:wrapNone/>
                <wp:docPr id="27" name="Picture 27" descr="Person using mic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erson using microscope"/>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3512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4924">
            <w:rPr>
              <w:noProof/>
              <w:lang w:eastAsia="en-GB"/>
            </w:rPr>
            <mc:AlternateContent>
              <mc:Choice Requires="wps">
                <w:drawing>
                  <wp:anchor distT="0" distB="0" distL="114300" distR="114300" simplePos="0" relativeHeight="251658241" behindDoc="0" locked="0" layoutInCell="1" allowOverlap="1" wp14:anchorId="0404F0D2" wp14:editId="0CE30A9F">
                    <wp:simplePos x="0" y="0"/>
                    <wp:positionH relativeFrom="column">
                      <wp:posOffset>582295</wp:posOffset>
                    </wp:positionH>
                    <wp:positionV relativeFrom="paragraph">
                      <wp:posOffset>767715</wp:posOffset>
                    </wp:positionV>
                    <wp:extent cx="5192395" cy="3036570"/>
                    <wp:effectExtent l="0" t="0" r="8255" b="11430"/>
                    <wp:wrapSquare wrapText="bothSides"/>
                    <wp:docPr id="1" name="Text Box 1"/>
                    <wp:cNvGraphicFramePr/>
                    <a:graphic xmlns:a="http://schemas.openxmlformats.org/drawingml/2006/main">
                      <a:graphicData uri="http://schemas.microsoft.com/office/word/2010/wordprocessingShape">
                        <wps:wsp>
                          <wps:cNvSpPr txBox="1"/>
                          <wps:spPr>
                            <a:xfrm>
                              <a:off x="0" y="0"/>
                              <a:ext cx="5192395" cy="30365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9F7CCB" w14:textId="77777777" w:rsidR="00EA044F" w:rsidRDefault="00EA044F" w:rsidP="00EA044F">
                                <w:pPr>
                                  <w:pStyle w:val="ItadMainTitle2"/>
                                  <w:rPr>
                                    <w:rFonts w:ascii="CubeOT" w:hAnsi="CubeOT" w:cs="CubeOT"/>
                                    <w:color w:val="E37230" w:themeColor="accent2"/>
                                    <w:sz w:val="72"/>
                                    <w:szCs w:val="72"/>
                                  </w:rPr>
                                </w:pPr>
                                <w:r w:rsidRPr="00DD0F1A">
                                  <w:rPr>
                                    <w:rFonts w:ascii="CubeOT" w:hAnsi="CubeOT" w:cs="CubeOT"/>
                                    <w:color w:val="E37230" w:themeColor="accent2"/>
                                    <w:sz w:val="72"/>
                                    <w:szCs w:val="72"/>
                                  </w:rPr>
                                  <w:t>Independent Evaluation of the Fleming Fund Grants Programme</w:t>
                                </w:r>
                              </w:p>
                              <w:p w14:paraId="09833365" w14:textId="07CE104C" w:rsidR="00EA044F" w:rsidRPr="00150A7A" w:rsidRDefault="00EA044F" w:rsidP="00EA044F">
                                <w:pPr>
                                  <w:pStyle w:val="ItadMainTitle2"/>
                                  <w:rPr>
                                    <w:rFonts w:asciiTheme="minorHAnsi" w:hAnsiTheme="minorHAnsi" w:cstheme="minorHAnsi"/>
                                    <w:b/>
                                    <w:bCs/>
                                    <w:color w:val="767171" w:themeColor="background2" w:themeShade="80"/>
                                    <w:sz w:val="48"/>
                                    <w:szCs w:val="48"/>
                                  </w:rPr>
                                </w:pPr>
                                <w:r>
                                  <w:rPr>
                                    <w:rFonts w:asciiTheme="minorHAnsi" w:hAnsiTheme="minorHAnsi" w:cstheme="minorHAnsi"/>
                                    <w:b/>
                                    <w:bCs/>
                                    <w:color w:val="767171" w:themeColor="background2" w:themeShade="80"/>
                                    <w:sz w:val="48"/>
                                    <w:szCs w:val="48"/>
                                  </w:rPr>
                                  <w:t xml:space="preserve">Volume I: Summative Report </w:t>
                                </w:r>
                              </w:p>
                              <w:p w14:paraId="63CA1EB8" w14:textId="77777777" w:rsidR="00215994" w:rsidRPr="00FB446E" w:rsidRDefault="00215994" w:rsidP="00333C8C">
                                <w:pPr>
                                  <w:pStyle w:val="ItadMainTitle3"/>
                                  <w:rPr>
                                    <w:color w:val="767171" w:themeColor="background2" w:themeShade="80"/>
                                  </w:rPr>
                                </w:pPr>
                              </w:p>
                              <w:p w14:paraId="5C095EF8" w14:textId="4A12955E"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 xml:space="preserve">Date: </w:t>
                                </w:r>
                                <w:r w:rsidRPr="00FB446E">
                                  <w:rPr>
                                    <w:color w:val="767171" w:themeColor="background2" w:themeShade="80"/>
                                    <w:sz w:val="28"/>
                                    <w:szCs w:val="28"/>
                                  </w:rPr>
                                  <w:fldChar w:fldCharType="begin"/>
                                </w:r>
                                <w:r w:rsidRPr="00FB446E">
                                  <w:rPr>
                                    <w:color w:val="767171" w:themeColor="background2" w:themeShade="80"/>
                                    <w:sz w:val="28"/>
                                    <w:szCs w:val="28"/>
                                  </w:rPr>
                                  <w:instrText xml:space="preserve"> DATE \@ "d MMMM yyyy" </w:instrText>
                                </w:r>
                                <w:r w:rsidRPr="00FB446E">
                                  <w:rPr>
                                    <w:color w:val="767171" w:themeColor="background2" w:themeShade="80"/>
                                    <w:sz w:val="28"/>
                                    <w:szCs w:val="28"/>
                                  </w:rPr>
                                  <w:fldChar w:fldCharType="separate"/>
                                </w:r>
                                <w:r w:rsidR="00B33BBD">
                                  <w:rPr>
                                    <w:noProof/>
                                    <w:color w:val="767171" w:themeColor="background2" w:themeShade="80"/>
                                    <w:sz w:val="28"/>
                                    <w:szCs w:val="28"/>
                                  </w:rPr>
                                  <w:t>24 April 2024</w:t>
                                </w:r>
                                <w:r w:rsidRPr="00FB446E">
                                  <w:rPr>
                                    <w:color w:val="767171" w:themeColor="background2" w:themeShade="80"/>
                                    <w:sz w:val="28"/>
                                    <w:szCs w:val="28"/>
                                  </w:rPr>
                                  <w:fldChar w:fldCharType="end"/>
                                </w:r>
                              </w:p>
                              <w:p w14:paraId="08B23854" w14:textId="73E8D914" w:rsidR="009C1D77" w:rsidRPr="00FB446E" w:rsidRDefault="00215994" w:rsidP="009C1D77">
                                <w:pPr>
                                  <w:pStyle w:val="ItadMainTitle3"/>
                                  <w:rPr>
                                    <w:color w:val="767171" w:themeColor="background2" w:themeShade="80"/>
                                    <w:sz w:val="28"/>
                                    <w:szCs w:val="28"/>
                                  </w:rPr>
                                </w:pPr>
                                <w:r w:rsidRPr="00FB446E">
                                  <w:rPr>
                                    <w:color w:val="767171" w:themeColor="background2" w:themeShade="80"/>
                                    <w:sz w:val="28"/>
                                    <w:szCs w:val="28"/>
                                  </w:rPr>
                                  <w:t xml:space="preserve">Authors: </w:t>
                                </w:r>
                                <w:r w:rsidR="009C1D77" w:rsidRPr="00D02458">
                                  <w:rPr>
                                    <w:color w:val="767171" w:themeColor="background2" w:themeShade="80"/>
                                    <w:sz w:val="28"/>
                                    <w:szCs w:val="28"/>
                                  </w:rPr>
                                  <w:t xml:space="preserve">Tim Shorten, Giada Tu Thanh, Ankur Gupta-Wright, Jennifer Armitage, Abbas Syed, Archie Drake </w:t>
                                </w:r>
                                <w:r w:rsidR="008E4C3E">
                                  <w:rPr>
                                    <w:color w:val="767171" w:themeColor="background2" w:themeShade="80"/>
                                    <w:sz w:val="28"/>
                                    <w:szCs w:val="28"/>
                                  </w:rPr>
                                  <w:t>and</w:t>
                                </w:r>
                                <w:r w:rsidR="009C1D77" w:rsidRPr="00D02458">
                                  <w:rPr>
                                    <w:color w:val="767171" w:themeColor="background2" w:themeShade="80"/>
                                    <w:sz w:val="28"/>
                                    <w:szCs w:val="28"/>
                                  </w:rPr>
                                  <w:t xml:space="preserve"> Paul Balogun</w:t>
                                </w:r>
                              </w:p>
                              <w:p w14:paraId="6214F258" w14:textId="77777777"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Submitted by Itad</w:t>
                                </w:r>
                              </w:p>
                              <w:p w14:paraId="58A210F4" w14:textId="77A37A0B" w:rsidR="00215994" w:rsidRPr="00FB446E" w:rsidRDefault="00215994" w:rsidP="00333C8C">
                                <w:pPr>
                                  <w:pStyle w:val="ItadMainTitle3"/>
                                  <w:rPr>
                                    <w:color w:val="767171" w:themeColor="background2" w:themeShade="80"/>
                                    <w:sz w:val="28"/>
                                    <w:szCs w:val="2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04F0D2" id="_x0000_t202" coordsize="21600,21600" o:spt="202" path="m,l,21600r21600,l21600,xe">
                    <v:stroke joinstyle="miter"/>
                    <v:path gradientshapeok="t" o:connecttype="rect"/>
                  </v:shapetype>
                  <v:shape id="Text Box 1" o:spid="_x0000_s1026" type="#_x0000_t202" style="position:absolute;margin-left:45.85pt;margin-top:60.45pt;width:408.85pt;height:239.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" filled="f" stroked="f">
                    <v:textbox inset="0,0,0,0">
                      <w:txbxContent>
                        <w:p w14:paraId="289F7CCB" w14:textId="77777777" w:rsidR="00EA044F" w:rsidRDefault="00EA044F" w:rsidP="00EA044F">
                          <w:pPr>
                            <w:pStyle w:val="ItadMainTitle2"/>
                            <w:rPr>
                              <w:rFonts w:ascii="CubeOT" w:hAnsi="CubeOT" w:cs="CubeOT"/>
                              <w:color w:val="E37230" w:themeColor="accent2"/>
                              <w:sz w:val="72"/>
                              <w:szCs w:val="72"/>
                            </w:rPr>
                          </w:pPr>
                          <w:r w:rsidRPr="00DD0F1A">
                            <w:rPr>
                              <w:rFonts w:ascii="CubeOT" w:hAnsi="CubeOT" w:cs="CubeOT"/>
                              <w:color w:val="E37230" w:themeColor="accent2"/>
                              <w:sz w:val="72"/>
                              <w:szCs w:val="72"/>
                            </w:rPr>
                            <w:t>Independent Evaluation of the Fleming Fund Grants Programme</w:t>
                          </w:r>
                        </w:p>
                        <w:p w14:paraId="09833365" w14:textId="07CE104C" w:rsidR="00EA044F" w:rsidRPr="00150A7A" w:rsidRDefault="00EA044F" w:rsidP="00EA044F">
                          <w:pPr>
                            <w:pStyle w:val="ItadMainTitle2"/>
                            <w:rPr>
                              <w:rFonts w:asciiTheme="minorHAnsi" w:hAnsiTheme="minorHAnsi" w:cstheme="minorHAnsi"/>
                              <w:b/>
                              <w:bCs/>
                              <w:color w:val="767171" w:themeColor="background2" w:themeShade="80"/>
                              <w:sz w:val="48"/>
                              <w:szCs w:val="48"/>
                            </w:rPr>
                          </w:pPr>
                          <w:r>
                            <w:rPr>
                              <w:rFonts w:asciiTheme="minorHAnsi" w:hAnsiTheme="minorHAnsi" w:cstheme="minorHAnsi"/>
                              <w:b/>
                              <w:bCs/>
                              <w:color w:val="767171" w:themeColor="background2" w:themeShade="80"/>
                              <w:sz w:val="48"/>
                              <w:szCs w:val="48"/>
                            </w:rPr>
                            <w:t xml:space="preserve">Volume I: Summative Report </w:t>
                          </w:r>
                        </w:p>
                        <w:p w14:paraId="63CA1EB8" w14:textId="77777777" w:rsidR="00215994" w:rsidRPr="00FB446E" w:rsidRDefault="00215994" w:rsidP="00333C8C">
                          <w:pPr>
                            <w:pStyle w:val="ItadMainTitle3"/>
                            <w:rPr>
                              <w:color w:val="767171" w:themeColor="background2" w:themeShade="80"/>
                            </w:rPr>
                          </w:pPr>
                        </w:p>
                        <w:p w14:paraId="5C095EF8" w14:textId="4A12955E"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 xml:space="preserve">Date: </w:t>
                          </w:r>
                          <w:r w:rsidRPr="00FB446E">
                            <w:rPr>
                              <w:color w:val="767171" w:themeColor="background2" w:themeShade="80"/>
                              <w:sz w:val="28"/>
                              <w:szCs w:val="28"/>
                            </w:rPr>
                            <w:fldChar w:fldCharType="begin"/>
                          </w:r>
                          <w:r w:rsidRPr="00FB446E">
                            <w:rPr>
                              <w:color w:val="767171" w:themeColor="background2" w:themeShade="80"/>
                              <w:sz w:val="28"/>
                              <w:szCs w:val="28"/>
                            </w:rPr>
                            <w:instrText xml:space="preserve"> DATE \@ "d MMMM yyyy" </w:instrText>
                          </w:r>
                          <w:r w:rsidRPr="00FB446E">
                            <w:rPr>
                              <w:color w:val="767171" w:themeColor="background2" w:themeShade="80"/>
                              <w:sz w:val="28"/>
                              <w:szCs w:val="28"/>
                            </w:rPr>
                            <w:fldChar w:fldCharType="separate"/>
                          </w:r>
                          <w:r w:rsidR="00B33BBD">
                            <w:rPr>
                              <w:noProof/>
                              <w:color w:val="767171" w:themeColor="background2" w:themeShade="80"/>
                              <w:sz w:val="28"/>
                              <w:szCs w:val="28"/>
                            </w:rPr>
                            <w:t>24 April 2024</w:t>
                          </w:r>
                          <w:r w:rsidRPr="00FB446E">
                            <w:rPr>
                              <w:color w:val="767171" w:themeColor="background2" w:themeShade="80"/>
                              <w:sz w:val="28"/>
                              <w:szCs w:val="28"/>
                            </w:rPr>
                            <w:fldChar w:fldCharType="end"/>
                          </w:r>
                        </w:p>
                        <w:p w14:paraId="08B23854" w14:textId="73E8D914" w:rsidR="009C1D77" w:rsidRPr="00FB446E" w:rsidRDefault="00215994" w:rsidP="009C1D77">
                          <w:pPr>
                            <w:pStyle w:val="ItadMainTitle3"/>
                            <w:rPr>
                              <w:color w:val="767171" w:themeColor="background2" w:themeShade="80"/>
                              <w:sz w:val="28"/>
                              <w:szCs w:val="28"/>
                            </w:rPr>
                          </w:pPr>
                          <w:r w:rsidRPr="00FB446E">
                            <w:rPr>
                              <w:color w:val="767171" w:themeColor="background2" w:themeShade="80"/>
                              <w:sz w:val="28"/>
                              <w:szCs w:val="28"/>
                            </w:rPr>
                            <w:t xml:space="preserve">Authors: </w:t>
                          </w:r>
                          <w:r w:rsidR="009C1D77" w:rsidRPr="00D02458">
                            <w:rPr>
                              <w:color w:val="767171" w:themeColor="background2" w:themeShade="80"/>
                              <w:sz w:val="28"/>
                              <w:szCs w:val="28"/>
                            </w:rPr>
                            <w:t xml:space="preserve">Tim Shorten, Giada Tu Thanh, Ankur Gupta-Wright, Jennifer Armitage, Abbas Syed, Archie Drake </w:t>
                          </w:r>
                          <w:r w:rsidR="008E4C3E">
                            <w:rPr>
                              <w:color w:val="767171" w:themeColor="background2" w:themeShade="80"/>
                              <w:sz w:val="28"/>
                              <w:szCs w:val="28"/>
                            </w:rPr>
                            <w:t>and</w:t>
                          </w:r>
                          <w:r w:rsidR="009C1D77" w:rsidRPr="00D02458">
                            <w:rPr>
                              <w:color w:val="767171" w:themeColor="background2" w:themeShade="80"/>
                              <w:sz w:val="28"/>
                              <w:szCs w:val="28"/>
                            </w:rPr>
                            <w:t xml:space="preserve"> Paul Balogun</w:t>
                          </w:r>
                        </w:p>
                        <w:p w14:paraId="6214F258" w14:textId="77777777"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Submitted by Itad</w:t>
                          </w:r>
                        </w:p>
                        <w:p w14:paraId="58A210F4" w14:textId="77A37A0B" w:rsidR="00215994" w:rsidRPr="00FB446E" w:rsidRDefault="00215994" w:rsidP="00333C8C">
                          <w:pPr>
                            <w:pStyle w:val="ItadMainTitle3"/>
                            <w:rPr>
                              <w:color w:val="767171" w:themeColor="background2" w:themeShade="80"/>
                              <w:sz w:val="28"/>
                              <w:szCs w:val="28"/>
                            </w:rPr>
                          </w:pPr>
                        </w:p>
                      </w:txbxContent>
                    </v:textbox>
                    <w10:wrap type="square"/>
                  </v:shape>
                </w:pict>
              </mc:Fallback>
            </mc:AlternateContent>
          </w:r>
          <w:r w:rsidR="00ED72A1">
            <w:br w:type="page"/>
          </w:r>
        </w:p>
      </w:sdtContent>
    </w:sdt>
    <w:p w14:paraId="20EC1FF8" w14:textId="2F82C009" w:rsidR="00C9264A" w:rsidRDefault="00235D9F" w:rsidP="00235D9F">
      <w:pPr>
        <w:pStyle w:val="ItadNormalText"/>
        <w:tabs>
          <w:tab w:val="clear" w:pos="1418"/>
          <w:tab w:val="left" w:pos="5610"/>
        </w:tabs>
      </w:pPr>
      <w:r>
        <w:lastRenderedPageBreak/>
        <w:tab/>
      </w:r>
    </w:p>
    <w:p w14:paraId="1D932584" w14:textId="77777777" w:rsidR="00EC70F9" w:rsidRPr="00F60BC6" w:rsidRDefault="00B52DA8" w:rsidP="002765B9">
      <w:pPr>
        <w:pStyle w:val="ItadH2"/>
      </w:pPr>
      <w:bookmarkStart w:id="1" w:name="_Toc144049324"/>
      <w:bookmarkStart w:id="2" w:name="_Toc144715784"/>
      <w:r w:rsidRPr="00F60BC6">
        <w:t>Acknowledgements</w:t>
      </w:r>
      <w:bookmarkEnd w:id="1"/>
      <w:bookmarkEnd w:id="2"/>
    </w:p>
    <w:p w14:paraId="7F642240" w14:textId="0A1F3210" w:rsidR="00383EA9" w:rsidRPr="00383EA9" w:rsidRDefault="00383EA9" w:rsidP="002765B9">
      <w:pPr>
        <w:pStyle w:val="ItadNormalText"/>
        <w:rPr>
          <w:b/>
          <w:bCs/>
        </w:rPr>
      </w:pPr>
      <w:r w:rsidRPr="0CB71AAA">
        <w:t xml:space="preserve">This report has been authored by </w:t>
      </w:r>
      <w:r w:rsidR="00D85590" w:rsidRPr="0CB71AAA">
        <w:t>Tim Shorten</w:t>
      </w:r>
      <w:r w:rsidRPr="0CB71AAA">
        <w:t xml:space="preserve"> (evaluation team leader), with important contributions from </w:t>
      </w:r>
      <w:r w:rsidR="00C4512A" w:rsidRPr="0CB71AAA">
        <w:t>Giada Tu Thanh, Ankur Gupta-Wright, Jennifer Armitage, Abbas Syed, Archie Drake</w:t>
      </w:r>
      <w:r w:rsidR="007B4EA3">
        <w:t>, Cheryl Brown,</w:t>
      </w:r>
      <w:r w:rsidR="00C4512A" w:rsidRPr="0CB71AAA">
        <w:t xml:space="preserve"> and Paul Balogun. </w:t>
      </w:r>
      <w:r w:rsidRPr="0CB71AAA">
        <w:t xml:space="preserve">Support from Itad was provided by </w:t>
      </w:r>
      <w:r w:rsidR="00C4512A" w:rsidRPr="0CB71AAA">
        <w:t>Julie-Anne Darsley</w:t>
      </w:r>
      <w:r w:rsidR="00801A65" w:rsidRPr="0CB71AAA">
        <w:t xml:space="preserve">, </w:t>
      </w:r>
      <w:r w:rsidR="007B4EA3">
        <w:t xml:space="preserve">Sarah Lamb, </w:t>
      </w:r>
      <w:r w:rsidR="00C4512A" w:rsidRPr="0CB71AAA">
        <w:t>Jon Cooper</w:t>
      </w:r>
      <w:r w:rsidR="00801A65" w:rsidRPr="0CB71AAA">
        <w:t xml:space="preserve"> and Tahmina Begum</w:t>
      </w:r>
      <w:r w:rsidRPr="0CB71AAA">
        <w:t xml:space="preserve">. Internal quality assurance was conducted by </w:t>
      </w:r>
      <w:r w:rsidR="00C4512A" w:rsidRPr="0CB71AAA">
        <w:t xml:space="preserve">Jon Cooper, Paul Balogun and the Evaluation Expert </w:t>
      </w:r>
      <w:r w:rsidR="003C182F" w:rsidRPr="0CB71AAA">
        <w:t>Advisory</w:t>
      </w:r>
      <w:r w:rsidR="00C4512A" w:rsidRPr="0CB71AAA">
        <w:t xml:space="preserve"> Group</w:t>
      </w:r>
      <w:r w:rsidR="003C182F" w:rsidRPr="0CB71AAA">
        <w:t>.</w:t>
      </w:r>
    </w:p>
    <w:p w14:paraId="345BCCB0" w14:textId="76FCD0AE" w:rsidR="00383EA9" w:rsidRPr="00383EA9" w:rsidRDefault="00383EA9" w:rsidP="002765B9">
      <w:pPr>
        <w:pStyle w:val="ItadNormalText"/>
      </w:pPr>
      <w:r w:rsidRPr="00383EA9">
        <w:t xml:space="preserve">Thanks are also due to the </w:t>
      </w:r>
      <w:r w:rsidR="003C182F">
        <w:t xml:space="preserve">wider evaluation team as detailed in Annex </w:t>
      </w:r>
      <w:r w:rsidR="00294107">
        <w:t xml:space="preserve">14 </w:t>
      </w:r>
      <w:r w:rsidR="00AB6B17">
        <w:t>(</w:t>
      </w:r>
      <w:r w:rsidR="00637156">
        <w:t>Vol. II</w:t>
      </w:r>
      <w:r w:rsidR="00AB6B17">
        <w:t xml:space="preserve">); </w:t>
      </w:r>
      <w:r w:rsidR="00DC4590" w:rsidRPr="00DC4590">
        <w:t>Department of Health and Social Care</w:t>
      </w:r>
      <w:r w:rsidRPr="00383EA9">
        <w:t xml:space="preserve"> Fleming Fund Project </w:t>
      </w:r>
      <w:r w:rsidR="006C2FD9">
        <w:t>t</w:t>
      </w:r>
      <w:r w:rsidRPr="00383EA9">
        <w:t>eam</w:t>
      </w:r>
      <w:r w:rsidR="00C4512A">
        <w:t xml:space="preserve">, </w:t>
      </w:r>
      <w:r w:rsidRPr="00383EA9">
        <w:t xml:space="preserve">the Fleming Fund Management Agent </w:t>
      </w:r>
      <w:r w:rsidR="006C2FD9">
        <w:t>t</w:t>
      </w:r>
      <w:r w:rsidRPr="00383EA9">
        <w:t xml:space="preserve">eam for extensive interactions during the course of data collection and consideration of the implications of </w:t>
      </w:r>
      <w:r w:rsidR="00DE0EDF">
        <w:t xml:space="preserve">the </w:t>
      </w:r>
      <w:r w:rsidRPr="00383EA9">
        <w:t>analysis</w:t>
      </w:r>
      <w:r w:rsidR="006924B0">
        <w:t>,</w:t>
      </w:r>
      <w:r w:rsidR="00C4512A">
        <w:t xml:space="preserve"> and </w:t>
      </w:r>
      <w:r w:rsidR="006924B0">
        <w:t xml:space="preserve">to all </w:t>
      </w:r>
      <w:r w:rsidR="000C42F6">
        <w:t>who took part in our key informant interviews.</w:t>
      </w:r>
    </w:p>
    <w:p w14:paraId="427A364A" w14:textId="3C6CCCF7" w:rsidR="00EC70F9" w:rsidRPr="000E6C8B" w:rsidRDefault="00EC70F9" w:rsidP="002765B9">
      <w:pPr>
        <w:pStyle w:val="ItadH2"/>
      </w:pPr>
      <w:bookmarkStart w:id="3" w:name="_Toc144049325"/>
      <w:bookmarkStart w:id="4" w:name="_Toc144715785"/>
      <w:r w:rsidRPr="000E6C8B">
        <w:t>Disclaimer</w:t>
      </w:r>
      <w:bookmarkEnd w:id="3"/>
      <w:bookmarkEnd w:id="4"/>
    </w:p>
    <w:p w14:paraId="38442A3F" w14:textId="6D658A36" w:rsidR="00EC70F9" w:rsidRDefault="005433F5" w:rsidP="002765B9">
      <w:pPr>
        <w:pStyle w:val="ItadNormalText"/>
      </w:pPr>
      <w:r w:rsidRPr="005433F5">
        <w:t>The views expressed in this report are those of the evaluators. They do not represent those of the UK Department of Health and Social Care or of any of the individuals and organisations referred to in the report.</w:t>
      </w:r>
      <w:r w:rsidRPr="005433F5" w:rsidDel="005433F5">
        <w:t xml:space="preserve"> </w:t>
      </w:r>
      <w:r w:rsidR="00AA6A7B">
        <w:t>‘</w:t>
      </w:r>
      <w:r w:rsidR="00EC70F9" w:rsidRPr="00EC70F9">
        <w:t>Itad</w:t>
      </w:r>
      <w:r w:rsidR="00AA6A7B">
        <w:t>’</w:t>
      </w:r>
      <w:r w:rsidR="00EC70F9" w:rsidRPr="00EC70F9">
        <w:t xml:space="preserve"> and the tri-colour triangles icon are a registered trademark of ITAD Limited.</w:t>
      </w:r>
    </w:p>
    <w:p w14:paraId="2A1593FF" w14:textId="77777777" w:rsidR="007360F4" w:rsidRDefault="007360F4" w:rsidP="00215994">
      <w:pPr>
        <w:pStyle w:val="ItadNormalText"/>
      </w:pPr>
    </w:p>
    <w:p w14:paraId="798BEB20" w14:textId="77777777" w:rsidR="00611C24" w:rsidRDefault="00611C24" w:rsidP="00611C24">
      <w:pPr>
        <w:pStyle w:val="ItadNormalText"/>
      </w:pPr>
    </w:p>
    <w:p w14:paraId="2690B7F9" w14:textId="248F4676" w:rsidR="004C2E28" w:rsidRDefault="004C2E28" w:rsidP="00215994">
      <w:pPr>
        <w:pStyle w:val="ItadNormalText"/>
        <w:sectPr w:rsidR="004C2E28" w:rsidSect="00372520">
          <w:headerReference w:type="default" r:id="rId13"/>
          <w:footerReference w:type="default" r:id="rId14"/>
          <w:headerReference w:type="first" r:id="rId15"/>
          <w:footerReference w:type="first" r:id="rId16"/>
          <w:pgSz w:w="11900" w:h="16840" w:code="9"/>
          <w:pgMar w:top="1134" w:right="1191" w:bottom="1134" w:left="1191" w:header="720" w:footer="680" w:gutter="0"/>
          <w:pgNumType w:fmt="lowerRoman" w:start="0"/>
          <w:cols w:space="720"/>
          <w:docGrid w:linePitch="360"/>
        </w:sectPr>
      </w:pPr>
    </w:p>
    <w:p w14:paraId="6E698D90" w14:textId="77777777" w:rsidR="00764995" w:rsidRDefault="003D273A" w:rsidP="00ED301D">
      <w:pPr>
        <w:pStyle w:val="ItadH1"/>
        <w:rPr>
          <w:noProof/>
        </w:rPr>
      </w:pPr>
      <w:bookmarkStart w:id="5" w:name="_Toc498427488"/>
      <w:bookmarkStart w:id="6" w:name="_Toc142446333"/>
      <w:bookmarkStart w:id="7" w:name="_Toc144049326"/>
      <w:bookmarkStart w:id="8" w:name="_Toc144715786"/>
      <w:r w:rsidRPr="00E94C04">
        <w:lastRenderedPageBreak/>
        <w:t>C</w:t>
      </w:r>
      <w:r w:rsidR="006455D4" w:rsidRPr="00E94C04">
        <w:t>ontents</w:t>
      </w:r>
      <w:bookmarkEnd w:id="5"/>
      <w:bookmarkEnd w:id="6"/>
      <w:bookmarkEnd w:id="7"/>
      <w:bookmarkEnd w:id="8"/>
      <w:r w:rsidR="0066140D">
        <w:rPr>
          <w:rFonts w:eastAsiaTheme="minorEastAsia"/>
          <w:noProof/>
          <w:color w:val="3B3B3C" w:themeColor="text1"/>
          <w:lang w:eastAsia="en-GB"/>
        </w:rPr>
        <w:fldChar w:fldCharType="begin"/>
      </w:r>
      <w:r w:rsidR="0066140D">
        <w:instrText xml:space="preserve"> TOC \o "1-3" \h \z \t "Header,1" </w:instrText>
      </w:r>
      <w:r w:rsidR="0066140D">
        <w:rPr>
          <w:rFonts w:eastAsiaTheme="minorEastAsia"/>
          <w:noProof/>
          <w:color w:val="3B3B3C" w:themeColor="text1"/>
          <w:lang w:eastAsia="en-GB"/>
        </w:rPr>
        <w:fldChar w:fldCharType="separate"/>
      </w:r>
    </w:p>
    <w:p w14:paraId="6678C832" w14:textId="2331458F" w:rsidR="00764995" w:rsidRDefault="00B33BBD">
      <w:pPr>
        <w:pStyle w:val="TOC1"/>
        <w:rPr>
          <w:rFonts w:asciiTheme="minorHAnsi" w:hAnsiTheme="minorHAnsi" w:cstheme="minorBidi"/>
          <w:bCs w:val="0"/>
          <w:color w:val="auto"/>
          <w:kern w:val="2"/>
          <w14:ligatures w14:val="standardContextual"/>
        </w:rPr>
      </w:pPr>
      <w:hyperlink w:anchor="_Toc144715787" w:history="1">
        <w:r w:rsidR="00764995" w:rsidRPr="00CC3005">
          <w:rPr>
            <w:rStyle w:val="Hyperlink"/>
          </w:rPr>
          <w:t>List of boxes</w:t>
        </w:r>
        <w:r w:rsidR="00764995">
          <w:rPr>
            <w:webHidden/>
          </w:rPr>
          <w:tab/>
        </w:r>
        <w:r w:rsidR="00764995">
          <w:rPr>
            <w:webHidden/>
          </w:rPr>
          <w:fldChar w:fldCharType="begin"/>
        </w:r>
        <w:r w:rsidR="00764995">
          <w:rPr>
            <w:webHidden/>
          </w:rPr>
          <w:instrText xml:space="preserve"> PAGEREF _Toc144715787 \h </w:instrText>
        </w:r>
        <w:r w:rsidR="00764995">
          <w:rPr>
            <w:webHidden/>
          </w:rPr>
        </w:r>
        <w:r w:rsidR="00764995">
          <w:rPr>
            <w:webHidden/>
          </w:rPr>
          <w:fldChar w:fldCharType="separate"/>
        </w:r>
        <w:r w:rsidR="00563B66">
          <w:rPr>
            <w:webHidden/>
          </w:rPr>
          <w:t>3</w:t>
        </w:r>
        <w:r w:rsidR="00764995">
          <w:rPr>
            <w:webHidden/>
          </w:rPr>
          <w:fldChar w:fldCharType="end"/>
        </w:r>
      </w:hyperlink>
    </w:p>
    <w:p w14:paraId="42A505B3" w14:textId="06061A62" w:rsidR="00764995" w:rsidRDefault="00B33BBD">
      <w:pPr>
        <w:pStyle w:val="TOC1"/>
        <w:rPr>
          <w:rFonts w:asciiTheme="minorHAnsi" w:hAnsiTheme="minorHAnsi" w:cstheme="minorBidi"/>
          <w:bCs w:val="0"/>
          <w:color w:val="auto"/>
          <w:kern w:val="2"/>
          <w14:ligatures w14:val="standardContextual"/>
        </w:rPr>
      </w:pPr>
      <w:hyperlink w:anchor="_Toc144715788" w:history="1">
        <w:r w:rsidR="00764995" w:rsidRPr="00CC3005">
          <w:rPr>
            <w:rStyle w:val="Hyperlink"/>
          </w:rPr>
          <w:t>List of figures</w:t>
        </w:r>
        <w:r w:rsidR="00764995">
          <w:rPr>
            <w:webHidden/>
          </w:rPr>
          <w:tab/>
        </w:r>
        <w:r w:rsidR="00764995">
          <w:rPr>
            <w:webHidden/>
          </w:rPr>
          <w:fldChar w:fldCharType="begin"/>
        </w:r>
        <w:r w:rsidR="00764995">
          <w:rPr>
            <w:webHidden/>
          </w:rPr>
          <w:instrText xml:space="preserve"> PAGEREF _Toc144715788 \h </w:instrText>
        </w:r>
        <w:r w:rsidR="00764995">
          <w:rPr>
            <w:webHidden/>
          </w:rPr>
        </w:r>
        <w:r w:rsidR="00764995">
          <w:rPr>
            <w:webHidden/>
          </w:rPr>
          <w:fldChar w:fldCharType="separate"/>
        </w:r>
        <w:r w:rsidR="00563B66">
          <w:rPr>
            <w:webHidden/>
          </w:rPr>
          <w:t>3</w:t>
        </w:r>
        <w:r w:rsidR="00764995">
          <w:rPr>
            <w:webHidden/>
          </w:rPr>
          <w:fldChar w:fldCharType="end"/>
        </w:r>
      </w:hyperlink>
    </w:p>
    <w:p w14:paraId="4FD86E35" w14:textId="268BD39F" w:rsidR="00764995" w:rsidRDefault="00B33BBD">
      <w:pPr>
        <w:pStyle w:val="TOC1"/>
        <w:rPr>
          <w:rFonts w:asciiTheme="minorHAnsi" w:hAnsiTheme="minorHAnsi" w:cstheme="minorBidi"/>
          <w:bCs w:val="0"/>
          <w:color w:val="auto"/>
          <w:kern w:val="2"/>
          <w14:ligatures w14:val="standardContextual"/>
        </w:rPr>
      </w:pPr>
      <w:hyperlink w:anchor="_Toc144715789" w:history="1">
        <w:r w:rsidR="00764995" w:rsidRPr="00CC3005">
          <w:rPr>
            <w:rStyle w:val="Hyperlink"/>
          </w:rPr>
          <w:t>List of tables</w:t>
        </w:r>
        <w:r w:rsidR="00764995">
          <w:rPr>
            <w:webHidden/>
          </w:rPr>
          <w:tab/>
        </w:r>
        <w:r w:rsidR="00764995">
          <w:rPr>
            <w:webHidden/>
          </w:rPr>
          <w:fldChar w:fldCharType="begin"/>
        </w:r>
        <w:r w:rsidR="00764995">
          <w:rPr>
            <w:webHidden/>
          </w:rPr>
          <w:instrText xml:space="preserve"> PAGEREF _Toc144715789 \h </w:instrText>
        </w:r>
        <w:r w:rsidR="00764995">
          <w:rPr>
            <w:webHidden/>
          </w:rPr>
        </w:r>
        <w:r w:rsidR="00764995">
          <w:rPr>
            <w:webHidden/>
          </w:rPr>
          <w:fldChar w:fldCharType="separate"/>
        </w:r>
        <w:r w:rsidR="00563B66">
          <w:rPr>
            <w:webHidden/>
          </w:rPr>
          <w:t>3</w:t>
        </w:r>
        <w:r w:rsidR="00764995">
          <w:rPr>
            <w:webHidden/>
          </w:rPr>
          <w:fldChar w:fldCharType="end"/>
        </w:r>
      </w:hyperlink>
    </w:p>
    <w:p w14:paraId="3D08BA5A" w14:textId="512AF25B" w:rsidR="00764995" w:rsidRDefault="00B33BBD">
      <w:pPr>
        <w:pStyle w:val="TOC1"/>
        <w:rPr>
          <w:rFonts w:asciiTheme="minorHAnsi" w:hAnsiTheme="minorHAnsi" w:cstheme="minorBidi"/>
          <w:bCs w:val="0"/>
          <w:color w:val="auto"/>
          <w:kern w:val="2"/>
          <w14:ligatures w14:val="standardContextual"/>
        </w:rPr>
      </w:pPr>
      <w:hyperlink w:anchor="_Toc144715790" w:history="1">
        <w:r w:rsidR="00764995" w:rsidRPr="00CC3005">
          <w:rPr>
            <w:rStyle w:val="Hyperlink"/>
          </w:rPr>
          <w:t>Acronyms and abbreviations</w:t>
        </w:r>
        <w:r w:rsidR="00764995">
          <w:rPr>
            <w:webHidden/>
          </w:rPr>
          <w:tab/>
        </w:r>
        <w:r w:rsidR="00764995">
          <w:rPr>
            <w:webHidden/>
          </w:rPr>
          <w:fldChar w:fldCharType="begin"/>
        </w:r>
        <w:r w:rsidR="00764995">
          <w:rPr>
            <w:webHidden/>
          </w:rPr>
          <w:instrText xml:space="preserve"> PAGEREF _Toc144715790 \h </w:instrText>
        </w:r>
        <w:r w:rsidR="00764995">
          <w:rPr>
            <w:webHidden/>
          </w:rPr>
        </w:r>
        <w:r w:rsidR="00764995">
          <w:rPr>
            <w:webHidden/>
          </w:rPr>
          <w:fldChar w:fldCharType="separate"/>
        </w:r>
        <w:r w:rsidR="00563B66">
          <w:rPr>
            <w:webHidden/>
          </w:rPr>
          <w:t>4</w:t>
        </w:r>
        <w:r w:rsidR="00764995">
          <w:rPr>
            <w:webHidden/>
          </w:rPr>
          <w:fldChar w:fldCharType="end"/>
        </w:r>
      </w:hyperlink>
    </w:p>
    <w:p w14:paraId="12E1D308" w14:textId="5E9882BC" w:rsidR="00764995" w:rsidRDefault="00B33BBD">
      <w:pPr>
        <w:pStyle w:val="TOC1"/>
        <w:rPr>
          <w:rFonts w:asciiTheme="minorHAnsi" w:hAnsiTheme="minorHAnsi" w:cstheme="minorBidi"/>
          <w:bCs w:val="0"/>
          <w:color w:val="auto"/>
          <w:kern w:val="2"/>
          <w14:ligatures w14:val="standardContextual"/>
        </w:rPr>
      </w:pPr>
      <w:hyperlink w:anchor="_Toc144715791" w:history="1">
        <w:r w:rsidR="00764995" w:rsidRPr="00CC3005">
          <w:rPr>
            <w:rStyle w:val="Hyperlink"/>
          </w:rPr>
          <w:t>Executive summary</w:t>
        </w:r>
        <w:r w:rsidR="00764995">
          <w:rPr>
            <w:webHidden/>
          </w:rPr>
          <w:tab/>
        </w:r>
        <w:r w:rsidR="00764995">
          <w:rPr>
            <w:webHidden/>
          </w:rPr>
          <w:fldChar w:fldCharType="begin"/>
        </w:r>
        <w:r w:rsidR="00764995">
          <w:rPr>
            <w:webHidden/>
          </w:rPr>
          <w:instrText xml:space="preserve"> PAGEREF _Toc144715791 \h </w:instrText>
        </w:r>
        <w:r w:rsidR="00764995">
          <w:rPr>
            <w:webHidden/>
          </w:rPr>
        </w:r>
        <w:r w:rsidR="00764995">
          <w:rPr>
            <w:webHidden/>
          </w:rPr>
          <w:fldChar w:fldCharType="separate"/>
        </w:r>
        <w:r w:rsidR="00563B66">
          <w:rPr>
            <w:webHidden/>
          </w:rPr>
          <w:t>6</w:t>
        </w:r>
        <w:r w:rsidR="00764995">
          <w:rPr>
            <w:webHidden/>
          </w:rPr>
          <w:fldChar w:fldCharType="end"/>
        </w:r>
      </w:hyperlink>
    </w:p>
    <w:p w14:paraId="7946BE57" w14:textId="6EBFEBEA" w:rsidR="00764995" w:rsidRDefault="00B33BBD">
      <w:pPr>
        <w:pStyle w:val="TOC1"/>
        <w:rPr>
          <w:rFonts w:asciiTheme="minorHAnsi" w:hAnsiTheme="minorHAnsi" w:cstheme="minorBidi"/>
          <w:bCs w:val="0"/>
          <w:color w:val="auto"/>
          <w:kern w:val="2"/>
          <w14:ligatures w14:val="standardContextual"/>
        </w:rPr>
      </w:pPr>
      <w:hyperlink w:anchor="_Toc144715800" w:history="1">
        <w:r w:rsidR="00764995" w:rsidRPr="00CC3005">
          <w:rPr>
            <w:rStyle w:val="Hyperlink"/>
            <w:rFonts w:asciiTheme="majorHAnsi" w:hAnsiTheme="majorHAnsi"/>
          </w:rPr>
          <w:t>1</w:t>
        </w:r>
        <w:r w:rsidR="00764995">
          <w:rPr>
            <w:rFonts w:asciiTheme="minorHAnsi" w:hAnsiTheme="minorHAnsi" w:cstheme="minorBidi"/>
            <w:bCs w:val="0"/>
            <w:color w:val="auto"/>
            <w:kern w:val="2"/>
            <w14:ligatures w14:val="standardContextual"/>
          </w:rPr>
          <w:tab/>
        </w:r>
        <w:r w:rsidR="00764995" w:rsidRPr="00CC3005">
          <w:rPr>
            <w:rStyle w:val="Hyperlink"/>
          </w:rPr>
          <w:t>Introduction</w:t>
        </w:r>
        <w:r w:rsidR="00764995">
          <w:rPr>
            <w:webHidden/>
          </w:rPr>
          <w:tab/>
        </w:r>
        <w:r w:rsidR="00764995">
          <w:rPr>
            <w:webHidden/>
          </w:rPr>
          <w:fldChar w:fldCharType="begin"/>
        </w:r>
        <w:r w:rsidR="00764995">
          <w:rPr>
            <w:webHidden/>
          </w:rPr>
          <w:instrText xml:space="preserve"> PAGEREF _Toc144715800 \h </w:instrText>
        </w:r>
        <w:r w:rsidR="00764995">
          <w:rPr>
            <w:webHidden/>
          </w:rPr>
        </w:r>
        <w:r w:rsidR="00764995">
          <w:rPr>
            <w:webHidden/>
          </w:rPr>
          <w:fldChar w:fldCharType="separate"/>
        </w:r>
        <w:r w:rsidR="00563B66">
          <w:rPr>
            <w:webHidden/>
          </w:rPr>
          <w:t>16</w:t>
        </w:r>
        <w:r w:rsidR="00764995">
          <w:rPr>
            <w:webHidden/>
          </w:rPr>
          <w:fldChar w:fldCharType="end"/>
        </w:r>
      </w:hyperlink>
    </w:p>
    <w:p w14:paraId="2A010745" w14:textId="167F2D8B"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01" w:history="1">
        <w:r w:rsidR="00764995" w:rsidRPr="00CC3005">
          <w:rPr>
            <w:rStyle w:val="Hyperlink"/>
            <w:lang w:eastAsia="en-GB"/>
            <w14:scene3d>
              <w14:camera w14:prst="orthographicFront"/>
              <w14:lightRig w14:rig="threePt" w14:dir="t">
                <w14:rot w14:lat="0" w14:lon="0" w14:rev="0"/>
              </w14:lightRig>
            </w14:scene3d>
          </w:rPr>
          <w:t>1.1</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rPr>
          <w:t>What</w:t>
        </w:r>
        <w:r w:rsidR="00764995" w:rsidRPr="00CC3005">
          <w:rPr>
            <w:rStyle w:val="Hyperlink"/>
            <w:lang w:eastAsia="en-GB"/>
          </w:rPr>
          <w:t xml:space="preserve"> is the Fleming Fund</w:t>
        </w:r>
        <w:r w:rsidR="00764995">
          <w:rPr>
            <w:webHidden/>
          </w:rPr>
          <w:tab/>
        </w:r>
        <w:r w:rsidR="00764995">
          <w:rPr>
            <w:webHidden/>
          </w:rPr>
          <w:fldChar w:fldCharType="begin"/>
        </w:r>
        <w:r w:rsidR="00764995">
          <w:rPr>
            <w:webHidden/>
          </w:rPr>
          <w:instrText xml:space="preserve"> PAGEREF _Toc144715801 \h </w:instrText>
        </w:r>
        <w:r w:rsidR="00764995">
          <w:rPr>
            <w:webHidden/>
          </w:rPr>
        </w:r>
        <w:r w:rsidR="00764995">
          <w:rPr>
            <w:webHidden/>
          </w:rPr>
          <w:fldChar w:fldCharType="separate"/>
        </w:r>
        <w:r w:rsidR="00563B66">
          <w:rPr>
            <w:webHidden/>
          </w:rPr>
          <w:t>16</w:t>
        </w:r>
        <w:r w:rsidR="00764995">
          <w:rPr>
            <w:webHidden/>
          </w:rPr>
          <w:fldChar w:fldCharType="end"/>
        </w:r>
      </w:hyperlink>
    </w:p>
    <w:p w14:paraId="048098B1" w14:textId="111326EB"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02" w:history="1">
        <w:r w:rsidR="00764995" w:rsidRPr="00CC3005">
          <w:rPr>
            <w:rStyle w:val="Hyperlink"/>
            <w:lang w:eastAsia="en-GB"/>
            <w14:scene3d>
              <w14:camera w14:prst="orthographicFront"/>
              <w14:lightRig w14:rig="threePt" w14:dir="t">
                <w14:rot w14:lat="0" w14:lon="0" w14:rev="0"/>
              </w14:lightRig>
            </w14:scene3d>
          </w:rPr>
          <w:t>1.2</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rPr>
          <w:t>Key</w:t>
        </w:r>
        <w:r w:rsidR="00764995" w:rsidRPr="00CC3005">
          <w:rPr>
            <w:rStyle w:val="Hyperlink"/>
            <w:lang w:eastAsia="en-GB"/>
          </w:rPr>
          <w:t xml:space="preserve"> </w:t>
        </w:r>
        <w:r w:rsidR="00764995" w:rsidRPr="00CC3005">
          <w:rPr>
            <w:rStyle w:val="Hyperlink"/>
          </w:rPr>
          <w:t>features</w:t>
        </w:r>
        <w:r w:rsidR="00764995" w:rsidRPr="00CC3005">
          <w:rPr>
            <w:rStyle w:val="Hyperlink"/>
            <w:lang w:eastAsia="en-GB"/>
          </w:rPr>
          <w:t xml:space="preserve"> of the MA approach</w:t>
        </w:r>
        <w:r w:rsidR="00764995">
          <w:rPr>
            <w:webHidden/>
          </w:rPr>
          <w:tab/>
        </w:r>
        <w:r w:rsidR="00764995">
          <w:rPr>
            <w:webHidden/>
          </w:rPr>
          <w:fldChar w:fldCharType="begin"/>
        </w:r>
        <w:r w:rsidR="00764995">
          <w:rPr>
            <w:webHidden/>
          </w:rPr>
          <w:instrText xml:space="preserve"> PAGEREF _Toc144715802 \h </w:instrText>
        </w:r>
        <w:r w:rsidR="00764995">
          <w:rPr>
            <w:webHidden/>
          </w:rPr>
        </w:r>
        <w:r w:rsidR="00764995">
          <w:rPr>
            <w:webHidden/>
          </w:rPr>
          <w:fldChar w:fldCharType="separate"/>
        </w:r>
        <w:r w:rsidR="00563B66">
          <w:rPr>
            <w:webHidden/>
          </w:rPr>
          <w:t>18</w:t>
        </w:r>
        <w:r w:rsidR="00764995">
          <w:rPr>
            <w:webHidden/>
          </w:rPr>
          <w:fldChar w:fldCharType="end"/>
        </w:r>
      </w:hyperlink>
    </w:p>
    <w:p w14:paraId="319AE7D5" w14:textId="7D3190F5"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05" w:history="1">
        <w:r w:rsidR="00764995" w:rsidRPr="00CC3005">
          <w:rPr>
            <w:rStyle w:val="Hyperlink"/>
            <w:lang w:eastAsia="en-GB"/>
            <w14:scene3d>
              <w14:camera w14:prst="orthographicFront"/>
              <w14:lightRig w14:rig="threePt" w14:dir="t">
                <w14:rot w14:lat="0" w14:lon="0" w14:rev="0"/>
              </w14:lightRig>
            </w14:scene3d>
          </w:rPr>
          <w:t>1.3</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lang w:eastAsia="en-GB"/>
          </w:rPr>
          <w:t>Context within which the Fleming Fund was implemented</w:t>
        </w:r>
        <w:r w:rsidR="00764995">
          <w:rPr>
            <w:webHidden/>
          </w:rPr>
          <w:tab/>
        </w:r>
        <w:r w:rsidR="00764995">
          <w:rPr>
            <w:webHidden/>
          </w:rPr>
          <w:fldChar w:fldCharType="begin"/>
        </w:r>
        <w:r w:rsidR="00764995">
          <w:rPr>
            <w:webHidden/>
          </w:rPr>
          <w:instrText xml:space="preserve"> PAGEREF _Toc144715805 \h </w:instrText>
        </w:r>
        <w:r w:rsidR="00764995">
          <w:rPr>
            <w:webHidden/>
          </w:rPr>
        </w:r>
        <w:r w:rsidR="00764995">
          <w:rPr>
            <w:webHidden/>
          </w:rPr>
          <w:fldChar w:fldCharType="separate"/>
        </w:r>
        <w:r w:rsidR="00563B66">
          <w:rPr>
            <w:webHidden/>
          </w:rPr>
          <w:t>25</w:t>
        </w:r>
        <w:r w:rsidR="00764995">
          <w:rPr>
            <w:webHidden/>
          </w:rPr>
          <w:fldChar w:fldCharType="end"/>
        </w:r>
      </w:hyperlink>
    </w:p>
    <w:p w14:paraId="1EBCA7AE" w14:textId="30B36C23"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06" w:history="1">
        <w:r w:rsidR="00764995" w:rsidRPr="00CC3005">
          <w:rPr>
            <w:rStyle w:val="Hyperlink"/>
            <w:rFonts w:eastAsia="Times New Roman"/>
            <w:lang w:eastAsia="en-GB"/>
            <w14:scene3d>
              <w14:camera w14:prst="orthographicFront"/>
              <w14:lightRig w14:rig="threePt" w14:dir="t">
                <w14:rot w14:lat="0" w14:lon="0" w14:rev="0"/>
              </w14:lightRig>
            </w14:scene3d>
          </w:rPr>
          <w:t>1.4</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rFonts w:eastAsia="Times New Roman"/>
            <w:lang w:eastAsia="en-GB"/>
          </w:rPr>
          <w:t>Evaluation approach and methodology</w:t>
        </w:r>
        <w:r w:rsidR="00764995">
          <w:rPr>
            <w:webHidden/>
          </w:rPr>
          <w:tab/>
        </w:r>
        <w:r w:rsidR="00764995">
          <w:rPr>
            <w:webHidden/>
          </w:rPr>
          <w:fldChar w:fldCharType="begin"/>
        </w:r>
        <w:r w:rsidR="00764995">
          <w:rPr>
            <w:webHidden/>
          </w:rPr>
          <w:instrText xml:space="preserve"> PAGEREF _Toc144715806 \h </w:instrText>
        </w:r>
        <w:r w:rsidR="00764995">
          <w:rPr>
            <w:webHidden/>
          </w:rPr>
        </w:r>
        <w:r w:rsidR="00764995">
          <w:rPr>
            <w:webHidden/>
          </w:rPr>
          <w:fldChar w:fldCharType="separate"/>
        </w:r>
        <w:r w:rsidR="00563B66">
          <w:rPr>
            <w:webHidden/>
          </w:rPr>
          <w:t>26</w:t>
        </w:r>
        <w:r w:rsidR="00764995">
          <w:rPr>
            <w:webHidden/>
          </w:rPr>
          <w:fldChar w:fldCharType="end"/>
        </w:r>
      </w:hyperlink>
    </w:p>
    <w:p w14:paraId="467974C2" w14:textId="66652E54"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07" w:history="1">
        <w:r w:rsidR="00764995" w:rsidRPr="00CC3005">
          <w:rPr>
            <w:rStyle w:val="Hyperlink"/>
            <w:lang w:eastAsia="en-GB"/>
            <w14:scene3d>
              <w14:camera w14:prst="orthographicFront"/>
              <w14:lightRig w14:rig="threePt" w14:dir="t">
                <w14:rot w14:lat="0" w14:lon="0" w14:rev="0"/>
              </w14:lightRig>
            </w14:scene3d>
          </w:rPr>
          <w:t>1.5</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lang w:eastAsia="en-GB"/>
          </w:rPr>
          <w:t>Challenges and limitations</w:t>
        </w:r>
        <w:r w:rsidR="00764995">
          <w:rPr>
            <w:webHidden/>
          </w:rPr>
          <w:tab/>
        </w:r>
        <w:r w:rsidR="00764995">
          <w:rPr>
            <w:webHidden/>
          </w:rPr>
          <w:fldChar w:fldCharType="begin"/>
        </w:r>
        <w:r w:rsidR="00764995">
          <w:rPr>
            <w:webHidden/>
          </w:rPr>
          <w:instrText xml:space="preserve"> PAGEREF _Toc144715807 \h </w:instrText>
        </w:r>
        <w:r w:rsidR="00764995">
          <w:rPr>
            <w:webHidden/>
          </w:rPr>
        </w:r>
        <w:r w:rsidR="00764995">
          <w:rPr>
            <w:webHidden/>
          </w:rPr>
          <w:fldChar w:fldCharType="separate"/>
        </w:r>
        <w:r w:rsidR="00563B66">
          <w:rPr>
            <w:webHidden/>
          </w:rPr>
          <w:t>33</w:t>
        </w:r>
        <w:r w:rsidR="00764995">
          <w:rPr>
            <w:webHidden/>
          </w:rPr>
          <w:fldChar w:fldCharType="end"/>
        </w:r>
      </w:hyperlink>
    </w:p>
    <w:p w14:paraId="3C81194F" w14:textId="255C375A" w:rsidR="00764995" w:rsidRDefault="00B33BBD">
      <w:pPr>
        <w:pStyle w:val="TOC1"/>
        <w:rPr>
          <w:rFonts w:asciiTheme="minorHAnsi" w:hAnsiTheme="minorHAnsi" w:cstheme="minorBidi"/>
          <w:bCs w:val="0"/>
          <w:color w:val="auto"/>
          <w:kern w:val="2"/>
          <w14:ligatures w14:val="standardContextual"/>
        </w:rPr>
      </w:pPr>
      <w:hyperlink w:anchor="_Toc144715808" w:history="1">
        <w:r w:rsidR="00764995" w:rsidRPr="00CC3005">
          <w:rPr>
            <w:rStyle w:val="Hyperlink"/>
          </w:rPr>
          <w:t>2</w:t>
        </w:r>
        <w:r w:rsidR="00764995">
          <w:rPr>
            <w:rFonts w:asciiTheme="minorHAnsi" w:hAnsiTheme="minorHAnsi" w:cstheme="minorBidi"/>
            <w:bCs w:val="0"/>
            <w:color w:val="auto"/>
            <w:kern w:val="2"/>
            <w14:ligatures w14:val="standardContextual"/>
          </w:rPr>
          <w:tab/>
        </w:r>
        <w:r w:rsidR="00764995" w:rsidRPr="00CC3005">
          <w:rPr>
            <w:rStyle w:val="Hyperlink"/>
          </w:rPr>
          <w:t>Findings</w:t>
        </w:r>
        <w:r w:rsidR="00764995">
          <w:rPr>
            <w:webHidden/>
          </w:rPr>
          <w:tab/>
        </w:r>
        <w:r w:rsidR="00764995">
          <w:rPr>
            <w:webHidden/>
          </w:rPr>
          <w:fldChar w:fldCharType="begin"/>
        </w:r>
        <w:r w:rsidR="00764995">
          <w:rPr>
            <w:webHidden/>
          </w:rPr>
          <w:instrText xml:space="preserve"> PAGEREF _Toc144715808 \h </w:instrText>
        </w:r>
        <w:r w:rsidR="00764995">
          <w:rPr>
            <w:webHidden/>
          </w:rPr>
        </w:r>
        <w:r w:rsidR="00764995">
          <w:rPr>
            <w:webHidden/>
          </w:rPr>
          <w:fldChar w:fldCharType="separate"/>
        </w:r>
        <w:r w:rsidR="00563B66">
          <w:rPr>
            <w:webHidden/>
          </w:rPr>
          <w:t>35</w:t>
        </w:r>
        <w:r w:rsidR="00764995">
          <w:rPr>
            <w:webHidden/>
          </w:rPr>
          <w:fldChar w:fldCharType="end"/>
        </w:r>
      </w:hyperlink>
    </w:p>
    <w:p w14:paraId="3FB4B594" w14:textId="4CCCA538"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09" w:history="1">
        <w:r w:rsidR="00764995" w:rsidRPr="00CC3005">
          <w:rPr>
            <w:rStyle w:val="Hyperlink"/>
            <w:lang w:eastAsia="en-GB"/>
            <w14:scene3d>
              <w14:camera w14:prst="orthographicFront"/>
              <w14:lightRig w14:rig="threePt" w14:dir="t">
                <w14:rot w14:lat="0" w14:lon="0" w14:rev="0"/>
              </w14:lightRig>
            </w14:scene3d>
          </w:rPr>
          <w:t>2.1</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lang w:eastAsia="en-GB"/>
          </w:rPr>
          <w:t>Strengthening systems to produce quality data on AMR</w:t>
        </w:r>
        <w:r w:rsidR="00764995">
          <w:rPr>
            <w:webHidden/>
          </w:rPr>
          <w:tab/>
        </w:r>
        <w:r w:rsidR="00764995">
          <w:rPr>
            <w:webHidden/>
          </w:rPr>
          <w:fldChar w:fldCharType="begin"/>
        </w:r>
        <w:r w:rsidR="00764995">
          <w:rPr>
            <w:webHidden/>
          </w:rPr>
          <w:instrText xml:space="preserve"> PAGEREF _Toc144715809 \h </w:instrText>
        </w:r>
        <w:r w:rsidR="00764995">
          <w:rPr>
            <w:webHidden/>
          </w:rPr>
        </w:r>
        <w:r w:rsidR="00764995">
          <w:rPr>
            <w:webHidden/>
          </w:rPr>
          <w:fldChar w:fldCharType="separate"/>
        </w:r>
        <w:r w:rsidR="00563B66">
          <w:rPr>
            <w:webHidden/>
          </w:rPr>
          <w:t>35</w:t>
        </w:r>
        <w:r w:rsidR="00764995">
          <w:rPr>
            <w:webHidden/>
          </w:rPr>
          <w:fldChar w:fldCharType="end"/>
        </w:r>
      </w:hyperlink>
    </w:p>
    <w:p w14:paraId="40D0E8C4" w14:textId="19AE4B05"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13" w:history="1">
        <w:r w:rsidR="00764995" w:rsidRPr="00CC3005">
          <w:rPr>
            <w:rStyle w:val="Hyperlink"/>
            <w14:scene3d>
              <w14:camera w14:prst="orthographicFront"/>
              <w14:lightRig w14:rig="threePt" w14:dir="t">
                <w14:rot w14:lat="0" w14:lon="0" w14:rev="0"/>
              </w14:lightRig>
            </w14:scene3d>
          </w:rPr>
          <w:t>2.2</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rPr>
          <w:t>Results from the use of data</w:t>
        </w:r>
        <w:r w:rsidR="00764995">
          <w:rPr>
            <w:webHidden/>
          </w:rPr>
          <w:tab/>
        </w:r>
        <w:r w:rsidR="00764995">
          <w:rPr>
            <w:webHidden/>
          </w:rPr>
          <w:fldChar w:fldCharType="begin"/>
        </w:r>
        <w:r w:rsidR="00764995">
          <w:rPr>
            <w:webHidden/>
          </w:rPr>
          <w:instrText xml:space="preserve"> PAGEREF _Toc144715813 \h </w:instrText>
        </w:r>
        <w:r w:rsidR="00764995">
          <w:rPr>
            <w:webHidden/>
          </w:rPr>
        </w:r>
        <w:r w:rsidR="00764995">
          <w:rPr>
            <w:webHidden/>
          </w:rPr>
          <w:fldChar w:fldCharType="separate"/>
        </w:r>
        <w:r w:rsidR="00563B66">
          <w:rPr>
            <w:webHidden/>
          </w:rPr>
          <w:t>48</w:t>
        </w:r>
        <w:r w:rsidR="00764995">
          <w:rPr>
            <w:webHidden/>
          </w:rPr>
          <w:fldChar w:fldCharType="end"/>
        </w:r>
      </w:hyperlink>
    </w:p>
    <w:p w14:paraId="55B036CD" w14:textId="3D07D91B" w:rsidR="00764995" w:rsidRDefault="00B33BBD">
      <w:pPr>
        <w:pStyle w:val="TOC2"/>
        <w:rPr>
          <w:rFonts w:asciiTheme="minorHAnsi" w:eastAsiaTheme="minorEastAsia" w:hAnsiTheme="minorHAnsi" w:cstheme="minorBidi"/>
          <w:iCs w:val="0"/>
          <w:kern w:val="2"/>
          <w:lang w:eastAsia="en-GB"/>
          <w14:ligatures w14:val="standardContextual"/>
        </w:rPr>
      </w:pPr>
      <w:hyperlink w:anchor="_Toc144715822" w:history="1">
        <w:r w:rsidR="00764995" w:rsidRPr="00CC3005">
          <w:rPr>
            <w:rStyle w:val="Hyperlink"/>
            <w14:scene3d>
              <w14:camera w14:prst="orthographicFront"/>
              <w14:lightRig w14:rig="threePt" w14:dir="t">
                <w14:rot w14:lat="0" w14:lon="0" w14:rev="0"/>
              </w14:lightRig>
            </w14:scene3d>
          </w:rPr>
          <w:t>2.3</w:t>
        </w:r>
        <w:r w:rsidR="00764995">
          <w:rPr>
            <w:rFonts w:asciiTheme="minorHAnsi" w:eastAsiaTheme="minorEastAsia" w:hAnsiTheme="minorHAnsi" w:cstheme="minorBidi"/>
            <w:iCs w:val="0"/>
            <w:kern w:val="2"/>
            <w:lang w:eastAsia="en-GB"/>
            <w14:ligatures w14:val="standardContextual"/>
          </w:rPr>
          <w:tab/>
        </w:r>
        <w:r w:rsidR="00764995" w:rsidRPr="00CC3005">
          <w:rPr>
            <w:rStyle w:val="Hyperlink"/>
            <w:lang w:eastAsia="en-GB"/>
          </w:rPr>
          <w:t>Findings on how the Fleming Fund has been designed and delivered</w:t>
        </w:r>
        <w:r w:rsidR="00764995">
          <w:rPr>
            <w:webHidden/>
          </w:rPr>
          <w:tab/>
        </w:r>
        <w:r w:rsidR="00764995">
          <w:rPr>
            <w:webHidden/>
          </w:rPr>
          <w:fldChar w:fldCharType="begin"/>
        </w:r>
        <w:r w:rsidR="00764995">
          <w:rPr>
            <w:webHidden/>
          </w:rPr>
          <w:instrText xml:space="preserve"> PAGEREF _Toc144715822 \h </w:instrText>
        </w:r>
        <w:r w:rsidR="00764995">
          <w:rPr>
            <w:webHidden/>
          </w:rPr>
        </w:r>
        <w:r w:rsidR="00764995">
          <w:rPr>
            <w:webHidden/>
          </w:rPr>
          <w:fldChar w:fldCharType="separate"/>
        </w:r>
        <w:r w:rsidR="00563B66">
          <w:rPr>
            <w:webHidden/>
          </w:rPr>
          <w:t>62</w:t>
        </w:r>
        <w:r w:rsidR="00764995">
          <w:rPr>
            <w:webHidden/>
          </w:rPr>
          <w:fldChar w:fldCharType="end"/>
        </w:r>
      </w:hyperlink>
    </w:p>
    <w:p w14:paraId="2953FDB8" w14:textId="0D2160F3" w:rsidR="00764995" w:rsidRDefault="00B33BBD">
      <w:pPr>
        <w:pStyle w:val="TOC1"/>
        <w:rPr>
          <w:rFonts w:asciiTheme="minorHAnsi" w:hAnsiTheme="minorHAnsi" w:cstheme="minorBidi"/>
          <w:bCs w:val="0"/>
          <w:color w:val="auto"/>
          <w:kern w:val="2"/>
          <w14:ligatures w14:val="standardContextual"/>
        </w:rPr>
      </w:pPr>
      <w:hyperlink w:anchor="_Toc144715825" w:history="1">
        <w:r w:rsidR="00764995" w:rsidRPr="00CC3005">
          <w:rPr>
            <w:rStyle w:val="Hyperlink"/>
          </w:rPr>
          <w:t>3</w:t>
        </w:r>
        <w:r w:rsidR="00764995">
          <w:rPr>
            <w:rFonts w:asciiTheme="minorHAnsi" w:hAnsiTheme="minorHAnsi" w:cstheme="minorBidi"/>
            <w:bCs w:val="0"/>
            <w:color w:val="auto"/>
            <w:kern w:val="2"/>
            <w14:ligatures w14:val="standardContextual"/>
          </w:rPr>
          <w:tab/>
        </w:r>
        <w:r w:rsidR="00764995" w:rsidRPr="00CC3005">
          <w:rPr>
            <w:rStyle w:val="Hyperlink"/>
          </w:rPr>
          <w:t>Conclusions</w:t>
        </w:r>
        <w:r w:rsidR="00764995">
          <w:rPr>
            <w:webHidden/>
          </w:rPr>
          <w:tab/>
        </w:r>
        <w:r w:rsidR="00764995">
          <w:rPr>
            <w:webHidden/>
          </w:rPr>
          <w:fldChar w:fldCharType="begin"/>
        </w:r>
        <w:r w:rsidR="00764995">
          <w:rPr>
            <w:webHidden/>
          </w:rPr>
          <w:instrText xml:space="preserve"> PAGEREF _Toc144715825 \h </w:instrText>
        </w:r>
        <w:r w:rsidR="00764995">
          <w:rPr>
            <w:webHidden/>
          </w:rPr>
        </w:r>
        <w:r w:rsidR="00764995">
          <w:rPr>
            <w:webHidden/>
          </w:rPr>
          <w:fldChar w:fldCharType="separate"/>
        </w:r>
        <w:r w:rsidR="00563B66">
          <w:rPr>
            <w:webHidden/>
          </w:rPr>
          <w:t>78</w:t>
        </w:r>
        <w:r w:rsidR="00764995">
          <w:rPr>
            <w:webHidden/>
          </w:rPr>
          <w:fldChar w:fldCharType="end"/>
        </w:r>
      </w:hyperlink>
    </w:p>
    <w:p w14:paraId="555AAEF8" w14:textId="59B4232A" w:rsidR="00764995" w:rsidRDefault="00B33BBD">
      <w:pPr>
        <w:pStyle w:val="TOC1"/>
        <w:rPr>
          <w:rFonts w:asciiTheme="minorHAnsi" w:hAnsiTheme="minorHAnsi" w:cstheme="minorBidi"/>
          <w:bCs w:val="0"/>
          <w:color w:val="auto"/>
          <w:kern w:val="2"/>
          <w14:ligatures w14:val="standardContextual"/>
        </w:rPr>
      </w:pPr>
      <w:hyperlink w:anchor="_Toc144715831" w:history="1">
        <w:r w:rsidR="00764995" w:rsidRPr="00CC3005">
          <w:rPr>
            <w:rStyle w:val="Hyperlink"/>
          </w:rPr>
          <w:t>4</w:t>
        </w:r>
        <w:r w:rsidR="00764995">
          <w:rPr>
            <w:rFonts w:asciiTheme="minorHAnsi" w:hAnsiTheme="minorHAnsi" w:cstheme="minorBidi"/>
            <w:bCs w:val="0"/>
            <w:color w:val="auto"/>
            <w:kern w:val="2"/>
            <w14:ligatures w14:val="standardContextual"/>
          </w:rPr>
          <w:tab/>
        </w:r>
        <w:r w:rsidR="00764995" w:rsidRPr="00CC3005">
          <w:rPr>
            <w:rStyle w:val="Hyperlink"/>
          </w:rPr>
          <w:t>Recommendations</w:t>
        </w:r>
        <w:r w:rsidR="00764995">
          <w:rPr>
            <w:webHidden/>
          </w:rPr>
          <w:tab/>
        </w:r>
        <w:r w:rsidR="00764995">
          <w:rPr>
            <w:webHidden/>
          </w:rPr>
          <w:fldChar w:fldCharType="begin"/>
        </w:r>
        <w:r w:rsidR="00764995">
          <w:rPr>
            <w:webHidden/>
          </w:rPr>
          <w:instrText xml:space="preserve"> PAGEREF _Toc144715831 \h </w:instrText>
        </w:r>
        <w:r w:rsidR="00764995">
          <w:rPr>
            <w:webHidden/>
          </w:rPr>
        </w:r>
        <w:r w:rsidR="00764995">
          <w:rPr>
            <w:webHidden/>
          </w:rPr>
          <w:fldChar w:fldCharType="separate"/>
        </w:r>
        <w:r w:rsidR="00563B66">
          <w:rPr>
            <w:webHidden/>
          </w:rPr>
          <w:t>86</w:t>
        </w:r>
        <w:r w:rsidR="00764995">
          <w:rPr>
            <w:webHidden/>
          </w:rPr>
          <w:fldChar w:fldCharType="end"/>
        </w:r>
      </w:hyperlink>
    </w:p>
    <w:p w14:paraId="11A053EB" w14:textId="79645A73" w:rsidR="00A44EBB" w:rsidRDefault="0066140D" w:rsidP="008A5F96">
      <w:pPr>
        <w:pStyle w:val="ItadNormalText"/>
      </w:pPr>
      <w:r>
        <w:fldChar w:fldCharType="end"/>
      </w:r>
    </w:p>
    <w:p w14:paraId="5C7D5868" w14:textId="77777777" w:rsidR="00203660" w:rsidRDefault="00203660">
      <w:pPr>
        <w:rPr>
          <w:b/>
          <w:bCs/>
          <w:color w:val="588B46" w:themeColor="text2"/>
          <w:sz w:val="36"/>
          <w:szCs w:val="36"/>
        </w:rPr>
      </w:pPr>
      <w:bookmarkStart w:id="9" w:name="_Toc144049327"/>
      <w:r>
        <w:br w:type="page"/>
      </w:r>
    </w:p>
    <w:p w14:paraId="57D82FCB" w14:textId="34C74A62" w:rsidR="006455D4" w:rsidRPr="009E7B14" w:rsidRDefault="00B06901" w:rsidP="00563B66">
      <w:pPr>
        <w:pStyle w:val="ItadH1"/>
        <w:spacing w:after="0"/>
      </w:pPr>
      <w:bookmarkStart w:id="10" w:name="_Toc144715787"/>
      <w:r>
        <w:lastRenderedPageBreak/>
        <w:t xml:space="preserve">List of </w:t>
      </w:r>
      <w:r w:rsidR="00DD04E1">
        <w:t>b</w:t>
      </w:r>
      <w:r>
        <w:t>oxes</w:t>
      </w:r>
      <w:bookmarkEnd w:id="9"/>
      <w:bookmarkEnd w:id="10"/>
    </w:p>
    <w:bookmarkStart w:id="11" w:name="_Toc142446335"/>
    <w:bookmarkStart w:id="12" w:name="_Toc144049328"/>
    <w:bookmarkStart w:id="13" w:name="_Toc144715788"/>
    <w:p w14:paraId="3D3F6E8D" w14:textId="57E6D338" w:rsidR="00A96D01" w:rsidRDefault="00A96D01">
      <w:pPr>
        <w:pStyle w:val="TableofFigures"/>
        <w:tabs>
          <w:tab w:val="right" w:leader="dot" w:pos="9010"/>
        </w:tabs>
        <w:rPr>
          <w:rFonts w:eastAsiaTheme="minorEastAsia"/>
          <w:noProof/>
          <w:kern w:val="2"/>
          <w:sz w:val="22"/>
          <w:szCs w:val="22"/>
          <w:lang w:eastAsia="en-GB"/>
          <w14:ligatures w14:val="standardContextual"/>
        </w:rPr>
      </w:pPr>
      <w:r>
        <w:fldChar w:fldCharType="begin"/>
      </w:r>
      <w:r>
        <w:instrText xml:space="preserve"> TOC \h \z \c "Box" </w:instrText>
      </w:r>
      <w:r>
        <w:fldChar w:fldCharType="separate"/>
      </w:r>
      <w:hyperlink w:anchor="_Toc144721396" w:history="1">
        <w:r w:rsidRPr="00A91ECD">
          <w:rPr>
            <w:rStyle w:val="Hyperlink"/>
            <w:noProof/>
          </w:rPr>
          <w:t>Box 1: Types of surveillance and data</w:t>
        </w:r>
        <w:r>
          <w:rPr>
            <w:noProof/>
            <w:webHidden/>
          </w:rPr>
          <w:tab/>
        </w:r>
        <w:r>
          <w:rPr>
            <w:noProof/>
            <w:webHidden/>
          </w:rPr>
          <w:fldChar w:fldCharType="begin"/>
        </w:r>
        <w:r>
          <w:rPr>
            <w:noProof/>
            <w:webHidden/>
          </w:rPr>
          <w:instrText xml:space="preserve"> PAGEREF _Toc144721396 \h </w:instrText>
        </w:r>
        <w:r>
          <w:rPr>
            <w:noProof/>
            <w:webHidden/>
          </w:rPr>
        </w:r>
        <w:r>
          <w:rPr>
            <w:noProof/>
            <w:webHidden/>
          </w:rPr>
          <w:fldChar w:fldCharType="separate"/>
        </w:r>
        <w:r w:rsidR="00563B66">
          <w:rPr>
            <w:noProof/>
            <w:webHidden/>
          </w:rPr>
          <w:t>20</w:t>
        </w:r>
        <w:r>
          <w:rPr>
            <w:noProof/>
            <w:webHidden/>
          </w:rPr>
          <w:fldChar w:fldCharType="end"/>
        </w:r>
      </w:hyperlink>
    </w:p>
    <w:p w14:paraId="4580E23A" w14:textId="752A206C"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397" w:history="1">
        <w:r w:rsidR="00A96D01" w:rsidRPr="00A91ECD">
          <w:rPr>
            <w:rStyle w:val="Hyperlink"/>
            <w:noProof/>
          </w:rPr>
          <w:t>Box 2: Country Grants, Fleming Fellows and Regional Grants</w:t>
        </w:r>
        <w:r w:rsidR="00A96D01">
          <w:rPr>
            <w:noProof/>
            <w:webHidden/>
          </w:rPr>
          <w:tab/>
        </w:r>
        <w:r w:rsidR="00A96D01">
          <w:rPr>
            <w:noProof/>
            <w:webHidden/>
          </w:rPr>
          <w:fldChar w:fldCharType="begin"/>
        </w:r>
        <w:r w:rsidR="00A96D01">
          <w:rPr>
            <w:noProof/>
            <w:webHidden/>
          </w:rPr>
          <w:instrText xml:space="preserve"> PAGEREF _Toc144721397 \h </w:instrText>
        </w:r>
        <w:r w:rsidR="00A96D01">
          <w:rPr>
            <w:noProof/>
            <w:webHidden/>
          </w:rPr>
        </w:r>
        <w:r w:rsidR="00A96D01">
          <w:rPr>
            <w:noProof/>
            <w:webHidden/>
          </w:rPr>
          <w:fldChar w:fldCharType="separate"/>
        </w:r>
        <w:r w:rsidR="00563B66">
          <w:rPr>
            <w:noProof/>
            <w:webHidden/>
          </w:rPr>
          <w:t>21</w:t>
        </w:r>
        <w:r w:rsidR="00A96D01">
          <w:rPr>
            <w:noProof/>
            <w:webHidden/>
          </w:rPr>
          <w:fldChar w:fldCharType="end"/>
        </w:r>
      </w:hyperlink>
    </w:p>
    <w:p w14:paraId="7C739E16" w14:textId="40F4B267"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398" w:history="1">
        <w:r w:rsidR="00A96D01" w:rsidRPr="00A91ECD">
          <w:rPr>
            <w:rStyle w:val="Hyperlink"/>
            <w:noProof/>
          </w:rPr>
          <w:t>Box 3: Strategic focus for Fleming Fund phase 2</w:t>
        </w:r>
        <w:r w:rsidR="00A96D01">
          <w:rPr>
            <w:noProof/>
            <w:webHidden/>
          </w:rPr>
          <w:tab/>
        </w:r>
        <w:r w:rsidR="00A96D01">
          <w:rPr>
            <w:noProof/>
            <w:webHidden/>
          </w:rPr>
          <w:fldChar w:fldCharType="begin"/>
        </w:r>
        <w:r w:rsidR="00A96D01">
          <w:rPr>
            <w:noProof/>
            <w:webHidden/>
          </w:rPr>
          <w:instrText xml:space="preserve"> PAGEREF _Toc144721398 \h </w:instrText>
        </w:r>
        <w:r w:rsidR="00A96D01">
          <w:rPr>
            <w:noProof/>
            <w:webHidden/>
          </w:rPr>
        </w:r>
        <w:r w:rsidR="00A96D01">
          <w:rPr>
            <w:noProof/>
            <w:webHidden/>
          </w:rPr>
          <w:fldChar w:fldCharType="separate"/>
        </w:r>
        <w:r w:rsidR="00563B66">
          <w:rPr>
            <w:noProof/>
            <w:webHidden/>
          </w:rPr>
          <w:t>25</w:t>
        </w:r>
        <w:r w:rsidR="00A96D01">
          <w:rPr>
            <w:noProof/>
            <w:webHidden/>
          </w:rPr>
          <w:fldChar w:fldCharType="end"/>
        </w:r>
      </w:hyperlink>
    </w:p>
    <w:p w14:paraId="7A84BC15" w14:textId="1DC570C1"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399" w:history="1">
        <w:r w:rsidR="00A96D01" w:rsidRPr="00A91ECD">
          <w:rPr>
            <w:rStyle w:val="Hyperlink"/>
            <w:noProof/>
          </w:rPr>
          <w:t>Box 4: Development and delivery of the Use and Influence Plan</w:t>
        </w:r>
        <w:r w:rsidR="00A96D01">
          <w:rPr>
            <w:noProof/>
            <w:webHidden/>
          </w:rPr>
          <w:tab/>
        </w:r>
        <w:r w:rsidR="00A96D01">
          <w:rPr>
            <w:noProof/>
            <w:webHidden/>
          </w:rPr>
          <w:fldChar w:fldCharType="begin"/>
        </w:r>
        <w:r w:rsidR="00A96D01">
          <w:rPr>
            <w:noProof/>
            <w:webHidden/>
          </w:rPr>
          <w:instrText xml:space="preserve"> PAGEREF _Toc144721399 \h </w:instrText>
        </w:r>
        <w:r w:rsidR="00A96D01">
          <w:rPr>
            <w:noProof/>
            <w:webHidden/>
          </w:rPr>
        </w:r>
        <w:r w:rsidR="00A96D01">
          <w:rPr>
            <w:noProof/>
            <w:webHidden/>
          </w:rPr>
          <w:fldChar w:fldCharType="separate"/>
        </w:r>
        <w:r w:rsidR="00563B66">
          <w:rPr>
            <w:noProof/>
            <w:webHidden/>
          </w:rPr>
          <w:t>32</w:t>
        </w:r>
        <w:r w:rsidR="00A96D01">
          <w:rPr>
            <w:noProof/>
            <w:webHidden/>
          </w:rPr>
          <w:fldChar w:fldCharType="end"/>
        </w:r>
      </w:hyperlink>
    </w:p>
    <w:p w14:paraId="513068D7" w14:textId="5B2C5E8B"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400" w:history="1">
        <w:r w:rsidR="00A96D01" w:rsidRPr="00A91ECD">
          <w:rPr>
            <w:rStyle w:val="Hyperlink"/>
            <w:noProof/>
          </w:rPr>
          <w:t>Box 5: Example of surveillance capacities in Timor-Leste</w:t>
        </w:r>
        <w:r w:rsidR="00A96D01">
          <w:rPr>
            <w:noProof/>
            <w:webHidden/>
          </w:rPr>
          <w:tab/>
        </w:r>
        <w:r w:rsidR="00A96D01">
          <w:rPr>
            <w:noProof/>
            <w:webHidden/>
          </w:rPr>
          <w:fldChar w:fldCharType="begin"/>
        </w:r>
        <w:r w:rsidR="00A96D01">
          <w:rPr>
            <w:noProof/>
            <w:webHidden/>
          </w:rPr>
          <w:instrText xml:space="preserve"> PAGEREF _Toc144721400 \h </w:instrText>
        </w:r>
        <w:r w:rsidR="00A96D01">
          <w:rPr>
            <w:noProof/>
            <w:webHidden/>
          </w:rPr>
        </w:r>
        <w:r w:rsidR="00A96D01">
          <w:rPr>
            <w:noProof/>
            <w:webHidden/>
          </w:rPr>
          <w:fldChar w:fldCharType="separate"/>
        </w:r>
        <w:r w:rsidR="00563B66">
          <w:rPr>
            <w:noProof/>
            <w:webHidden/>
          </w:rPr>
          <w:t>37</w:t>
        </w:r>
        <w:r w:rsidR="00A96D01">
          <w:rPr>
            <w:noProof/>
            <w:webHidden/>
          </w:rPr>
          <w:fldChar w:fldCharType="end"/>
        </w:r>
      </w:hyperlink>
    </w:p>
    <w:p w14:paraId="4932D9A5" w14:textId="7079AC7F"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401" w:history="1">
        <w:r w:rsidR="00A96D01" w:rsidRPr="00A91ECD">
          <w:rPr>
            <w:rStyle w:val="Hyperlink"/>
            <w:noProof/>
          </w:rPr>
          <w:t>Box 6: COVID-19’s effect on implementation</w:t>
        </w:r>
        <w:r w:rsidR="00A96D01">
          <w:rPr>
            <w:noProof/>
            <w:webHidden/>
          </w:rPr>
          <w:tab/>
        </w:r>
        <w:r w:rsidR="00A96D01">
          <w:rPr>
            <w:noProof/>
            <w:webHidden/>
          </w:rPr>
          <w:fldChar w:fldCharType="begin"/>
        </w:r>
        <w:r w:rsidR="00A96D01">
          <w:rPr>
            <w:noProof/>
            <w:webHidden/>
          </w:rPr>
          <w:instrText xml:space="preserve"> PAGEREF _Toc144721401 \h </w:instrText>
        </w:r>
        <w:r w:rsidR="00A96D01">
          <w:rPr>
            <w:noProof/>
            <w:webHidden/>
          </w:rPr>
        </w:r>
        <w:r w:rsidR="00A96D01">
          <w:rPr>
            <w:noProof/>
            <w:webHidden/>
          </w:rPr>
          <w:fldChar w:fldCharType="separate"/>
        </w:r>
        <w:r w:rsidR="00563B66">
          <w:rPr>
            <w:noProof/>
            <w:webHidden/>
          </w:rPr>
          <w:t>46</w:t>
        </w:r>
        <w:r w:rsidR="00A96D01">
          <w:rPr>
            <w:noProof/>
            <w:webHidden/>
          </w:rPr>
          <w:fldChar w:fldCharType="end"/>
        </w:r>
      </w:hyperlink>
    </w:p>
    <w:p w14:paraId="3ED46B1B" w14:textId="2C93A4D2"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402" w:history="1">
        <w:r w:rsidR="00A96D01" w:rsidRPr="00A91ECD">
          <w:rPr>
            <w:rStyle w:val="Hyperlink"/>
            <w:noProof/>
          </w:rPr>
          <w:t>Box 7: One Health and AMR data use: the case for considering informal approaches</w:t>
        </w:r>
        <w:r w:rsidR="00A96D01">
          <w:rPr>
            <w:noProof/>
            <w:webHidden/>
          </w:rPr>
          <w:tab/>
        </w:r>
        <w:r w:rsidR="00A96D01">
          <w:rPr>
            <w:noProof/>
            <w:webHidden/>
          </w:rPr>
          <w:fldChar w:fldCharType="begin"/>
        </w:r>
        <w:r w:rsidR="00A96D01">
          <w:rPr>
            <w:noProof/>
            <w:webHidden/>
          </w:rPr>
          <w:instrText xml:space="preserve"> PAGEREF _Toc144721402 \h </w:instrText>
        </w:r>
        <w:r w:rsidR="00A96D01">
          <w:rPr>
            <w:noProof/>
            <w:webHidden/>
          </w:rPr>
        </w:r>
        <w:r w:rsidR="00A96D01">
          <w:rPr>
            <w:noProof/>
            <w:webHidden/>
          </w:rPr>
          <w:fldChar w:fldCharType="separate"/>
        </w:r>
        <w:r w:rsidR="00563B66">
          <w:rPr>
            <w:noProof/>
            <w:webHidden/>
          </w:rPr>
          <w:t>61</w:t>
        </w:r>
        <w:r w:rsidR="00A96D01">
          <w:rPr>
            <w:noProof/>
            <w:webHidden/>
          </w:rPr>
          <w:fldChar w:fldCharType="end"/>
        </w:r>
      </w:hyperlink>
    </w:p>
    <w:p w14:paraId="761DAE51" w14:textId="6A5A3187"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403" w:history="1">
        <w:r w:rsidR="00A96D01" w:rsidRPr="00A91ECD">
          <w:rPr>
            <w:rStyle w:val="Hyperlink"/>
            <w:noProof/>
          </w:rPr>
          <w:t>Box 8: Material differences between AH and HH sectors</w:t>
        </w:r>
        <w:r w:rsidR="00A96D01">
          <w:rPr>
            <w:noProof/>
            <w:webHidden/>
          </w:rPr>
          <w:tab/>
        </w:r>
        <w:r w:rsidR="00A96D01">
          <w:rPr>
            <w:noProof/>
            <w:webHidden/>
          </w:rPr>
          <w:fldChar w:fldCharType="begin"/>
        </w:r>
        <w:r w:rsidR="00A96D01">
          <w:rPr>
            <w:noProof/>
            <w:webHidden/>
          </w:rPr>
          <w:instrText xml:space="preserve"> PAGEREF _Toc144721403 \h </w:instrText>
        </w:r>
        <w:r w:rsidR="00A96D01">
          <w:rPr>
            <w:noProof/>
            <w:webHidden/>
          </w:rPr>
        </w:r>
        <w:r w:rsidR="00A96D01">
          <w:rPr>
            <w:noProof/>
            <w:webHidden/>
          </w:rPr>
          <w:fldChar w:fldCharType="separate"/>
        </w:r>
        <w:r w:rsidR="00563B66">
          <w:rPr>
            <w:noProof/>
            <w:webHidden/>
          </w:rPr>
          <w:t>66</w:t>
        </w:r>
        <w:r w:rsidR="00A96D01">
          <w:rPr>
            <w:noProof/>
            <w:webHidden/>
          </w:rPr>
          <w:fldChar w:fldCharType="end"/>
        </w:r>
      </w:hyperlink>
    </w:p>
    <w:p w14:paraId="6BB54C83" w14:textId="0A38D273"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404" w:history="1">
        <w:r w:rsidR="00A96D01" w:rsidRPr="00A91ECD">
          <w:rPr>
            <w:rStyle w:val="Hyperlink"/>
            <w:noProof/>
          </w:rPr>
          <w:t>Box 9: Use of automation to improve quality</w:t>
        </w:r>
        <w:r w:rsidR="00A96D01">
          <w:rPr>
            <w:noProof/>
            <w:webHidden/>
          </w:rPr>
          <w:tab/>
        </w:r>
        <w:r w:rsidR="00A96D01">
          <w:rPr>
            <w:noProof/>
            <w:webHidden/>
          </w:rPr>
          <w:fldChar w:fldCharType="begin"/>
        </w:r>
        <w:r w:rsidR="00A96D01">
          <w:rPr>
            <w:noProof/>
            <w:webHidden/>
          </w:rPr>
          <w:instrText xml:space="preserve"> PAGEREF _Toc144721404 \h </w:instrText>
        </w:r>
        <w:r w:rsidR="00A96D01">
          <w:rPr>
            <w:noProof/>
            <w:webHidden/>
          </w:rPr>
        </w:r>
        <w:r w:rsidR="00A96D01">
          <w:rPr>
            <w:noProof/>
            <w:webHidden/>
          </w:rPr>
          <w:fldChar w:fldCharType="separate"/>
        </w:r>
        <w:r w:rsidR="00563B66">
          <w:rPr>
            <w:noProof/>
            <w:webHidden/>
          </w:rPr>
          <w:t>68</w:t>
        </w:r>
        <w:r w:rsidR="00A96D01">
          <w:rPr>
            <w:noProof/>
            <w:webHidden/>
          </w:rPr>
          <w:fldChar w:fldCharType="end"/>
        </w:r>
      </w:hyperlink>
    </w:p>
    <w:p w14:paraId="25453DCB" w14:textId="11338077"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405" w:history="1">
        <w:r w:rsidR="00A96D01" w:rsidRPr="00A91ECD">
          <w:rPr>
            <w:rStyle w:val="Hyperlink"/>
            <w:noProof/>
          </w:rPr>
          <w:t>Box 10: Examples of Fleming Fund efforts to strengthen sustainability</w:t>
        </w:r>
        <w:r w:rsidR="00A96D01">
          <w:rPr>
            <w:noProof/>
            <w:webHidden/>
          </w:rPr>
          <w:tab/>
        </w:r>
        <w:r w:rsidR="00A96D01">
          <w:rPr>
            <w:noProof/>
            <w:webHidden/>
          </w:rPr>
          <w:fldChar w:fldCharType="begin"/>
        </w:r>
        <w:r w:rsidR="00A96D01">
          <w:rPr>
            <w:noProof/>
            <w:webHidden/>
          </w:rPr>
          <w:instrText xml:space="preserve"> PAGEREF _Toc144721405 \h </w:instrText>
        </w:r>
        <w:r w:rsidR="00A96D01">
          <w:rPr>
            <w:noProof/>
            <w:webHidden/>
          </w:rPr>
        </w:r>
        <w:r w:rsidR="00A96D01">
          <w:rPr>
            <w:noProof/>
            <w:webHidden/>
          </w:rPr>
          <w:fldChar w:fldCharType="separate"/>
        </w:r>
        <w:r w:rsidR="00563B66">
          <w:rPr>
            <w:noProof/>
            <w:webHidden/>
          </w:rPr>
          <w:t>69</w:t>
        </w:r>
        <w:r w:rsidR="00A96D01">
          <w:rPr>
            <w:noProof/>
            <w:webHidden/>
          </w:rPr>
          <w:fldChar w:fldCharType="end"/>
        </w:r>
      </w:hyperlink>
    </w:p>
    <w:p w14:paraId="6C60667E" w14:textId="05B4EA0A" w:rsidR="00A96D01"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1406" w:history="1">
        <w:r w:rsidR="00A96D01" w:rsidRPr="00A91ECD">
          <w:rPr>
            <w:rStyle w:val="Hyperlink"/>
            <w:noProof/>
          </w:rPr>
          <w:t>Box 11: DHSC systems for managing international ODA programmes</w:t>
        </w:r>
        <w:r w:rsidR="00A96D01">
          <w:rPr>
            <w:noProof/>
            <w:webHidden/>
          </w:rPr>
          <w:tab/>
        </w:r>
        <w:r w:rsidR="00A96D01">
          <w:rPr>
            <w:noProof/>
            <w:webHidden/>
          </w:rPr>
          <w:fldChar w:fldCharType="begin"/>
        </w:r>
        <w:r w:rsidR="00A96D01">
          <w:rPr>
            <w:noProof/>
            <w:webHidden/>
          </w:rPr>
          <w:instrText xml:space="preserve"> PAGEREF _Toc144721406 \h </w:instrText>
        </w:r>
        <w:r w:rsidR="00A96D01">
          <w:rPr>
            <w:noProof/>
            <w:webHidden/>
          </w:rPr>
        </w:r>
        <w:r w:rsidR="00A96D01">
          <w:rPr>
            <w:noProof/>
            <w:webHidden/>
          </w:rPr>
          <w:fldChar w:fldCharType="separate"/>
        </w:r>
        <w:r w:rsidR="00563B66">
          <w:rPr>
            <w:noProof/>
            <w:webHidden/>
          </w:rPr>
          <w:t>72</w:t>
        </w:r>
        <w:r w:rsidR="00A96D01">
          <w:rPr>
            <w:noProof/>
            <w:webHidden/>
          </w:rPr>
          <w:fldChar w:fldCharType="end"/>
        </w:r>
      </w:hyperlink>
    </w:p>
    <w:p w14:paraId="3FF3A1B7" w14:textId="4948D022" w:rsidR="00076E67" w:rsidRDefault="00A96D01" w:rsidP="00A96D01">
      <w:pPr>
        <w:pStyle w:val="Figuresource"/>
      </w:pPr>
      <w:r>
        <w:fldChar w:fldCharType="end"/>
      </w:r>
    </w:p>
    <w:p w14:paraId="164650EA" w14:textId="05C05E70" w:rsidR="009B38B7" w:rsidRPr="009B38B7" w:rsidRDefault="00B06901" w:rsidP="00563B66">
      <w:pPr>
        <w:pStyle w:val="ItadH1"/>
        <w:spacing w:before="0" w:after="0"/>
      </w:pPr>
      <w:r w:rsidRPr="009B38B7">
        <w:t xml:space="preserve">List of </w:t>
      </w:r>
      <w:r w:rsidR="00DD04E1">
        <w:t>f</w:t>
      </w:r>
      <w:r w:rsidRPr="009B38B7">
        <w:t>igures</w:t>
      </w:r>
      <w:bookmarkEnd w:id="11"/>
      <w:bookmarkEnd w:id="12"/>
      <w:bookmarkEnd w:id="13"/>
    </w:p>
    <w:p w14:paraId="3CDE7113" w14:textId="2DC9F723" w:rsidR="00B13335" w:rsidRDefault="004A31D5">
      <w:pPr>
        <w:pStyle w:val="TableofFigures"/>
        <w:tabs>
          <w:tab w:val="right" w:leader="dot" w:pos="9010"/>
        </w:tabs>
        <w:rPr>
          <w:rFonts w:eastAsiaTheme="minorEastAsia"/>
          <w:noProof/>
          <w:kern w:val="2"/>
          <w:sz w:val="22"/>
          <w:szCs w:val="22"/>
          <w:lang w:eastAsia="en-GB"/>
          <w14:ligatures w14:val="standardContextual"/>
        </w:rPr>
      </w:pPr>
      <w:r w:rsidRPr="00B92DDF">
        <w:rPr>
          <w:rStyle w:val="Hyperlink"/>
          <w:noProof/>
          <w:sz w:val="22"/>
          <w:szCs w:val="22"/>
        </w:rPr>
        <w:fldChar w:fldCharType="begin"/>
      </w:r>
      <w:r w:rsidRPr="0075508B">
        <w:rPr>
          <w:rStyle w:val="Hyperlink"/>
          <w:noProof/>
          <w:sz w:val="22"/>
          <w:szCs w:val="22"/>
        </w:rPr>
        <w:instrText xml:space="preserve"> TOC \h \z \c "Figure" </w:instrText>
      </w:r>
      <w:r w:rsidRPr="00B92DDF">
        <w:rPr>
          <w:rStyle w:val="Hyperlink"/>
          <w:noProof/>
          <w:sz w:val="22"/>
          <w:szCs w:val="22"/>
        </w:rPr>
        <w:fldChar w:fldCharType="separate"/>
      </w:r>
      <w:hyperlink w:anchor="_Toc144717843" w:history="1">
        <w:r w:rsidR="00B13335" w:rsidRPr="00096EFF">
          <w:rPr>
            <w:rStyle w:val="Hyperlink"/>
            <w:noProof/>
          </w:rPr>
          <w:t>Figure 1: Pillars or objectives of the Global Action Plan on AMR</w:t>
        </w:r>
        <w:r w:rsidR="00B13335">
          <w:rPr>
            <w:noProof/>
            <w:webHidden/>
          </w:rPr>
          <w:tab/>
        </w:r>
        <w:r w:rsidR="00B13335">
          <w:rPr>
            <w:noProof/>
            <w:webHidden/>
          </w:rPr>
          <w:fldChar w:fldCharType="begin"/>
        </w:r>
        <w:r w:rsidR="00B13335">
          <w:rPr>
            <w:noProof/>
            <w:webHidden/>
          </w:rPr>
          <w:instrText xml:space="preserve"> PAGEREF _Toc144717843 \h </w:instrText>
        </w:r>
        <w:r w:rsidR="00B13335">
          <w:rPr>
            <w:noProof/>
            <w:webHidden/>
          </w:rPr>
        </w:r>
        <w:r w:rsidR="00B13335">
          <w:rPr>
            <w:noProof/>
            <w:webHidden/>
          </w:rPr>
          <w:fldChar w:fldCharType="separate"/>
        </w:r>
        <w:r w:rsidR="00563B66">
          <w:rPr>
            <w:noProof/>
            <w:webHidden/>
          </w:rPr>
          <w:t>16</w:t>
        </w:r>
        <w:r w:rsidR="00B13335">
          <w:rPr>
            <w:noProof/>
            <w:webHidden/>
          </w:rPr>
          <w:fldChar w:fldCharType="end"/>
        </w:r>
      </w:hyperlink>
    </w:p>
    <w:p w14:paraId="3CA4B939" w14:textId="75E85AA3"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44" w:history="1">
        <w:r w:rsidR="00B13335" w:rsidRPr="00096EFF">
          <w:rPr>
            <w:rStyle w:val="Hyperlink"/>
            <w:noProof/>
          </w:rPr>
          <w:t>Figure 2: Organogram of Fleming Fund workstreams (accurate in 2018)</w:t>
        </w:r>
        <w:r w:rsidR="00B13335">
          <w:rPr>
            <w:noProof/>
            <w:webHidden/>
          </w:rPr>
          <w:tab/>
        </w:r>
        <w:r w:rsidR="00B13335">
          <w:rPr>
            <w:noProof/>
            <w:webHidden/>
          </w:rPr>
          <w:fldChar w:fldCharType="begin"/>
        </w:r>
        <w:r w:rsidR="00B13335">
          <w:rPr>
            <w:noProof/>
            <w:webHidden/>
          </w:rPr>
          <w:instrText xml:space="preserve"> PAGEREF _Toc144717844 \h </w:instrText>
        </w:r>
        <w:r w:rsidR="00B13335">
          <w:rPr>
            <w:noProof/>
            <w:webHidden/>
          </w:rPr>
        </w:r>
        <w:r w:rsidR="00B13335">
          <w:rPr>
            <w:noProof/>
            <w:webHidden/>
          </w:rPr>
          <w:fldChar w:fldCharType="separate"/>
        </w:r>
        <w:r w:rsidR="00563B66">
          <w:rPr>
            <w:noProof/>
            <w:webHidden/>
          </w:rPr>
          <w:t>17</w:t>
        </w:r>
        <w:r w:rsidR="00B13335">
          <w:rPr>
            <w:noProof/>
            <w:webHidden/>
          </w:rPr>
          <w:fldChar w:fldCharType="end"/>
        </w:r>
      </w:hyperlink>
    </w:p>
    <w:p w14:paraId="166298F3" w14:textId="49346415"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45" w:history="1">
        <w:r w:rsidR="00B13335" w:rsidRPr="00096EFF">
          <w:rPr>
            <w:rStyle w:val="Hyperlink"/>
            <w:noProof/>
            <w:lang w:eastAsia="en-GB"/>
          </w:rPr>
          <w:t>Figure 3</w:t>
        </w:r>
        <w:r w:rsidR="00B13335" w:rsidRPr="00096EFF">
          <w:rPr>
            <w:rStyle w:val="Hyperlink"/>
            <w:noProof/>
          </w:rPr>
          <w:t xml:space="preserve"> </w:t>
        </w:r>
        <w:r w:rsidR="00B13335" w:rsidRPr="00096EFF">
          <w:rPr>
            <w:rStyle w:val="Hyperlink"/>
            <w:noProof/>
            <w:lang w:eastAsia="en-GB"/>
          </w:rPr>
          <w:t>Fleming Fund focus countries (Sierra Leone, Ghana, Senegal, Zambia, Tanzania, Kenya, Bhutan, Bangladesh, Indonesia, Laos, Pakistan, Nigeria, Uganda, Nepal, Timor-Leste, Vietnam, Myanmar, Zimbabwe, India, Sri Lanka, Malawi, Eswatini and Papua New Guinea)</w:t>
        </w:r>
        <w:r w:rsidR="00B13335">
          <w:rPr>
            <w:noProof/>
            <w:webHidden/>
          </w:rPr>
          <w:tab/>
        </w:r>
        <w:r w:rsidR="00B13335">
          <w:rPr>
            <w:noProof/>
            <w:webHidden/>
          </w:rPr>
          <w:fldChar w:fldCharType="begin"/>
        </w:r>
        <w:r w:rsidR="00B13335">
          <w:rPr>
            <w:noProof/>
            <w:webHidden/>
          </w:rPr>
          <w:instrText xml:space="preserve"> PAGEREF _Toc144717845 \h </w:instrText>
        </w:r>
        <w:r w:rsidR="00B13335">
          <w:rPr>
            <w:noProof/>
            <w:webHidden/>
          </w:rPr>
        </w:r>
        <w:r w:rsidR="00B13335">
          <w:rPr>
            <w:noProof/>
            <w:webHidden/>
          </w:rPr>
          <w:fldChar w:fldCharType="separate"/>
        </w:r>
        <w:r w:rsidR="00563B66">
          <w:rPr>
            <w:noProof/>
            <w:webHidden/>
          </w:rPr>
          <w:t>18</w:t>
        </w:r>
        <w:r w:rsidR="00B13335">
          <w:rPr>
            <w:noProof/>
            <w:webHidden/>
          </w:rPr>
          <w:fldChar w:fldCharType="end"/>
        </w:r>
      </w:hyperlink>
    </w:p>
    <w:p w14:paraId="5F926290" w14:textId="16DE1051"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46" w:history="1">
        <w:r w:rsidR="00B13335" w:rsidRPr="00096EFF">
          <w:rPr>
            <w:rStyle w:val="Hyperlink"/>
            <w:noProof/>
          </w:rPr>
          <w:t>Figure 4: Overview of how AMR testing works</w:t>
        </w:r>
        <w:r w:rsidR="00B13335">
          <w:rPr>
            <w:noProof/>
            <w:webHidden/>
          </w:rPr>
          <w:tab/>
        </w:r>
        <w:r w:rsidR="00B13335">
          <w:rPr>
            <w:noProof/>
            <w:webHidden/>
          </w:rPr>
          <w:fldChar w:fldCharType="begin"/>
        </w:r>
        <w:r w:rsidR="00B13335">
          <w:rPr>
            <w:noProof/>
            <w:webHidden/>
          </w:rPr>
          <w:instrText xml:space="preserve"> PAGEREF _Toc144717846 \h </w:instrText>
        </w:r>
        <w:r w:rsidR="00B13335">
          <w:rPr>
            <w:noProof/>
            <w:webHidden/>
          </w:rPr>
        </w:r>
        <w:r w:rsidR="00B13335">
          <w:rPr>
            <w:noProof/>
            <w:webHidden/>
          </w:rPr>
          <w:fldChar w:fldCharType="separate"/>
        </w:r>
        <w:r w:rsidR="00563B66">
          <w:rPr>
            <w:noProof/>
            <w:webHidden/>
          </w:rPr>
          <w:t>19</w:t>
        </w:r>
        <w:r w:rsidR="00B13335">
          <w:rPr>
            <w:noProof/>
            <w:webHidden/>
          </w:rPr>
          <w:fldChar w:fldCharType="end"/>
        </w:r>
      </w:hyperlink>
    </w:p>
    <w:p w14:paraId="0DDC28AC" w14:textId="79DBB54F"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47" w:history="1">
        <w:r w:rsidR="00B13335" w:rsidRPr="00096EFF">
          <w:rPr>
            <w:rStyle w:val="Hyperlink"/>
            <w:noProof/>
          </w:rPr>
          <w:t>Figure 5: Summary of types of grants to be available under the Fleming Fund (in 2018)</w:t>
        </w:r>
        <w:r w:rsidR="00B13335">
          <w:rPr>
            <w:noProof/>
            <w:webHidden/>
          </w:rPr>
          <w:tab/>
        </w:r>
        <w:r w:rsidR="00B13335">
          <w:rPr>
            <w:noProof/>
            <w:webHidden/>
          </w:rPr>
          <w:fldChar w:fldCharType="begin"/>
        </w:r>
        <w:r w:rsidR="00B13335">
          <w:rPr>
            <w:noProof/>
            <w:webHidden/>
          </w:rPr>
          <w:instrText xml:space="preserve"> PAGEREF _Toc144717847 \h </w:instrText>
        </w:r>
        <w:r w:rsidR="00B13335">
          <w:rPr>
            <w:noProof/>
            <w:webHidden/>
          </w:rPr>
        </w:r>
        <w:r w:rsidR="00B13335">
          <w:rPr>
            <w:noProof/>
            <w:webHidden/>
          </w:rPr>
          <w:fldChar w:fldCharType="separate"/>
        </w:r>
        <w:r w:rsidR="00563B66">
          <w:rPr>
            <w:noProof/>
            <w:webHidden/>
          </w:rPr>
          <w:t>21</w:t>
        </w:r>
        <w:r w:rsidR="00B13335">
          <w:rPr>
            <w:noProof/>
            <w:webHidden/>
          </w:rPr>
          <w:fldChar w:fldCharType="end"/>
        </w:r>
      </w:hyperlink>
    </w:p>
    <w:p w14:paraId="521119B6" w14:textId="10C2032B"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48" w:history="1">
        <w:r w:rsidR="00B13335" w:rsidRPr="00096EFF">
          <w:rPr>
            <w:rStyle w:val="Hyperlink"/>
            <w:noProof/>
          </w:rPr>
          <w:t>Figure 6: Summary of CGs implementation</w:t>
        </w:r>
        <w:r w:rsidR="00B13335">
          <w:rPr>
            <w:noProof/>
            <w:webHidden/>
          </w:rPr>
          <w:tab/>
        </w:r>
        <w:r w:rsidR="00B13335">
          <w:rPr>
            <w:noProof/>
            <w:webHidden/>
          </w:rPr>
          <w:fldChar w:fldCharType="begin"/>
        </w:r>
        <w:r w:rsidR="00B13335">
          <w:rPr>
            <w:noProof/>
            <w:webHidden/>
          </w:rPr>
          <w:instrText xml:space="preserve"> PAGEREF _Toc144717848 \h </w:instrText>
        </w:r>
        <w:r w:rsidR="00B13335">
          <w:rPr>
            <w:noProof/>
            <w:webHidden/>
          </w:rPr>
        </w:r>
        <w:r w:rsidR="00B13335">
          <w:rPr>
            <w:noProof/>
            <w:webHidden/>
          </w:rPr>
          <w:fldChar w:fldCharType="separate"/>
        </w:r>
        <w:r w:rsidR="00563B66">
          <w:rPr>
            <w:noProof/>
            <w:webHidden/>
          </w:rPr>
          <w:t>23</w:t>
        </w:r>
        <w:r w:rsidR="00B13335">
          <w:rPr>
            <w:noProof/>
            <w:webHidden/>
          </w:rPr>
          <w:fldChar w:fldCharType="end"/>
        </w:r>
      </w:hyperlink>
    </w:p>
    <w:p w14:paraId="7514430A" w14:textId="69B820A2"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49" w:history="1">
        <w:r w:rsidR="00B13335" w:rsidRPr="00096EFF">
          <w:rPr>
            <w:rStyle w:val="Hyperlink"/>
            <w:noProof/>
          </w:rPr>
          <w:t>Figure 7: Overview of evaluation approach</w:t>
        </w:r>
        <w:r w:rsidR="00B13335">
          <w:rPr>
            <w:noProof/>
            <w:webHidden/>
          </w:rPr>
          <w:tab/>
        </w:r>
        <w:r w:rsidR="00B13335">
          <w:rPr>
            <w:noProof/>
            <w:webHidden/>
          </w:rPr>
          <w:fldChar w:fldCharType="begin"/>
        </w:r>
        <w:r w:rsidR="00B13335">
          <w:rPr>
            <w:noProof/>
            <w:webHidden/>
          </w:rPr>
          <w:instrText xml:space="preserve"> PAGEREF _Toc144717849 \h </w:instrText>
        </w:r>
        <w:r w:rsidR="00B13335">
          <w:rPr>
            <w:noProof/>
            <w:webHidden/>
          </w:rPr>
        </w:r>
        <w:r w:rsidR="00B13335">
          <w:rPr>
            <w:noProof/>
            <w:webHidden/>
          </w:rPr>
          <w:fldChar w:fldCharType="separate"/>
        </w:r>
        <w:r w:rsidR="00563B66">
          <w:rPr>
            <w:noProof/>
            <w:webHidden/>
          </w:rPr>
          <w:t>27</w:t>
        </w:r>
        <w:r w:rsidR="00B13335">
          <w:rPr>
            <w:noProof/>
            <w:webHidden/>
          </w:rPr>
          <w:fldChar w:fldCharType="end"/>
        </w:r>
      </w:hyperlink>
    </w:p>
    <w:p w14:paraId="255CD45D" w14:textId="4CCB8A01"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0" w:history="1">
        <w:r w:rsidR="00B13335" w:rsidRPr="00096EFF">
          <w:rPr>
            <w:rStyle w:val="Hyperlink"/>
            <w:noProof/>
          </w:rPr>
          <w:t>Figure 8: Six EQs or ‘agreed measures of success’</w:t>
        </w:r>
        <w:r w:rsidR="00B13335">
          <w:rPr>
            <w:noProof/>
            <w:webHidden/>
          </w:rPr>
          <w:tab/>
        </w:r>
        <w:r w:rsidR="00B13335">
          <w:rPr>
            <w:noProof/>
            <w:webHidden/>
          </w:rPr>
          <w:fldChar w:fldCharType="begin"/>
        </w:r>
        <w:r w:rsidR="00B13335">
          <w:rPr>
            <w:noProof/>
            <w:webHidden/>
          </w:rPr>
          <w:instrText xml:space="preserve"> PAGEREF _Toc144717850 \h </w:instrText>
        </w:r>
        <w:r w:rsidR="00B13335">
          <w:rPr>
            <w:noProof/>
            <w:webHidden/>
          </w:rPr>
        </w:r>
        <w:r w:rsidR="00B13335">
          <w:rPr>
            <w:noProof/>
            <w:webHidden/>
          </w:rPr>
          <w:fldChar w:fldCharType="separate"/>
        </w:r>
        <w:r w:rsidR="00563B66">
          <w:rPr>
            <w:noProof/>
            <w:webHidden/>
          </w:rPr>
          <w:t>28</w:t>
        </w:r>
        <w:r w:rsidR="00B13335">
          <w:rPr>
            <w:noProof/>
            <w:webHidden/>
          </w:rPr>
          <w:fldChar w:fldCharType="end"/>
        </w:r>
      </w:hyperlink>
    </w:p>
    <w:p w14:paraId="754BC5D4" w14:textId="65B81CF4"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1" w:history="1">
        <w:r w:rsidR="00B13335" w:rsidRPr="00096EFF">
          <w:rPr>
            <w:rStyle w:val="Hyperlink"/>
            <w:noProof/>
          </w:rPr>
          <w:t>Figure 9: Overall evaluation workplan</w:t>
        </w:r>
        <w:r w:rsidR="00B13335">
          <w:rPr>
            <w:noProof/>
            <w:webHidden/>
          </w:rPr>
          <w:tab/>
        </w:r>
        <w:r w:rsidR="00B13335">
          <w:rPr>
            <w:noProof/>
            <w:webHidden/>
          </w:rPr>
          <w:fldChar w:fldCharType="begin"/>
        </w:r>
        <w:r w:rsidR="00B13335">
          <w:rPr>
            <w:noProof/>
            <w:webHidden/>
          </w:rPr>
          <w:instrText xml:space="preserve"> PAGEREF _Toc144717851 \h </w:instrText>
        </w:r>
        <w:r w:rsidR="00B13335">
          <w:rPr>
            <w:noProof/>
            <w:webHidden/>
          </w:rPr>
        </w:r>
        <w:r w:rsidR="00B13335">
          <w:rPr>
            <w:noProof/>
            <w:webHidden/>
          </w:rPr>
          <w:fldChar w:fldCharType="separate"/>
        </w:r>
        <w:r w:rsidR="00563B66">
          <w:rPr>
            <w:noProof/>
            <w:webHidden/>
          </w:rPr>
          <w:t>30</w:t>
        </w:r>
        <w:r w:rsidR="00B13335">
          <w:rPr>
            <w:noProof/>
            <w:webHidden/>
          </w:rPr>
          <w:fldChar w:fldCharType="end"/>
        </w:r>
      </w:hyperlink>
    </w:p>
    <w:p w14:paraId="76F1523E" w14:textId="042A8EC4"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2" w:history="1">
        <w:r w:rsidR="00B13335" w:rsidRPr="00096EFF">
          <w:rPr>
            <w:rStyle w:val="Hyperlink"/>
            <w:noProof/>
          </w:rPr>
          <w:t>Figure 10: EQs within the conceptual framework</w:t>
        </w:r>
        <w:r w:rsidR="00B13335">
          <w:rPr>
            <w:noProof/>
            <w:webHidden/>
          </w:rPr>
          <w:tab/>
        </w:r>
        <w:r w:rsidR="00B13335">
          <w:rPr>
            <w:noProof/>
            <w:webHidden/>
          </w:rPr>
          <w:fldChar w:fldCharType="begin"/>
        </w:r>
        <w:r w:rsidR="00B13335">
          <w:rPr>
            <w:noProof/>
            <w:webHidden/>
          </w:rPr>
          <w:instrText xml:space="preserve"> PAGEREF _Toc144717852 \h </w:instrText>
        </w:r>
        <w:r w:rsidR="00B13335">
          <w:rPr>
            <w:noProof/>
            <w:webHidden/>
          </w:rPr>
        </w:r>
        <w:r w:rsidR="00B13335">
          <w:rPr>
            <w:noProof/>
            <w:webHidden/>
          </w:rPr>
          <w:fldChar w:fldCharType="separate"/>
        </w:r>
        <w:r w:rsidR="00563B66">
          <w:rPr>
            <w:noProof/>
            <w:webHidden/>
          </w:rPr>
          <w:t>31</w:t>
        </w:r>
        <w:r w:rsidR="00B13335">
          <w:rPr>
            <w:noProof/>
            <w:webHidden/>
          </w:rPr>
          <w:fldChar w:fldCharType="end"/>
        </w:r>
      </w:hyperlink>
    </w:p>
    <w:p w14:paraId="22ED1B06" w14:textId="5CFB8E9E"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3" w:history="1">
        <w:r w:rsidR="00B13335" w:rsidRPr="00096EFF">
          <w:rPr>
            <w:rStyle w:val="Hyperlink"/>
            <w:noProof/>
          </w:rPr>
          <w:t>Figure 11: What the Fleming Fund has delivered in phase 1</w:t>
        </w:r>
        <w:r w:rsidR="00B13335">
          <w:rPr>
            <w:noProof/>
            <w:webHidden/>
          </w:rPr>
          <w:tab/>
        </w:r>
        <w:r w:rsidR="00B13335">
          <w:rPr>
            <w:noProof/>
            <w:webHidden/>
          </w:rPr>
          <w:fldChar w:fldCharType="begin"/>
        </w:r>
        <w:r w:rsidR="00B13335">
          <w:rPr>
            <w:noProof/>
            <w:webHidden/>
          </w:rPr>
          <w:instrText xml:space="preserve"> PAGEREF _Toc144717853 \h </w:instrText>
        </w:r>
        <w:r w:rsidR="00B13335">
          <w:rPr>
            <w:noProof/>
            <w:webHidden/>
          </w:rPr>
        </w:r>
        <w:r w:rsidR="00B13335">
          <w:rPr>
            <w:noProof/>
            <w:webHidden/>
          </w:rPr>
          <w:fldChar w:fldCharType="separate"/>
        </w:r>
        <w:r w:rsidR="00563B66">
          <w:rPr>
            <w:noProof/>
            <w:webHidden/>
          </w:rPr>
          <w:t>34</w:t>
        </w:r>
        <w:r w:rsidR="00B13335">
          <w:rPr>
            <w:noProof/>
            <w:webHidden/>
          </w:rPr>
          <w:fldChar w:fldCharType="end"/>
        </w:r>
      </w:hyperlink>
    </w:p>
    <w:p w14:paraId="7D326A73" w14:textId="13A2C673"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4" w:history="1">
        <w:r w:rsidR="00B13335" w:rsidRPr="00096EFF">
          <w:rPr>
            <w:rStyle w:val="Hyperlink"/>
            <w:noProof/>
          </w:rPr>
          <w:t>Figure 12: Number of Fleming Fund-supported HH surveillance sites showing progress through the LSHTM roadmap</w:t>
        </w:r>
        <w:r w:rsidR="00B13335">
          <w:rPr>
            <w:noProof/>
            <w:webHidden/>
          </w:rPr>
          <w:tab/>
        </w:r>
        <w:r w:rsidR="00B13335">
          <w:rPr>
            <w:noProof/>
            <w:webHidden/>
          </w:rPr>
          <w:fldChar w:fldCharType="begin"/>
        </w:r>
        <w:r w:rsidR="00B13335">
          <w:rPr>
            <w:noProof/>
            <w:webHidden/>
          </w:rPr>
          <w:instrText xml:space="preserve"> PAGEREF _Toc144717854 \h </w:instrText>
        </w:r>
        <w:r w:rsidR="00B13335">
          <w:rPr>
            <w:noProof/>
            <w:webHidden/>
          </w:rPr>
        </w:r>
        <w:r w:rsidR="00B13335">
          <w:rPr>
            <w:noProof/>
            <w:webHidden/>
          </w:rPr>
          <w:fldChar w:fldCharType="separate"/>
        </w:r>
        <w:r w:rsidR="00563B66">
          <w:rPr>
            <w:noProof/>
            <w:webHidden/>
          </w:rPr>
          <w:t>38</w:t>
        </w:r>
        <w:r w:rsidR="00B13335">
          <w:rPr>
            <w:noProof/>
            <w:webHidden/>
          </w:rPr>
          <w:fldChar w:fldCharType="end"/>
        </w:r>
      </w:hyperlink>
    </w:p>
    <w:p w14:paraId="122AC39A" w14:textId="384C0E33"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5" w:history="1">
        <w:r w:rsidR="00B13335" w:rsidRPr="00096EFF">
          <w:rPr>
            <w:rStyle w:val="Hyperlink"/>
            <w:noProof/>
          </w:rPr>
          <w:t>Figure 13: Number of Fleming Fund-supported AH sites showing progress through the LSHTM roadmap</w:t>
        </w:r>
        <w:r w:rsidR="00B13335">
          <w:rPr>
            <w:noProof/>
            <w:webHidden/>
          </w:rPr>
          <w:tab/>
        </w:r>
        <w:r w:rsidR="00B13335">
          <w:rPr>
            <w:noProof/>
            <w:webHidden/>
          </w:rPr>
          <w:fldChar w:fldCharType="begin"/>
        </w:r>
        <w:r w:rsidR="00B13335">
          <w:rPr>
            <w:noProof/>
            <w:webHidden/>
          </w:rPr>
          <w:instrText xml:space="preserve"> PAGEREF _Toc144717855 \h </w:instrText>
        </w:r>
        <w:r w:rsidR="00B13335">
          <w:rPr>
            <w:noProof/>
            <w:webHidden/>
          </w:rPr>
        </w:r>
        <w:r w:rsidR="00B13335">
          <w:rPr>
            <w:noProof/>
            <w:webHidden/>
          </w:rPr>
          <w:fldChar w:fldCharType="separate"/>
        </w:r>
        <w:r w:rsidR="00563B66">
          <w:rPr>
            <w:noProof/>
            <w:webHidden/>
          </w:rPr>
          <w:t>39</w:t>
        </w:r>
        <w:r w:rsidR="00B13335">
          <w:rPr>
            <w:noProof/>
            <w:webHidden/>
          </w:rPr>
          <w:fldChar w:fldCharType="end"/>
        </w:r>
      </w:hyperlink>
    </w:p>
    <w:p w14:paraId="0D9EAE4F" w14:textId="460EC5AF"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6" w:history="1">
        <w:r w:rsidR="00B13335" w:rsidRPr="00096EFF">
          <w:rPr>
            <w:rStyle w:val="Hyperlink"/>
            <w:noProof/>
          </w:rPr>
          <w:t>Figure 14: Heatmap of quality of human health and animal health data</w:t>
        </w:r>
        <w:r w:rsidR="00B13335">
          <w:rPr>
            <w:noProof/>
            <w:webHidden/>
          </w:rPr>
          <w:tab/>
        </w:r>
        <w:r w:rsidR="00B13335">
          <w:rPr>
            <w:noProof/>
            <w:webHidden/>
          </w:rPr>
          <w:fldChar w:fldCharType="begin"/>
        </w:r>
        <w:r w:rsidR="00B13335">
          <w:rPr>
            <w:noProof/>
            <w:webHidden/>
          </w:rPr>
          <w:instrText xml:space="preserve"> PAGEREF _Toc144717856 \h </w:instrText>
        </w:r>
        <w:r w:rsidR="00B13335">
          <w:rPr>
            <w:noProof/>
            <w:webHidden/>
          </w:rPr>
        </w:r>
        <w:r w:rsidR="00B13335">
          <w:rPr>
            <w:noProof/>
            <w:webHidden/>
          </w:rPr>
          <w:fldChar w:fldCharType="separate"/>
        </w:r>
        <w:r w:rsidR="00563B66">
          <w:rPr>
            <w:noProof/>
            <w:webHidden/>
          </w:rPr>
          <w:t>41</w:t>
        </w:r>
        <w:r w:rsidR="00B13335">
          <w:rPr>
            <w:noProof/>
            <w:webHidden/>
          </w:rPr>
          <w:fldChar w:fldCharType="end"/>
        </w:r>
      </w:hyperlink>
    </w:p>
    <w:p w14:paraId="1B91CB7E" w14:textId="2BE1E8E2"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7" w:history="1">
        <w:r w:rsidR="00B13335" w:rsidRPr="00096EFF">
          <w:rPr>
            <w:rStyle w:val="Hyperlink"/>
            <w:noProof/>
          </w:rPr>
          <w:t>Figure 15: Summary of examples of national action from evaluation focus countries and regions</w:t>
        </w:r>
        <w:r w:rsidR="00B13335">
          <w:rPr>
            <w:noProof/>
            <w:webHidden/>
          </w:rPr>
          <w:tab/>
        </w:r>
        <w:r w:rsidR="00B13335">
          <w:rPr>
            <w:noProof/>
            <w:webHidden/>
          </w:rPr>
          <w:fldChar w:fldCharType="begin"/>
        </w:r>
        <w:r w:rsidR="00B13335">
          <w:rPr>
            <w:noProof/>
            <w:webHidden/>
          </w:rPr>
          <w:instrText xml:space="preserve"> PAGEREF _Toc144717857 \h </w:instrText>
        </w:r>
        <w:r w:rsidR="00B13335">
          <w:rPr>
            <w:noProof/>
            <w:webHidden/>
          </w:rPr>
        </w:r>
        <w:r w:rsidR="00B13335">
          <w:rPr>
            <w:noProof/>
            <w:webHidden/>
          </w:rPr>
          <w:fldChar w:fldCharType="separate"/>
        </w:r>
        <w:r w:rsidR="00563B66">
          <w:rPr>
            <w:noProof/>
            <w:webHidden/>
          </w:rPr>
          <w:t>52</w:t>
        </w:r>
        <w:r w:rsidR="00B13335">
          <w:rPr>
            <w:noProof/>
            <w:webHidden/>
          </w:rPr>
          <w:fldChar w:fldCharType="end"/>
        </w:r>
      </w:hyperlink>
    </w:p>
    <w:p w14:paraId="43385C7E" w14:textId="3EEF12BE" w:rsidR="00B13335"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17858" w:history="1">
        <w:r w:rsidR="00B13335" w:rsidRPr="00096EFF">
          <w:rPr>
            <w:rStyle w:val="Hyperlink"/>
            <w:noProof/>
          </w:rPr>
          <w:t>Figure 16: Illustration that some national action in sample countries is based on non-surveillance data, particularly in AH</w:t>
        </w:r>
        <w:r w:rsidR="00B13335">
          <w:rPr>
            <w:noProof/>
            <w:webHidden/>
          </w:rPr>
          <w:tab/>
        </w:r>
        <w:r w:rsidR="00B13335">
          <w:rPr>
            <w:noProof/>
            <w:webHidden/>
          </w:rPr>
          <w:fldChar w:fldCharType="begin"/>
        </w:r>
        <w:r w:rsidR="00B13335">
          <w:rPr>
            <w:noProof/>
            <w:webHidden/>
          </w:rPr>
          <w:instrText xml:space="preserve"> PAGEREF _Toc144717858 \h </w:instrText>
        </w:r>
        <w:r w:rsidR="00B13335">
          <w:rPr>
            <w:noProof/>
            <w:webHidden/>
          </w:rPr>
        </w:r>
        <w:r w:rsidR="00B13335">
          <w:rPr>
            <w:noProof/>
            <w:webHidden/>
          </w:rPr>
          <w:fldChar w:fldCharType="separate"/>
        </w:r>
        <w:r w:rsidR="00563B66">
          <w:rPr>
            <w:noProof/>
            <w:webHidden/>
          </w:rPr>
          <w:t>56</w:t>
        </w:r>
        <w:r w:rsidR="00B13335">
          <w:rPr>
            <w:noProof/>
            <w:webHidden/>
          </w:rPr>
          <w:fldChar w:fldCharType="end"/>
        </w:r>
      </w:hyperlink>
    </w:p>
    <w:p w14:paraId="2AB7ADD7" w14:textId="64411EB2" w:rsidR="004A31D5" w:rsidRPr="00387DE6" w:rsidRDefault="004A31D5" w:rsidP="004A31D5">
      <w:pPr>
        <w:pStyle w:val="TableofFigures"/>
        <w:tabs>
          <w:tab w:val="right" w:leader="dot" w:pos="9010"/>
        </w:tabs>
        <w:rPr>
          <w:rStyle w:val="Hyperlink"/>
          <w:sz w:val="22"/>
          <w:szCs w:val="22"/>
        </w:rPr>
      </w:pPr>
      <w:r w:rsidRPr="00B92DDF">
        <w:rPr>
          <w:rStyle w:val="Hyperlink"/>
          <w:noProof/>
          <w:sz w:val="22"/>
          <w:szCs w:val="22"/>
        </w:rPr>
        <w:fldChar w:fldCharType="end"/>
      </w:r>
    </w:p>
    <w:p w14:paraId="7D92B0C9" w14:textId="4EC2BE49" w:rsidR="00B06901" w:rsidRPr="009B38B7" w:rsidRDefault="00B06901" w:rsidP="00563B66">
      <w:pPr>
        <w:pStyle w:val="ItadH1"/>
        <w:spacing w:before="0" w:after="0"/>
      </w:pPr>
      <w:bookmarkStart w:id="14" w:name="_Toc142446336"/>
      <w:bookmarkStart w:id="15" w:name="_Toc144715789"/>
      <w:r>
        <w:rPr>
          <w:lang w:eastAsia="en-GB"/>
        </w:rPr>
        <w:t xml:space="preserve">List of </w:t>
      </w:r>
      <w:r w:rsidR="00DD04E1">
        <w:rPr>
          <w:lang w:eastAsia="en-GB"/>
        </w:rPr>
        <w:t>t</w:t>
      </w:r>
      <w:r>
        <w:rPr>
          <w:lang w:eastAsia="en-GB"/>
        </w:rPr>
        <w:t>ables</w:t>
      </w:r>
      <w:bookmarkEnd w:id="14"/>
      <w:bookmarkEnd w:id="15"/>
    </w:p>
    <w:p w14:paraId="0355731D" w14:textId="7003427E" w:rsidR="00563B66" w:rsidRDefault="00D2651D">
      <w:pPr>
        <w:pStyle w:val="TableofFigures"/>
        <w:tabs>
          <w:tab w:val="right" w:leader="dot" w:pos="9010"/>
        </w:tabs>
        <w:rPr>
          <w:rFonts w:eastAsiaTheme="minorEastAsia"/>
          <w:noProof/>
          <w:kern w:val="2"/>
          <w:sz w:val="22"/>
          <w:szCs w:val="22"/>
          <w:lang w:eastAsia="en-GB"/>
          <w14:ligatures w14:val="standardContextual"/>
        </w:rPr>
      </w:pPr>
      <w:r w:rsidRPr="00B92DDF">
        <w:rPr>
          <w:rStyle w:val="Hyperlink"/>
          <w:sz w:val="22"/>
          <w:szCs w:val="22"/>
        </w:rPr>
        <w:fldChar w:fldCharType="begin"/>
      </w:r>
      <w:r w:rsidRPr="00B92DDF">
        <w:rPr>
          <w:rStyle w:val="Hyperlink"/>
          <w:sz w:val="22"/>
          <w:szCs w:val="22"/>
        </w:rPr>
        <w:instrText xml:space="preserve"> TOC \h \z \c "Table" </w:instrText>
      </w:r>
      <w:r w:rsidRPr="00B92DDF">
        <w:rPr>
          <w:rStyle w:val="Hyperlink"/>
          <w:sz w:val="22"/>
          <w:szCs w:val="22"/>
        </w:rPr>
        <w:fldChar w:fldCharType="separate"/>
      </w:r>
      <w:hyperlink w:anchor="_Toc144722293" w:history="1">
        <w:r w:rsidR="00563B66" w:rsidRPr="007257A8">
          <w:rPr>
            <w:rStyle w:val="Hyperlink"/>
            <w:noProof/>
          </w:rPr>
          <w:t>Table 1: Targets from Fleming Fund phase 1 Implementation Plan</w:t>
        </w:r>
        <w:r w:rsidR="00563B66">
          <w:rPr>
            <w:noProof/>
            <w:webHidden/>
          </w:rPr>
          <w:tab/>
        </w:r>
        <w:r w:rsidR="00563B66">
          <w:rPr>
            <w:noProof/>
            <w:webHidden/>
          </w:rPr>
          <w:fldChar w:fldCharType="begin"/>
        </w:r>
        <w:r w:rsidR="00563B66">
          <w:rPr>
            <w:noProof/>
            <w:webHidden/>
          </w:rPr>
          <w:instrText xml:space="preserve"> PAGEREF _Toc144722293 \h </w:instrText>
        </w:r>
        <w:r w:rsidR="00563B66">
          <w:rPr>
            <w:noProof/>
            <w:webHidden/>
          </w:rPr>
        </w:r>
        <w:r w:rsidR="00563B66">
          <w:rPr>
            <w:noProof/>
            <w:webHidden/>
          </w:rPr>
          <w:fldChar w:fldCharType="separate"/>
        </w:r>
        <w:r w:rsidR="00563B66">
          <w:rPr>
            <w:noProof/>
            <w:webHidden/>
          </w:rPr>
          <w:t>23</w:t>
        </w:r>
        <w:r w:rsidR="00563B66">
          <w:rPr>
            <w:noProof/>
            <w:webHidden/>
          </w:rPr>
          <w:fldChar w:fldCharType="end"/>
        </w:r>
      </w:hyperlink>
    </w:p>
    <w:p w14:paraId="002DC3A8" w14:textId="4975D791" w:rsidR="00563B66"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2294" w:history="1">
        <w:r w:rsidR="00563B66" w:rsidRPr="007257A8">
          <w:rPr>
            <w:rStyle w:val="Hyperlink"/>
            <w:noProof/>
          </w:rPr>
          <w:t>Table 2: Duration of Fleming Fund support</w:t>
        </w:r>
        <w:r w:rsidR="00563B66">
          <w:rPr>
            <w:noProof/>
            <w:webHidden/>
          </w:rPr>
          <w:tab/>
        </w:r>
        <w:r w:rsidR="00563B66">
          <w:rPr>
            <w:noProof/>
            <w:webHidden/>
          </w:rPr>
          <w:fldChar w:fldCharType="begin"/>
        </w:r>
        <w:r w:rsidR="00563B66">
          <w:rPr>
            <w:noProof/>
            <w:webHidden/>
          </w:rPr>
          <w:instrText xml:space="preserve"> PAGEREF _Toc144722294 \h </w:instrText>
        </w:r>
        <w:r w:rsidR="00563B66">
          <w:rPr>
            <w:noProof/>
            <w:webHidden/>
          </w:rPr>
        </w:r>
        <w:r w:rsidR="00563B66">
          <w:rPr>
            <w:noProof/>
            <w:webHidden/>
          </w:rPr>
          <w:fldChar w:fldCharType="separate"/>
        </w:r>
        <w:r w:rsidR="00563B66">
          <w:rPr>
            <w:noProof/>
            <w:webHidden/>
          </w:rPr>
          <w:t>24</w:t>
        </w:r>
        <w:r w:rsidR="00563B66">
          <w:rPr>
            <w:noProof/>
            <w:webHidden/>
          </w:rPr>
          <w:fldChar w:fldCharType="end"/>
        </w:r>
      </w:hyperlink>
    </w:p>
    <w:p w14:paraId="76B7A645" w14:textId="2FE34160" w:rsidR="00563B66"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2295" w:history="1">
        <w:r w:rsidR="00563B66" w:rsidRPr="007257A8">
          <w:rPr>
            <w:rStyle w:val="Hyperlink"/>
            <w:noProof/>
          </w:rPr>
          <w:t>Table 3: Changes in quantity of HH AMR data</w:t>
        </w:r>
        <w:r w:rsidR="00563B66">
          <w:rPr>
            <w:noProof/>
            <w:webHidden/>
          </w:rPr>
          <w:tab/>
        </w:r>
        <w:r w:rsidR="00563B66">
          <w:rPr>
            <w:noProof/>
            <w:webHidden/>
          </w:rPr>
          <w:fldChar w:fldCharType="begin"/>
        </w:r>
        <w:r w:rsidR="00563B66">
          <w:rPr>
            <w:noProof/>
            <w:webHidden/>
          </w:rPr>
          <w:instrText xml:space="preserve"> PAGEREF _Toc144722295 \h </w:instrText>
        </w:r>
        <w:r w:rsidR="00563B66">
          <w:rPr>
            <w:noProof/>
            <w:webHidden/>
          </w:rPr>
        </w:r>
        <w:r w:rsidR="00563B66">
          <w:rPr>
            <w:noProof/>
            <w:webHidden/>
          </w:rPr>
          <w:fldChar w:fldCharType="separate"/>
        </w:r>
        <w:r w:rsidR="00563B66">
          <w:rPr>
            <w:noProof/>
            <w:webHidden/>
          </w:rPr>
          <w:t>44</w:t>
        </w:r>
        <w:r w:rsidR="00563B66">
          <w:rPr>
            <w:noProof/>
            <w:webHidden/>
          </w:rPr>
          <w:fldChar w:fldCharType="end"/>
        </w:r>
      </w:hyperlink>
    </w:p>
    <w:p w14:paraId="7E72A5A4" w14:textId="5C520AD1" w:rsidR="00563B66"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2296" w:history="1">
        <w:r w:rsidR="00563B66" w:rsidRPr="007257A8">
          <w:rPr>
            <w:rStyle w:val="Hyperlink"/>
            <w:noProof/>
          </w:rPr>
          <w:t>Table 4: Changes in quality of HH AMR data</w:t>
        </w:r>
        <w:r w:rsidR="00563B66">
          <w:rPr>
            <w:noProof/>
            <w:webHidden/>
          </w:rPr>
          <w:tab/>
        </w:r>
        <w:r w:rsidR="00563B66">
          <w:rPr>
            <w:noProof/>
            <w:webHidden/>
          </w:rPr>
          <w:fldChar w:fldCharType="begin"/>
        </w:r>
        <w:r w:rsidR="00563B66">
          <w:rPr>
            <w:noProof/>
            <w:webHidden/>
          </w:rPr>
          <w:instrText xml:space="preserve"> PAGEREF _Toc144722296 \h </w:instrText>
        </w:r>
        <w:r w:rsidR="00563B66">
          <w:rPr>
            <w:noProof/>
            <w:webHidden/>
          </w:rPr>
        </w:r>
        <w:r w:rsidR="00563B66">
          <w:rPr>
            <w:noProof/>
            <w:webHidden/>
          </w:rPr>
          <w:fldChar w:fldCharType="separate"/>
        </w:r>
        <w:r w:rsidR="00563B66">
          <w:rPr>
            <w:noProof/>
            <w:webHidden/>
          </w:rPr>
          <w:t>45</w:t>
        </w:r>
        <w:r w:rsidR="00563B66">
          <w:rPr>
            <w:noProof/>
            <w:webHidden/>
          </w:rPr>
          <w:fldChar w:fldCharType="end"/>
        </w:r>
      </w:hyperlink>
    </w:p>
    <w:p w14:paraId="0F49877B" w14:textId="101B1F12" w:rsidR="00563B66"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2297" w:history="1">
        <w:r w:rsidR="00563B66" w:rsidRPr="007257A8">
          <w:rPr>
            <w:rStyle w:val="Hyperlink"/>
            <w:noProof/>
          </w:rPr>
          <w:t>Table 5: Summary of examples of national action from evaluation focus countries and regions</w:t>
        </w:r>
        <w:r w:rsidR="00563B66">
          <w:rPr>
            <w:noProof/>
            <w:webHidden/>
          </w:rPr>
          <w:tab/>
        </w:r>
        <w:r w:rsidR="00563B66">
          <w:rPr>
            <w:noProof/>
            <w:webHidden/>
          </w:rPr>
          <w:fldChar w:fldCharType="begin"/>
        </w:r>
        <w:r w:rsidR="00563B66">
          <w:rPr>
            <w:noProof/>
            <w:webHidden/>
          </w:rPr>
          <w:instrText xml:space="preserve"> PAGEREF _Toc144722297 \h </w:instrText>
        </w:r>
        <w:r w:rsidR="00563B66">
          <w:rPr>
            <w:noProof/>
            <w:webHidden/>
          </w:rPr>
        </w:r>
        <w:r w:rsidR="00563B66">
          <w:rPr>
            <w:noProof/>
            <w:webHidden/>
          </w:rPr>
          <w:fldChar w:fldCharType="separate"/>
        </w:r>
        <w:r w:rsidR="00563B66">
          <w:rPr>
            <w:noProof/>
            <w:webHidden/>
          </w:rPr>
          <w:t>54</w:t>
        </w:r>
        <w:r w:rsidR="00563B66">
          <w:rPr>
            <w:noProof/>
            <w:webHidden/>
          </w:rPr>
          <w:fldChar w:fldCharType="end"/>
        </w:r>
      </w:hyperlink>
    </w:p>
    <w:p w14:paraId="12DF39C0" w14:textId="0773138C" w:rsidR="00563B66" w:rsidRDefault="00B33BBD">
      <w:pPr>
        <w:pStyle w:val="TableofFigures"/>
        <w:tabs>
          <w:tab w:val="right" w:leader="dot" w:pos="9010"/>
        </w:tabs>
        <w:rPr>
          <w:rFonts w:eastAsiaTheme="minorEastAsia"/>
          <w:noProof/>
          <w:kern w:val="2"/>
          <w:sz w:val="22"/>
          <w:szCs w:val="22"/>
          <w:lang w:eastAsia="en-GB"/>
          <w14:ligatures w14:val="standardContextual"/>
        </w:rPr>
      </w:pPr>
      <w:hyperlink w:anchor="_Toc144722298" w:history="1">
        <w:r w:rsidR="00563B66" w:rsidRPr="007257A8">
          <w:rPr>
            <w:rStyle w:val="Hyperlink"/>
            <w:noProof/>
          </w:rPr>
          <w:t>Table 6: Changes in data sharing with relevant committees</w:t>
        </w:r>
        <w:r w:rsidR="00563B66">
          <w:rPr>
            <w:noProof/>
            <w:webHidden/>
          </w:rPr>
          <w:tab/>
        </w:r>
        <w:r w:rsidR="00563B66">
          <w:rPr>
            <w:noProof/>
            <w:webHidden/>
          </w:rPr>
          <w:fldChar w:fldCharType="begin"/>
        </w:r>
        <w:r w:rsidR="00563B66">
          <w:rPr>
            <w:noProof/>
            <w:webHidden/>
          </w:rPr>
          <w:instrText xml:space="preserve"> PAGEREF _Toc144722298 \h </w:instrText>
        </w:r>
        <w:r w:rsidR="00563B66">
          <w:rPr>
            <w:noProof/>
            <w:webHidden/>
          </w:rPr>
        </w:r>
        <w:r w:rsidR="00563B66">
          <w:rPr>
            <w:noProof/>
            <w:webHidden/>
          </w:rPr>
          <w:fldChar w:fldCharType="separate"/>
        </w:r>
        <w:r w:rsidR="00563B66">
          <w:rPr>
            <w:noProof/>
            <w:webHidden/>
          </w:rPr>
          <w:t>59</w:t>
        </w:r>
        <w:r w:rsidR="00563B66">
          <w:rPr>
            <w:noProof/>
            <w:webHidden/>
          </w:rPr>
          <w:fldChar w:fldCharType="end"/>
        </w:r>
      </w:hyperlink>
    </w:p>
    <w:p w14:paraId="4F0612C2" w14:textId="72FAC55C" w:rsidR="00237EBE" w:rsidRDefault="00B33BBD" w:rsidP="00563B66">
      <w:pPr>
        <w:pStyle w:val="TableofFigures"/>
        <w:tabs>
          <w:tab w:val="right" w:leader="dot" w:pos="9010"/>
        </w:tabs>
      </w:pPr>
      <w:hyperlink w:anchor="_Toc144722299" w:history="1">
        <w:r w:rsidR="00563B66" w:rsidRPr="007257A8">
          <w:rPr>
            <w:rStyle w:val="Hyperlink"/>
            <w:noProof/>
          </w:rPr>
          <w:t>Table 7: Changes in data sharing with GLASS</w:t>
        </w:r>
        <w:r w:rsidR="00563B66">
          <w:rPr>
            <w:noProof/>
            <w:webHidden/>
          </w:rPr>
          <w:tab/>
        </w:r>
        <w:r w:rsidR="00563B66">
          <w:rPr>
            <w:noProof/>
            <w:webHidden/>
          </w:rPr>
          <w:fldChar w:fldCharType="begin"/>
        </w:r>
        <w:r w:rsidR="00563B66">
          <w:rPr>
            <w:noProof/>
            <w:webHidden/>
          </w:rPr>
          <w:instrText xml:space="preserve"> PAGEREF _Toc144722299 \h </w:instrText>
        </w:r>
        <w:r w:rsidR="00563B66">
          <w:rPr>
            <w:noProof/>
            <w:webHidden/>
          </w:rPr>
        </w:r>
        <w:r w:rsidR="00563B66">
          <w:rPr>
            <w:noProof/>
            <w:webHidden/>
          </w:rPr>
          <w:fldChar w:fldCharType="separate"/>
        </w:r>
        <w:r w:rsidR="00563B66">
          <w:rPr>
            <w:noProof/>
            <w:webHidden/>
          </w:rPr>
          <w:t>62</w:t>
        </w:r>
        <w:r w:rsidR="00563B66">
          <w:rPr>
            <w:noProof/>
            <w:webHidden/>
          </w:rPr>
          <w:fldChar w:fldCharType="end"/>
        </w:r>
      </w:hyperlink>
      <w:r w:rsidR="00D2651D" w:rsidRPr="00B92DDF">
        <w:rPr>
          <w:rStyle w:val="Hyperlink"/>
          <w:sz w:val="22"/>
          <w:szCs w:val="22"/>
        </w:rPr>
        <w:fldChar w:fldCharType="end"/>
      </w:r>
      <w:bookmarkStart w:id="16" w:name="_Toc496540680"/>
      <w:bookmarkStart w:id="17" w:name="_Toc498427489"/>
      <w:bookmarkStart w:id="18" w:name="_Hlk128991622"/>
      <w:r w:rsidR="00237EBE">
        <w:br w:type="page"/>
      </w:r>
    </w:p>
    <w:p w14:paraId="0CED889F" w14:textId="74D98416" w:rsidR="006455D4" w:rsidRPr="00E94C04" w:rsidRDefault="00DD04E1" w:rsidP="002E67FF">
      <w:pPr>
        <w:pStyle w:val="ItadH1"/>
      </w:pPr>
      <w:bookmarkStart w:id="19" w:name="_Toc144715790"/>
      <w:bookmarkStart w:id="20" w:name="_Hlk136421414"/>
      <w:r>
        <w:lastRenderedPageBreak/>
        <w:t>A</w:t>
      </w:r>
      <w:r w:rsidR="006455D4" w:rsidRPr="00E94C04">
        <w:t>cronyms</w:t>
      </w:r>
      <w:bookmarkEnd w:id="16"/>
      <w:bookmarkEnd w:id="17"/>
      <w:r>
        <w:t xml:space="preserve"> and abbreviations</w:t>
      </w:r>
      <w:bookmarkEnd w:id="19"/>
    </w:p>
    <w:p w14:paraId="7255CCE6" w14:textId="34FFE7E3" w:rsidR="00F6707F" w:rsidRDefault="00F6707F" w:rsidP="00F6707F">
      <w:pPr>
        <w:pStyle w:val="ItadNormalText"/>
      </w:pPr>
      <w:r>
        <w:t>AH</w:t>
      </w:r>
      <w:r>
        <w:tab/>
        <w:t>Animal Health</w:t>
      </w:r>
    </w:p>
    <w:p w14:paraId="60A2884B" w14:textId="586FC63B" w:rsidR="00F6707F" w:rsidRDefault="00F6707F" w:rsidP="00F6707F">
      <w:pPr>
        <w:pStyle w:val="ItadNormalText"/>
      </w:pPr>
      <w:r>
        <w:t>AMC</w:t>
      </w:r>
      <w:r>
        <w:tab/>
        <w:t>Antimicrobial Consumption</w:t>
      </w:r>
    </w:p>
    <w:p w14:paraId="56537F16" w14:textId="77777777" w:rsidR="00F6707F" w:rsidRDefault="00F6707F" w:rsidP="00F6707F">
      <w:pPr>
        <w:pStyle w:val="ItadNormalText"/>
      </w:pPr>
      <w:r>
        <w:t>AMR</w:t>
      </w:r>
      <w:r>
        <w:tab/>
        <w:t>Antimicrobial Resistance</w:t>
      </w:r>
    </w:p>
    <w:p w14:paraId="5C3F40AA" w14:textId="77777777" w:rsidR="00F6707F" w:rsidRDefault="00F6707F" w:rsidP="00F6707F">
      <w:pPr>
        <w:pStyle w:val="ItadNormalText"/>
      </w:pPr>
      <w:r>
        <w:t>AMRCC</w:t>
      </w:r>
      <w:r>
        <w:tab/>
        <w:t>Antimicrobial Resistance Coordinating Committee</w:t>
      </w:r>
    </w:p>
    <w:p w14:paraId="01A09327" w14:textId="77777777" w:rsidR="00F6707F" w:rsidRDefault="00F6707F" w:rsidP="00F6707F">
      <w:pPr>
        <w:pStyle w:val="ItadNormalText"/>
      </w:pPr>
      <w:r>
        <w:t>AMS</w:t>
      </w:r>
      <w:r>
        <w:tab/>
        <w:t>Antimicrobial Stewardship</w:t>
      </w:r>
    </w:p>
    <w:p w14:paraId="0839E709" w14:textId="5314AC4F" w:rsidR="00F6707F" w:rsidRDefault="00F6707F" w:rsidP="00F6707F">
      <w:pPr>
        <w:pStyle w:val="ItadNormalText"/>
      </w:pPr>
      <w:r>
        <w:t>AMU</w:t>
      </w:r>
      <w:r>
        <w:tab/>
        <w:t>Antimicrobial Use</w:t>
      </w:r>
    </w:p>
    <w:p w14:paraId="3060E9A9" w14:textId="77777777" w:rsidR="00F6707F" w:rsidRDefault="00F6707F" w:rsidP="00F6707F">
      <w:pPr>
        <w:pStyle w:val="ItadNormalText"/>
      </w:pPr>
      <w:r>
        <w:t>ASLM</w:t>
      </w:r>
      <w:r>
        <w:tab/>
      </w:r>
      <w:bookmarkStart w:id="21" w:name="_Hlk143943693"/>
      <w:r>
        <w:t>African Society for Laboratory Medicine</w:t>
      </w:r>
      <w:bookmarkEnd w:id="21"/>
    </w:p>
    <w:p w14:paraId="10F0CFE0" w14:textId="77777777" w:rsidR="00F6707F" w:rsidRDefault="00F6707F" w:rsidP="00F6707F">
      <w:pPr>
        <w:pStyle w:val="ItadNormalText"/>
      </w:pPr>
      <w:r>
        <w:t>AST</w:t>
      </w:r>
      <w:r>
        <w:tab/>
        <w:t>Antimicrobial Susceptibility Testing</w:t>
      </w:r>
    </w:p>
    <w:p w14:paraId="01638D8C" w14:textId="77777777" w:rsidR="00F6707F" w:rsidRDefault="00F6707F" w:rsidP="00F6707F">
      <w:pPr>
        <w:pStyle w:val="ItadNormalText"/>
      </w:pPr>
      <w:r>
        <w:t>CAPTURA</w:t>
      </w:r>
      <w:r>
        <w:tab/>
        <w:t>Capturing Data on AMR Patterns and Trends in Use in Regions of Asia</w:t>
      </w:r>
    </w:p>
    <w:p w14:paraId="6339E26D" w14:textId="77777777" w:rsidR="00F6707F" w:rsidRDefault="00F6707F" w:rsidP="00F6707F">
      <w:pPr>
        <w:pStyle w:val="ItadNormalText"/>
      </w:pPr>
      <w:r>
        <w:t>CDC</w:t>
      </w:r>
      <w:r>
        <w:tab/>
        <w:t>US Centres for Disease Control</w:t>
      </w:r>
    </w:p>
    <w:p w14:paraId="3EB05863" w14:textId="77777777" w:rsidR="00F6707F" w:rsidRDefault="00F6707F" w:rsidP="00F6707F">
      <w:pPr>
        <w:pStyle w:val="ItadNormalText"/>
      </w:pPr>
      <w:r>
        <w:t>CG</w:t>
      </w:r>
      <w:r>
        <w:tab/>
        <w:t>Country Grant</w:t>
      </w:r>
    </w:p>
    <w:p w14:paraId="0BD99D9B" w14:textId="19A3130F" w:rsidR="00C15A0B" w:rsidRDefault="00C15A0B" w:rsidP="00F6707F">
      <w:pPr>
        <w:pStyle w:val="ItadNormalText"/>
      </w:pPr>
      <w:r>
        <w:t>CWPAMS</w:t>
      </w:r>
      <w:r w:rsidR="00DC1D8D">
        <w:t xml:space="preserve"> </w:t>
      </w:r>
      <w:r w:rsidR="00237EBE">
        <w:tab/>
      </w:r>
      <w:r w:rsidRPr="00C15A0B">
        <w:t xml:space="preserve">The Commonwealth Partnerships for </w:t>
      </w:r>
      <w:r w:rsidR="00FA29A2">
        <w:t>A</w:t>
      </w:r>
      <w:r w:rsidRPr="00C15A0B">
        <w:t xml:space="preserve">ntimicrobial </w:t>
      </w:r>
      <w:r w:rsidR="00FA29A2">
        <w:t>S</w:t>
      </w:r>
      <w:r w:rsidRPr="00C15A0B">
        <w:t>tewardship</w:t>
      </w:r>
    </w:p>
    <w:p w14:paraId="0E3BA110" w14:textId="38AACF25" w:rsidR="00F6707F" w:rsidRDefault="00F6707F" w:rsidP="00F6707F">
      <w:pPr>
        <w:pStyle w:val="ItadNormalText"/>
      </w:pPr>
      <w:r>
        <w:t>DFAT</w:t>
      </w:r>
      <w:r>
        <w:tab/>
        <w:t>Australian Department of Foreign Affairs and Trade</w:t>
      </w:r>
    </w:p>
    <w:p w14:paraId="209EA726" w14:textId="77777777" w:rsidR="00F6707F" w:rsidRDefault="00F6707F" w:rsidP="00F6707F">
      <w:pPr>
        <w:pStyle w:val="ItadNormalText"/>
      </w:pPr>
      <w:r>
        <w:t>DFID</w:t>
      </w:r>
      <w:r>
        <w:tab/>
        <w:t>Department for International Development</w:t>
      </w:r>
    </w:p>
    <w:p w14:paraId="017F2976" w14:textId="5B233B99" w:rsidR="00F6707F" w:rsidRDefault="00F6707F" w:rsidP="00F6707F">
      <w:pPr>
        <w:pStyle w:val="ItadNormalText"/>
      </w:pPr>
      <w:r>
        <w:t>DHSC</w:t>
      </w:r>
      <w:r>
        <w:tab/>
        <w:t>Department of Health and Social Care</w:t>
      </w:r>
    </w:p>
    <w:p w14:paraId="06664061" w14:textId="77777777" w:rsidR="00F6707F" w:rsidRDefault="00F6707F" w:rsidP="00F6707F">
      <w:pPr>
        <w:pStyle w:val="ItadNormalText"/>
      </w:pPr>
      <w:r>
        <w:t>DP</w:t>
      </w:r>
      <w:r>
        <w:tab/>
        <w:t>Delivery Partner</w:t>
      </w:r>
    </w:p>
    <w:p w14:paraId="169762ED" w14:textId="5C242952" w:rsidR="00357CAB" w:rsidRPr="009229E6" w:rsidRDefault="00357CAB" w:rsidP="00F6707F">
      <w:pPr>
        <w:pStyle w:val="ItadNormalText"/>
      </w:pPr>
      <w:r>
        <w:t>EIC</w:t>
      </w:r>
      <w:r w:rsidR="00DC1D8D">
        <w:t xml:space="preserve"> </w:t>
      </w:r>
      <w:r w:rsidR="00237EBE">
        <w:tab/>
      </w:r>
      <w:r>
        <w:t>Early Investment Country</w:t>
      </w:r>
    </w:p>
    <w:p w14:paraId="1BC078AC" w14:textId="71B241CF" w:rsidR="00F6707F" w:rsidRPr="00DC7636" w:rsidRDefault="00F6707F" w:rsidP="00F6707F">
      <w:pPr>
        <w:pStyle w:val="ItadNormalText"/>
      </w:pPr>
      <w:r w:rsidRPr="00DC7636">
        <w:t>EQ</w:t>
      </w:r>
      <w:r w:rsidRPr="00DC7636">
        <w:tab/>
        <w:t>Evaluation Question</w:t>
      </w:r>
    </w:p>
    <w:p w14:paraId="41E21CA2" w14:textId="77777777" w:rsidR="00F6707F" w:rsidRPr="00DC7636" w:rsidRDefault="00F6707F" w:rsidP="00F6707F">
      <w:pPr>
        <w:pStyle w:val="ItadNormalText"/>
      </w:pPr>
      <w:r w:rsidRPr="00DC7636">
        <w:t>EQA</w:t>
      </w:r>
      <w:r w:rsidRPr="00DC7636">
        <w:tab/>
        <w:t>External Quality Assurance</w:t>
      </w:r>
    </w:p>
    <w:p w14:paraId="076E45E4" w14:textId="77777777" w:rsidR="00F6707F" w:rsidRDefault="00F6707F" w:rsidP="00F6707F">
      <w:pPr>
        <w:pStyle w:val="ItadNormalText"/>
      </w:pPr>
      <w:r>
        <w:t>FAO</w:t>
      </w:r>
      <w:r>
        <w:tab/>
        <w:t>Food and Agriculture Organization</w:t>
      </w:r>
    </w:p>
    <w:p w14:paraId="2C7BE15E" w14:textId="77777777" w:rsidR="00F6707F" w:rsidRDefault="00F6707F" w:rsidP="00F6707F">
      <w:pPr>
        <w:pStyle w:val="ItadNormalText"/>
      </w:pPr>
      <w:r>
        <w:t>FCDO</w:t>
      </w:r>
      <w:r>
        <w:tab/>
        <w:t>Foreign, Commonwealth and Development Office</w:t>
      </w:r>
    </w:p>
    <w:p w14:paraId="4A08355C" w14:textId="7252051B" w:rsidR="003431FE" w:rsidRDefault="003431FE" w:rsidP="00F6707F">
      <w:pPr>
        <w:pStyle w:val="ItadNormalText"/>
      </w:pPr>
      <w:r>
        <w:t>FIND</w:t>
      </w:r>
      <w:r w:rsidR="00DC1D8D">
        <w:t xml:space="preserve"> </w:t>
      </w:r>
      <w:r w:rsidR="00237EBE">
        <w:tab/>
      </w:r>
      <w:r w:rsidRPr="003431FE">
        <w:t>Foundation for Innovative New Diagnostics</w:t>
      </w:r>
    </w:p>
    <w:p w14:paraId="2781AD10" w14:textId="08B2AFA0" w:rsidR="00F6707F" w:rsidRDefault="00F6707F" w:rsidP="00F6707F">
      <w:pPr>
        <w:pStyle w:val="ItadNormalText"/>
      </w:pPr>
      <w:r>
        <w:t>GAP</w:t>
      </w:r>
      <w:r>
        <w:tab/>
        <w:t>Global Action Plan</w:t>
      </w:r>
    </w:p>
    <w:p w14:paraId="34D91774" w14:textId="77777777" w:rsidR="00F6707F" w:rsidRDefault="00F6707F" w:rsidP="00F6707F">
      <w:pPr>
        <w:pStyle w:val="ItadNormalText"/>
      </w:pPr>
      <w:r>
        <w:t>GARP</w:t>
      </w:r>
      <w:r>
        <w:tab/>
        <w:t>Global Antibiotic Resistance Partnership</w:t>
      </w:r>
    </w:p>
    <w:p w14:paraId="5EAE94BE" w14:textId="77777777" w:rsidR="00F6707F" w:rsidRDefault="00F6707F" w:rsidP="00F6707F">
      <w:pPr>
        <w:pStyle w:val="ItadNormalText"/>
      </w:pPr>
      <w:r>
        <w:t>GLASS</w:t>
      </w:r>
      <w:r>
        <w:tab/>
        <w:t>Global Antimicrobial Resistance Surveillance System</w:t>
      </w:r>
    </w:p>
    <w:p w14:paraId="6A851E15" w14:textId="5E938B3F" w:rsidR="00F6707F" w:rsidRDefault="00F6707F" w:rsidP="00F6707F">
      <w:pPr>
        <w:pStyle w:val="ItadNormalText"/>
      </w:pPr>
      <w:r>
        <w:t>HH</w:t>
      </w:r>
      <w:r>
        <w:tab/>
        <w:t>Human Health</w:t>
      </w:r>
    </w:p>
    <w:p w14:paraId="0186DDC5" w14:textId="77777777" w:rsidR="007926BD" w:rsidRDefault="007926BD" w:rsidP="007926BD">
      <w:pPr>
        <w:pStyle w:val="ItadNormalText"/>
      </w:pPr>
      <w:r>
        <w:t>HI</w:t>
      </w:r>
      <w:r>
        <w:tab/>
        <w:t>Host Institution</w:t>
      </w:r>
    </w:p>
    <w:p w14:paraId="0C1E393C" w14:textId="12394B2F" w:rsidR="007926BD" w:rsidRDefault="007926BD" w:rsidP="00F6707F">
      <w:pPr>
        <w:pStyle w:val="ItadNormalText"/>
      </w:pPr>
      <w:r>
        <w:t>HMG</w:t>
      </w:r>
      <w:r>
        <w:tab/>
        <w:t>His Majesty’s Government</w:t>
      </w:r>
    </w:p>
    <w:p w14:paraId="1CA0D0B0" w14:textId="27AF535F" w:rsidR="00F6707F" w:rsidRDefault="00F6707F" w:rsidP="00F6707F">
      <w:pPr>
        <w:pStyle w:val="ItadNormalText"/>
      </w:pPr>
      <w:r>
        <w:t>ICAI</w:t>
      </w:r>
      <w:r>
        <w:tab/>
        <w:t>Independent Commission for Aid Impact</w:t>
      </w:r>
    </w:p>
    <w:p w14:paraId="6072BE9C" w14:textId="77777777" w:rsidR="00F6707F" w:rsidRDefault="00F6707F" w:rsidP="00F6707F">
      <w:pPr>
        <w:pStyle w:val="ItadNormalText"/>
      </w:pPr>
      <w:r>
        <w:t>IPC</w:t>
      </w:r>
      <w:r>
        <w:tab/>
        <w:t>Infection Prevention and Control</w:t>
      </w:r>
    </w:p>
    <w:p w14:paraId="2D075C3C" w14:textId="1859F8E6" w:rsidR="00F6707F" w:rsidRDefault="00F6707F" w:rsidP="00F6707F">
      <w:pPr>
        <w:pStyle w:val="ItadNormalText"/>
      </w:pPr>
      <w:r>
        <w:t>KI</w:t>
      </w:r>
      <w:r>
        <w:tab/>
        <w:t>Key Informant</w:t>
      </w:r>
    </w:p>
    <w:p w14:paraId="0E6A436A" w14:textId="77777777" w:rsidR="00F6707F" w:rsidRDefault="00F6707F" w:rsidP="00F6707F">
      <w:pPr>
        <w:pStyle w:val="ItadNormalText"/>
      </w:pPr>
      <w:r>
        <w:t>KII</w:t>
      </w:r>
      <w:r>
        <w:tab/>
        <w:t>Key Informant Interview</w:t>
      </w:r>
    </w:p>
    <w:p w14:paraId="7B393DDB" w14:textId="6F5B0329" w:rsidR="00A23F35" w:rsidRDefault="00A23F35" w:rsidP="00F6707F">
      <w:pPr>
        <w:pStyle w:val="ItadNormalText"/>
      </w:pPr>
      <w:r>
        <w:t>KPI</w:t>
      </w:r>
      <w:r>
        <w:tab/>
        <w:t>Key Performance Indicator</w:t>
      </w:r>
    </w:p>
    <w:p w14:paraId="1DA8F647" w14:textId="7905E9F3" w:rsidR="00F6707F" w:rsidRDefault="00F6707F" w:rsidP="00F6707F">
      <w:pPr>
        <w:pStyle w:val="ItadNormalText"/>
      </w:pPr>
      <w:r>
        <w:t>LMICs</w:t>
      </w:r>
      <w:r>
        <w:tab/>
        <w:t>Low</w:t>
      </w:r>
      <w:r w:rsidR="00A23F35">
        <w:t xml:space="preserve"> </w:t>
      </w:r>
      <w:r>
        <w:t>and Middle-Income Countries</w:t>
      </w:r>
    </w:p>
    <w:p w14:paraId="75FCC12E" w14:textId="77777777" w:rsidR="00F6707F" w:rsidRDefault="00F6707F" w:rsidP="00F6707F">
      <w:pPr>
        <w:pStyle w:val="ItadNormalText"/>
      </w:pPr>
      <w:r>
        <w:lastRenderedPageBreak/>
        <w:t>LSHTM</w:t>
      </w:r>
      <w:r>
        <w:tab/>
        <w:t>The London School of Hygiene and Tropical Medicine</w:t>
      </w:r>
    </w:p>
    <w:p w14:paraId="7C8BF52C" w14:textId="29860A46" w:rsidR="00F6707F" w:rsidRPr="008F3362" w:rsidRDefault="00F6707F" w:rsidP="00F6707F">
      <w:pPr>
        <w:pStyle w:val="ItadNormalText"/>
      </w:pPr>
      <w:r w:rsidRPr="008F3362">
        <w:t>MA</w:t>
      </w:r>
      <w:r w:rsidRPr="008F3362">
        <w:tab/>
      </w:r>
      <w:r w:rsidR="004E39BF" w:rsidRPr="008F3362">
        <w:t xml:space="preserve">Management </w:t>
      </w:r>
      <w:r w:rsidRPr="008F3362">
        <w:t>Agent (Mott MacDonald)</w:t>
      </w:r>
    </w:p>
    <w:p w14:paraId="204995BE" w14:textId="77777777" w:rsidR="00F6707F" w:rsidRDefault="00F6707F" w:rsidP="00F6707F">
      <w:pPr>
        <w:pStyle w:val="ItadNormalText"/>
      </w:pPr>
      <w:r>
        <w:t>MAAP</w:t>
      </w:r>
      <w:r>
        <w:tab/>
        <w:t>Mapping Antimicrobial Resistance and Antimicrobial Use Partnership</w:t>
      </w:r>
    </w:p>
    <w:p w14:paraId="6FE21C75" w14:textId="77777777" w:rsidR="00F6707F" w:rsidRDefault="00F6707F" w:rsidP="00F6707F">
      <w:pPr>
        <w:pStyle w:val="ItadNormalText"/>
      </w:pPr>
      <w:r>
        <w:t>NAP</w:t>
      </w:r>
      <w:r>
        <w:tab/>
        <w:t>National Action Plan for AMR</w:t>
      </w:r>
    </w:p>
    <w:p w14:paraId="506ABA1A" w14:textId="77777777" w:rsidR="00F6707F" w:rsidRDefault="00F6707F" w:rsidP="00F6707F">
      <w:pPr>
        <w:pStyle w:val="ItadNormalText"/>
      </w:pPr>
      <w:r>
        <w:t>NRL</w:t>
      </w:r>
      <w:r>
        <w:tab/>
        <w:t>National Reference Laboratory</w:t>
      </w:r>
    </w:p>
    <w:p w14:paraId="29724C31" w14:textId="77777777" w:rsidR="00F6707F" w:rsidRDefault="00F6707F" w:rsidP="00F6707F">
      <w:pPr>
        <w:pStyle w:val="ItadNormalText"/>
      </w:pPr>
      <w:r>
        <w:t>ODA</w:t>
      </w:r>
      <w:r>
        <w:tab/>
        <w:t>Official Development Assistance</w:t>
      </w:r>
    </w:p>
    <w:p w14:paraId="20E1B7FD" w14:textId="1644E4BE" w:rsidR="00F6707F" w:rsidRDefault="00F6707F" w:rsidP="00F6707F">
      <w:pPr>
        <w:pStyle w:val="ItadNormalText"/>
      </w:pPr>
      <w:r>
        <w:t>ODI</w:t>
      </w:r>
      <w:r>
        <w:tab/>
        <w:t>Overseas Development Institute</w:t>
      </w:r>
    </w:p>
    <w:p w14:paraId="0E5C23A1" w14:textId="77777777" w:rsidR="00F6707F" w:rsidRDefault="00F6707F" w:rsidP="00F6707F">
      <w:pPr>
        <w:pStyle w:val="ItadNormalText"/>
      </w:pPr>
      <w:r>
        <w:t>OECD</w:t>
      </w:r>
      <w:r>
        <w:tab/>
        <w:t>Organisation for Economic Co-operation and Development</w:t>
      </w:r>
    </w:p>
    <w:p w14:paraId="5843D534" w14:textId="77777777" w:rsidR="00F6707F" w:rsidRDefault="00F6707F" w:rsidP="00F6707F">
      <w:pPr>
        <w:pStyle w:val="ItadNormalText"/>
      </w:pPr>
      <w:r>
        <w:t>PEA</w:t>
      </w:r>
      <w:r>
        <w:tab/>
        <w:t>Political Economy Analysis</w:t>
      </w:r>
    </w:p>
    <w:p w14:paraId="4F751DBE" w14:textId="6C08012C" w:rsidR="00F6707F" w:rsidRDefault="00F6707F" w:rsidP="00F6707F">
      <w:pPr>
        <w:pStyle w:val="ItadNormalText"/>
      </w:pPr>
      <w:r>
        <w:t>QA</w:t>
      </w:r>
      <w:r>
        <w:tab/>
        <w:t>Quality Assurance</w:t>
      </w:r>
    </w:p>
    <w:p w14:paraId="5B02DA83" w14:textId="2B508FE6" w:rsidR="00F6707F" w:rsidRDefault="00F6707F" w:rsidP="00F6707F">
      <w:pPr>
        <w:pStyle w:val="ItadNormalText"/>
      </w:pPr>
      <w:r>
        <w:t>RADAAR</w:t>
      </w:r>
      <w:r>
        <w:tab/>
        <w:t xml:space="preserve">Regional Antimicrobial </w:t>
      </w:r>
      <w:r w:rsidR="00A5658C">
        <w:t xml:space="preserve">Resistance </w:t>
      </w:r>
      <w:r>
        <w:t>Data Analysis for Advocacy, Response</w:t>
      </w:r>
    </w:p>
    <w:p w14:paraId="1785C14A" w14:textId="1F5903F9" w:rsidR="00F6707F" w:rsidRDefault="00F6707F" w:rsidP="00F6707F">
      <w:pPr>
        <w:pStyle w:val="ItadNormalText"/>
      </w:pPr>
      <w:r>
        <w:t>RG</w:t>
      </w:r>
      <w:r>
        <w:tab/>
        <w:t>Regional Grant</w:t>
      </w:r>
    </w:p>
    <w:p w14:paraId="30C98B45" w14:textId="0A21DF03" w:rsidR="00F6707F" w:rsidRDefault="00F6707F" w:rsidP="00F6707F">
      <w:pPr>
        <w:pStyle w:val="ItadNormalText"/>
      </w:pPr>
      <w:r>
        <w:t>SOP</w:t>
      </w:r>
      <w:r>
        <w:tab/>
        <w:t>Standard Operating Procedure</w:t>
      </w:r>
    </w:p>
    <w:p w14:paraId="3EF0947C" w14:textId="50752A77" w:rsidR="00F6707F" w:rsidRDefault="00F6707F" w:rsidP="00F6707F">
      <w:pPr>
        <w:pStyle w:val="ItadNormalText"/>
      </w:pPr>
      <w:r>
        <w:t>ToC</w:t>
      </w:r>
      <w:r>
        <w:tab/>
        <w:t>Theory of Change</w:t>
      </w:r>
    </w:p>
    <w:p w14:paraId="2E7D23CA" w14:textId="77777777" w:rsidR="00F6707F" w:rsidRDefault="00F6707F" w:rsidP="00F6707F">
      <w:pPr>
        <w:pStyle w:val="ItadNormalText"/>
      </w:pPr>
      <w:r>
        <w:t>ToR</w:t>
      </w:r>
      <w:r>
        <w:tab/>
        <w:t>Terms of Reference</w:t>
      </w:r>
    </w:p>
    <w:p w14:paraId="5EA24F33" w14:textId="035CBEEC" w:rsidR="00F6707F" w:rsidRDefault="00F6707F" w:rsidP="00F6707F">
      <w:pPr>
        <w:pStyle w:val="ItadNormalText"/>
      </w:pPr>
      <w:proofErr w:type="spellStart"/>
      <w:r>
        <w:t>TrACSS</w:t>
      </w:r>
      <w:proofErr w:type="spellEnd"/>
      <w:r>
        <w:tab/>
        <w:t>Global Database for Tracking AMR Country Self-Assessment Survey</w:t>
      </w:r>
    </w:p>
    <w:p w14:paraId="10A48212" w14:textId="77777777" w:rsidR="00F6707F" w:rsidRDefault="00F6707F" w:rsidP="00F6707F">
      <w:pPr>
        <w:pStyle w:val="ItadNormalText"/>
      </w:pPr>
      <w:r>
        <w:t>UNEP</w:t>
      </w:r>
      <w:r>
        <w:tab/>
        <w:t>United Nations Environment Programme</w:t>
      </w:r>
    </w:p>
    <w:p w14:paraId="121EAFD4" w14:textId="77777777" w:rsidR="00F6707F" w:rsidRDefault="00F6707F" w:rsidP="00F6707F">
      <w:pPr>
        <w:pStyle w:val="ItadNormalText"/>
      </w:pPr>
      <w:r>
        <w:t>USAID</w:t>
      </w:r>
      <w:r>
        <w:tab/>
        <w:t>United States Agency for International Development</w:t>
      </w:r>
    </w:p>
    <w:p w14:paraId="3E4C0FD6" w14:textId="77777777" w:rsidR="00F6707F" w:rsidRDefault="00F6707F" w:rsidP="00F6707F">
      <w:pPr>
        <w:pStyle w:val="ItadNormalText"/>
      </w:pPr>
      <w:r>
        <w:t>VfM</w:t>
      </w:r>
      <w:r>
        <w:tab/>
        <w:t>Value for Money</w:t>
      </w:r>
    </w:p>
    <w:p w14:paraId="07086AF3" w14:textId="77777777" w:rsidR="00F6707F" w:rsidRDefault="00F6707F" w:rsidP="00F6707F">
      <w:pPr>
        <w:pStyle w:val="ItadNormalText"/>
      </w:pPr>
      <w:r>
        <w:t>WHO</w:t>
      </w:r>
      <w:r>
        <w:tab/>
        <w:t>World Health Organization</w:t>
      </w:r>
    </w:p>
    <w:p w14:paraId="5918C360" w14:textId="6A007B93" w:rsidR="00635512" w:rsidRDefault="00635512" w:rsidP="00F6707F">
      <w:pPr>
        <w:pStyle w:val="ItadNormalText"/>
      </w:pPr>
      <w:r>
        <w:t>WHONET</w:t>
      </w:r>
      <w:r>
        <w:tab/>
      </w:r>
      <w:r w:rsidR="00CF123C">
        <w:rPr>
          <w:rFonts w:asciiTheme="minorHAnsi" w:hAnsiTheme="minorHAnsi" w:cstheme="minorHAnsi"/>
          <w:color w:val="212529"/>
          <w:shd w:val="clear" w:color="auto" w:fill="FFFFFF"/>
        </w:rPr>
        <w:t>F</w:t>
      </w:r>
      <w:r w:rsidR="00A0724A" w:rsidRPr="00DA7BBF">
        <w:rPr>
          <w:rFonts w:asciiTheme="minorHAnsi" w:hAnsiTheme="minorHAnsi" w:cstheme="minorHAnsi"/>
          <w:color w:val="212529"/>
          <w:shd w:val="clear" w:color="auto" w:fill="FFFFFF"/>
        </w:rPr>
        <w:t>ree software for management and analysis of microbiology laboratory</w:t>
      </w:r>
      <w:r w:rsidR="00A0724A">
        <w:rPr>
          <w:rFonts w:asciiTheme="minorHAnsi" w:hAnsiTheme="minorHAnsi" w:cstheme="minorHAnsi"/>
          <w:color w:val="212529"/>
          <w:shd w:val="clear" w:color="auto" w:fill="FFFFFF"/>
        </w:rPr>
        <w:t xml:space="preserve"> (whonet.org)</w:t>
      </w:r>
    </w:p>
    <w:p w14:paraId="4C462FAF" w14:textId="6801B1C9" w:rsidR="00EC37B5" w:rsidRDefault="00F6707F" w:rsidP="00215994">
      <w:pPr>
        <w:pStyle w:val="ItadNormalText"/>
      </w:pPr>
      <w:r>
        <w:t>WOAH</w:t>
      </w:r>
      <w:r>
        <w:tab/>
        <w:t xml:space="preserve">World Organisation for Animal </w:t>
      </w:r>
      <w:r w:rsidR="00D42B8B" w:rsidRPr="00640F9E" w:rsidDel="00F6707F">
        <w:t>Health</w:t>
      </w:r>
      <w:r w:rsidR="00A6761E">
        <w:t xml:space="preserve"> (formerly OIE)</w:t>
      </w:r>
    </w:p>
    <w:bookmarkEnd w:id="20"/>
    <w:p w14:paraId="5B61C5DE" w14:textId="0DB43B6B" w:rsidR="000C2D5D" w:rsidRDefault="000C2D5D">
      <w:pPr>
        <w:rPr>
          <w:color w:val="3B3B3C"/>
        </w:rPr>
      </w:pPr>
      <w:r>
        <w:br w:type="page"/>
      </w:r>
    </w:p>
    <w:p w14:paraId="667DC568" w14:textId="520FCF31" w:rsidR="00C37940" w:rsidRPr="00DD57DD" w:rsidRDefault="00C37940" w:rsidP="009E1C88">
      <w:pPr>
        <w:pStyle w:val="ItadH1"/>
        <w:spacing w:after="0"/>
      </w:pPr>
      <w:bookmarkStart w:id="22" w:name="_Toc144715791"/>
      <w:bookmarkStart w:id="23" w:name="_Toc118796320"/>
      <w:bookmarkEnd w:id="18"/>
      <w:r w:rsidRPr="002E67FF">
        <w:lastRenderedPageBreak/>
        <w:t>Executive</w:t>
      </w:r>
      <w:r w:rsidRPr="00DD57DD">
        <w:t xml:space="preserve"> </w:t>
      </w:r>
      <w:r w:rsidR="00A75A9E" w:rsidRPr="00EA6B47">
        <w:t>s</w:t>
      </w:r>
      <w:r w:rsidRPr="00EA6B47">
        <w:t>ummary</w:t>
      </w:r>
      <w:bookmarkEnd w:id="22"/>
    </w:p>
    <w:p w14:paraId="020B14C8" w14:textId="2BD4F7AA" w:rsidR="00C37940" w:rsidRPr="00FD7A5C" w:rsidRDefault="00C37940" w:rsidP="005E5A56">
      <w:pPr>
        <w:pStyle w:val="ItadNormalText"/>
        <w:spacing w:before="0"/>
        <w:rPr>
          <w:noProof/>
        </w:rPr>
      </w:pPr>
      <w:bookmarkStart w:id="24" w:name="_Hlk128999414"/>
      <w:r w:rsidRPr="00C44D7F">
        <w:rPr>
          <w:noProof/>
        </w:rPr>
        <w:t>The O</w:t>
      </w:r>
      <w:r w:rsidR="00AA6A7B">
        <w:rPr>
          <w:noProof/>
        </w:rPr>
        <w:t>’</w:t>
      </w:r>
      <w:r w:rsidRPr="00C44D7F">
        <w:rPr>
          <w:noProof/>
        </w:rPr>
        <w:t>Neil</w:t>
      </w:r>
      <w:r w:rsidR="00295BAA">
        <w:rPr>
          <w:noProof/>
        </w:rPr>
        <w:t>l</w:t>
      </w:r>
      <w:r w:rsidRPr="00C44D7F">
        <w:rPr>
          <w:noProof/>
        </w:rPr>
        <w:t xml:space="preserve"> report</w:t>
      </w:r>
      <w:r w:rsidR="00C02374">
        <w:rPr>
          <w:rStyle w:val="FootnoteReference"/>
          <w:noProof/>
        </w:rPr>
        <w:footnoteReference w:id="2"/>
      </w:r>
      <w:r w:rsidRPr="00C44D7F">
        <w:rPr>
          <w:noProof/>
        </w:rPr>
        <w:t xml:space="preserve"> estimated that by 2050, drug</w:t>
      </w:r>
      <w:r w:rsidR="00E278CD">
        <w:rPr>
          <w:noProof/>
        </w:rPr>
        <w:t>-resistant</w:t>
      </w:r>
      <w:r w:rsidRPr="00C44D7F">
        <w:rPr>
          <w:noProof/>
        </w:rPr>
        <w:t xml:space="preserve"> infections or </w:t>
      </w:r>
      <w:r w:rsidR="000C2D5D">
        <w:rPr>
          <w:bCs/>
          <w:noProof/>
        </w:rPr>
        <w:t>a</w:t>
      </w:r>
      <w:r w:rsidRPr="00C44D7F">
        <w:rPr>
          <w:bCs/>
          <w:noProof/>
        </w:rPr>
        <w:t>nti</w:t>
      </w:r>
      <w:r w:rsidR="000C2D5D">
        <w:rPr>
          <w:bCs/>
          <w:noProof/>
        </w:rPr>
        <w:t>microbial</w:t>
      </w:r>
      <w:r w:rsidRPr="00C44D7F">
        <w:rPr>
          <w:bCs/>
          <w:noProof/>
        </w:rPr>
        <w:t xml:space="preserve"> </w:t>
      </w:r>
      <w:r w:rsidR="000C2D5D">
        <w:rPr>
          <w:bCs/>
          <w:noProof/>
        </w:rPr>
        <w:t>r</w:t>
      </w:r>
      <w:r w:rsidRPr="00C44D7F">
        <w:rPr>
          <w:bCs/>
          <w:noProof/>
        </w:rPr>
        <w:t xml:space="preserve">esistance (AMR) </w:t>
      </w:r>
      <w:r w:rsidRPr="00C44D7F">
        <w:rPr>
          <w:noProof/>
        </w:rPr>
        <w:t xml:space="preserve">could kill 10 million people per year at a potential cost of US$100 trillion in global economic output. </w:t>
      </w:r>
      <w:r w:rsidR="00E8649A">
        <w:rPr>
          <w:noProof/>
        </w:rPr>
        <w:t>I</w:t>
      </w:r>
      <w:r w:rsidR="00E8649A" w:rsidRPr="00FD7A5C">
        <w:rPr>
          <w:rFonts w:cs="Calibri"/>
          <w:noProof/>
        </w:rPr>
        <w:t>n 2019</w:t>
      </w:r>
      <w:r w:rsidR="00E8649A">
        <w:rPr>
          <w:rFonts w:cs="Calibri"/>
          <w:noProof/>
        </w:rPr>
        <w:t xml:space="preserve">, </w:t>
      </w:r>
      <w:r w:rsidRPr="00FD7A5C">
        <w:rPr>
          <w:noProof/>
        </w:rPr>
        <w:t>estimates suggest</w:t>
      </w:r>
      <w:r w:rsidR="00E8649A">
        <w:rPr>
          <w:noProof/>
        </w:rPr>
        <w:t>ed</w:t>
      </w:r>
      <w:r w:rsidRPr="00FD7A5C">
        <w:rPr>
          <w:noProof/>
        </w:rPr>
        <w:t xml:space="preserve"> tha</w:t>
      </w:r>
      <w:r w:rsidRPr="00FD7A5C">
        <w:rPr>
          <w:rFonts w:cs="Calibri"/>
          <w:noProof/>
        </w:rPr>
        <w:t>t globally 4.95 million deaths were associated with bacterial AMR, including</w:t>
      </w:r>
      <w:r w:rsidR="00E8649A">
        <w:rPr>
          <w:rFonts w:cs="Calibri"/>
          <w:noProof/>
        </w:rPr>
        <w:t xml:space="preserve"> the</w:t>
      </w:r>
      <w:r w:rsidRPr="00FD7A5C">
        <w:rPr>
          <w:rFonts w:cs="Calibri"/>
          <w:noProof/>
        </w:rPr>
        <w:t xml:space="preserve"> 1.27 million deaths directly attributable to such resistance.</w:t>
      </w:r>
    </w:p>
    <w:p w14:paraId="478163FA" w14:textId="202B574F" w:rsidR="00425EEF" w:rsidRDefault="00C37940" w:rsidP="00425EEF">
      <w:pPr>
        <w:pStyle w:val="ItadNormalText"/>
        <w:rPr>
          <w:noProof/>
        </w:rPr>
      </w:pPr>
      <w:bookmarkStart w:id="25" w:name="_Hlk128992355"/>
      <w:r w:rsidRPr="00FD7A5C">
        <w:rPr>
          <w:bCs/>
          <w:noProof/>
        </w:rPr>
        <w:t xml:space="preserve">The Fleming Fund was established in 2015 by the </w:t>
      </w:r>
      <w:r w:rsidR="004C065E" w:rsidRPr="00FD7A5C">
        <w:rPr>
          <w:noProof/>
        </w:rPr>
        <w:t>UK Government</w:t>
      </w:r>
      <w:r w:rsidR="00AA6A7B">
        <w:rPr>
          <w:noProof/>
        </w:rPr>
        <w:t>’</w:t>
      </w:r>
      <w:r w:rsidR="004C065E" w:rsidRPr="00FD7A5C">
        <w:rPr>
          <w:noProof/>
        </w:rPr>
        <w:t xml:space="preserve">s Department of Health and Social Care (DHSC) </w:t>
      </w:r>
      <w:r w:rsidR="004C065E">
        <w:rPr>
          <w:noProof/>
        </w:rPr>
        <w:t xml:space="preserve">using </w:t>
      </w:r>
      <w:r w:rsidR="004C065E" w:rsidRPr="00F434E1">
        <w:rPr>
          <w:noProof/>
        </w:rPr>
        <w:t xml:space="preserve">Official Development Assistance </w:t>
      </w:r>
      <w:r w:rsidR="004C065E">
        <w:rPr>
          <w:noProof/>
        </w:rPr>
        <w:t>(ODA) funding</w:t>
      </w:r>
      <w:r w:rsidRPr="00FD7A5C">
        <w:rPr>
          <w:bCs/>
          <w:noProof/>
        </w:rPr>
        <w:t xml:space="preserve"> to tackle the threat of AMR in </w:t>
      </w:r>
      <w:r w:rsidR="007832E3" w:rsidRPr="00FD7A5C">
        <w:rPr>
          <w:bCs/>
          <w:noProof/>
        </w:rPr>
        <w:t>low</w:t>
      </w:r>
      <w:r w:rsidR="007832E3">
        <w:rPr>
          <w:bCs/>
          <w:noProof/>
        </w:rPr>
        <w:t xml:space="preserve"> </w:t>
      </w:r>
      <w:r w:rsidR="007832E3" w:rsidRPr="00FD7A5C">
        <w:rPr>
          <w:bCs/>
          <w:noProof/>
        </w:rPr>
        <w:t xml:space="preserve">and middle-income countries </w:t>
      </w:r>
      <w:r w:rsidRPr="00FD7A5C">
        <w:rPr>
          <w:bCs/>
          <w:noProof/>
        </w:rPr>
        <w:t>(LMICs)</w:t>
      </w:r>
      <w:r w:rsidR="00CB0C0A">
        <w:rPr>
          <w:bCs/>
          <w:noProof/>
        </w:rPr>
        <w:t xml:space="preserve"> through </w:t>
      </w:r>
      <w:r w:rsidRPr="00FD7A5C">
        <w:rPr>
          <w:bCs/>
          <w:noProof/>
        </w:rPr>
        <w:t>a One Health</w:t>
      </w:r>
      <w:r w:rsidRPr="00FD7A5C">
        <w:rPr>
          <w:rFonts w:cs="Calibri"/>
          <w:bCs/>
          <w:noProof/>
          <w:sz w:val="21"/>
          <w:szCs w:val="21"/>
          <w:vertAlign w:val="superscript"/>
        </w:rPr>
        <w:footnoteReference w:id="3"/>
      </w:r>
      <w:r w:rsidRPr="00FD7A5C">
        <w:rPr>
          <w:bCs/>
          <w:noProof/>
        </w:rPr>
        <w:t xml:space="preserve"> approach. The initial phase, for £265 million, ran over a </w:t>
      </w:r>
      <w:r w:rsidR="006368B7">
        <w:rPr>
          <w:bCs/>
          <w:noProof/>
        </w:rPr>
        <w:t>five</w:t>
      </w:r>
      <w:r w:rsidRPr="00FD7A5C">
        <w:rPr>
          <w:bCs/>
          <w:noProof/>
        </w:rPr>
        <w:t>-year period (2016</w:t>
      </w:r>
      <w:r w:rsidR="00FE0D71">
        <w:rPr>
          <w:bCs/>
          <w:noProof/>
        </w:rPr>
        <w:t>–</w:t>
      </w:r>
      <w:r w:rsidRPr="00FD7A5C">
        <w:rPr>
          <w:bCs/>
          <w:noProof/>
        </w:rPr>
        <w:t xml:space="preserve">2021) </w:t>
      </w:r>
      <w:r w:rsidR="00D2783B">
        <w:rPr>
          <w:bCs/>
          <w:noProof/>
        </w:rPr>
        <w:t xml:space="preserve">and was </w:t>
      </w:r>
      <w:r w:rsidRPr="00FD7A5C">
        <w:rPr>
          <w:bCs/>
          <w:noProof/>
        </w:rPr>
        <w:t>extended to March 2023. With its focus on improving laboratory capacity and diagnosis as well as data and surveillance of AMR</w:t>
      </w:r>
      <w:r w:rsidR="00E8649A">
        <w:rPr>
          <w:bCs/>
          <w:noProof/>
        </w:rPr>
        <w:t>,</w:t>
      </w:r>
      <w:r w:rsidRPr="00FD7A5C">
        <w:rPr>
          <w:bCs/>
          <w:noProof/>
        </w:rPr>
        <w:t xml:space="preserve"> it contributes directly to one of the five pillars in the </w:t>
      </w:r>
      <w:r w:rsidRPr="00FD7A5C">
        <w:rPr>
          <w:noProof/>
        </w:rPr>
        <w:t>2015 Global Action Plan (GAP) on AMR. Significant impact to address AMR requires progress across all five pillars</w:t>
      </w:r>
      <w:r w:rsidR="00C9754D">
        <w:rPr>
          <w:noProof/>
        </w:rPr>
        <w:t xml:space="preserve"> of the GAP</w:t>
      </w:r>
      <w:r w:rsidRPr="00FD7A5C">
        <w:rPr>
          <w:noProof/>
        </w:rPr>
        <w:t xml:space="preserve"> and while </w:t>
      </w:r>
      <w:r w:rsidRPr="00FD7A5C" w:rsidDel="00052E3D">
        <w:rPr>
          <w:noProof/>
        </w:rPr>
        <w:t xml:space="preserve">the </w:t>
      </w:r>
      <w:r w:rsidR="00052E3D">
        <w:rPr>
          <w:noProof/>
        </w:rPr>
        <w:t>Fleming Fund</w:t>
      </w:r>
      <w:r w:rsidR="00AA6A7B">
        <w:rPr>
          <w:noProof/>
        </w:rPr>
        <w:t>’</w:t>
      </w:r>
      <w:r w:rsidRPr="00FD7A5C">
        <w:rPr>
          <w:noProof/>
        </w:rPr>
        <w:t xml:space="preserve">s contribution </w:t>
      </w:r>
      <w:r w:rsidR="00F434E1">
        <w:rPr>
          <w:noProof/>
        </w:rPr>
        <w:t>is</w:t>
      </w:r>
      <w:r w:rsidRPr="00FD7A5C">
        <w:rPr>
          <w:noProof/>
        </w:rPr>
        <w:t xml:space="preserve"> necessary, it is</w:t>
      </w:r>
      <w:r w:rsidR="006368B7">
        <w:rPr>
          <w:noProof/>
        </w:rPr>
        <w:t xml:space="preserve"> </w:t>
      </w:r>
      <w:r w:rsidR="00831914" w:rsidRPr="00FD7A5C">
        <w:rPr>
          <w:noProof/>
        </w:rPr>
        <w:t>n</w:t>
      </w:r>
      <w:r w:rsidR="00831914">
        <w:rPr>
          <w:noProof/>
        </w:rPr>
        <w:t>o</w:t>
      </w:r>
      <w:r w:rsidR="00831914" w:rsidRPr="00FD7A5C">
        <w:rPr>
          <w:noProof/>
        </w:rPr>
        <w:t xml:space="preserve">t </w:t>
      </w:r>
      <w:r w:rsidRPr="00FD7A5C">
        <w:rPr>
          <w:noProof/>
        </w:rPr>
        <w:t xml:space="preserve">expected to be sufficient on its own. </w:t>
      </w:r>
      <w:r w:rsidR="00554A1E" w:rsidRPr="00554A1E">
        <w:rPr>
          <w:noProof/>
        </w:rPr>
        <w:t>Ultimately, achieving the Fleming Fund</w:t>
      </w:r>
      <w:r w:rsidR="00AA6A7B">
        <w:rPr>
          <w:noProof/>
        </w:rPr>
        <w:t>’</w:t>
      </w:r>
      <w:r w:rsidR="00554A1E" w:rsidRPr="00554A1E">
        <w:rPr>
          <w:noProof/>
        </w:rPr>
        <w:t xml:space="preserve">s intended impact relies on other actors too. </w:t>
      </w:r>
      <w:r w:rsidRPr="00C44D7F">
        <w:rPr>
          <w:noProof/>
        </w:rPr>
        <w:t xml:space="preserve">At </w:t>
      </w:r>
      <w:bookmarkStart w:id="26" w:name="_Hlk128993171"/>
      <w:r w:rsidR="003B369F">
        <w:rPr>
          <w:noProof/>
        </w:rPr>
        <w:t xml:space="preserve">the </w:t>
      </w:r>
      <w:bookmarkEnd w:id="26"/>
      <w:r w:rsidRPr="00C44D7F">
        <w:rPr>
          <w:noProof/>
        </w:rPr>
        <w:t xml:space="preserve">country level, this </w:t>
      </w:r>
      <w:bookmarkEnd w:id="24"/>
      <w:bookmarkEnd w:id="25"/>
      <w:r w:rsidR="00425EEF" w:rsidRPr="00425EEF">
        <w:rPr>
          <w:noProof/>
        </w:rPr>
        <w:t>depends on how well One Health AMR National Action Plans (NAPs) are implemented.</w:t>
      </w:r>
    </w:p>
    <w:p w14:paraId="32033B9A" w14:textId="64DE274E" w:rsidR="000242EB" w:rsidRDefault="00535408" w:rsidP="00425EEF">
      <w:pPr>
        <w:pStyle w:val="ItadNormalText"/>
        <w:rPr>
          <w:noProof/>
        </w:rPr>
      </w:pPr>
      <w:bookmarkStart w:id="27" w:name="_Hlk136420326"/>
      <w:r>
        <w:t xml:space="preserve">In 2016, the </w:t>
      </w:r>
      <w:r w:rsidR="000242EB" w:rsidRPr="007E5774">
        <w:t>DHSC commissioned Itad to provide an independent evaluation function for the Fleming Fund grants programme</w:t>
      </w:r>
      <w:r w:rsidR="00961114">
        <w:t xml:space="preserve">. This </w:t>
      </w:r>
      <w:r w:rsidR="00FF452F">
        <w:t xml:space="preserve">is a summative </w:t>
      </w:r>
      <w:r w:rsidR="00A05B62">
        <w:t xml:space="preserve">report on what the Fleming Fund has </w:t>
      </w:r>
      <w:r w:rsidR="00C51DFE">
        <w:t>achieved during its first phase</w:t>
      </w:r>
      <w:r w:rsidR="003D0BE3">
        <w:t xml:space="preserve">, based on data collected up to </w:t>
      </w:r>
      <w:r w:rsidR="00DA0090">
        <w:t>July 2022</w:t>
      </w:r>
      <w:r w:rsidR="00C51DFE">
        <w:t xml:space="preserve">. More detail on the </w:t>
      </w:r>
      <w:r w:rsidR="0045671B">
        <w:t xml:space="preserve">methodology is included at the end of this </w:t>
      </w:r>
      <w:r w:rsidR="00FE0D71">
        <w:t>e</w:t>
      </w:r>
      <w:r w:rsidR="0045671B">
        <w:t xml:space="preserve">xecutive </w:t>
      </w:r>
      <w:r w:rsidR="00FE0D71">
        <w:t>s</w:t>
      </w:r>
      <w:r w:rsidR="0045671B">
        <w:t>ummary.</w:t>
      </w:r>
    </w:p>
    <w:p w14:paraId="018BB14F" w14:textId="45A3D81F" w:rsidR="00C37940" w:rsidRPr="009B265B" w:rsidRDefault="00C37940" w:rsidP="009E1C88">
      <w:pPr>
        <w:pStyle w:val="ItadH2"/>
        <w:spacing w:after="0"/>
        <w:ind w:right="-336"/>
        <w:rPr>
          <w:noProof/>
          <w:lang w:eastAsia="en-GB"/>
        </w:rPr>
      </w:pPr>
      <w:bookmarkStart w:id="28" w:name="_Toc144049332"/>
      <w:bookmarkStart w:id="29" w:name="_Toc144715792"/>
      <w:bookmarkEnd w:id="27"/>
      <w:r w:rsidRPr="009B265B">
        <w:rPr>
          <w:noProof/>
        </w:rPr>
        <w:t>How has the Fleming Fund been designed</w:t>
      </w:r>
      <w:r w:rsidR="00C541B2">
        <w:rPr>
          <w:noProof/>
        </w:rPr>
        <w:t>,</w:t>
      </w:r>
      <w:r w:rsidRPr="009B265B">
        <w:rPr>
          <w:noProof/>
        </w:rPr>
        <w:t xml:space="preserve"> and implications for </w:t>
      </w:r>
      <w:r w:rsidR="00D40E61">
        <w:rPr>
          <w:noProof/>
        </w:rPr>
        <w:t xml:space="preserve">the </w:t>
      </w:r>
      <w:r w:rsidRPr="009B265B">
        <w:rPr>
          <w:noProof/>
        </w:rPr>
        <w:t>evaluation</w:t>
      </w:r>
      <w:r w:rsidR="00FE0D71">
        <w:rPr>
          <w:noProof/>
        </w:rPr>
        <w:t>?</w:t>
      </w:r>
      <w:bookmarkEnd w:id="28"/>
      <w:bookmarkEnd w:id="29"/>
    </w:p>
    <w:p w14:paraId="7E676FEE" w14:textId="53873F26" w:rsidR="00C37940" w:rsidRPr="00FD7A5C" w:rsidRDefault="00CB0C0A" w:rsidP="005E5A56">
      <w:pPr>
        <w:pStyle w:val="ItadNormalText"/>
        <w:spacing w:before="0"/>
        <w:rPr>
          <w:noProof/>
        </w:rPr>
      </w:pPr>
      <w:bookmarkStart w:id="30" w:name="_Hlk128999662"/>
      <w:r>
        <w:rPr>
          <w:noProof/>
        </w:rPr>
        <w:t xml:space="preserve">The Fleming Fund </w:t>
      </w:r>
      <w:r w:rsidR="00C37940" w:rsidRPr="00FD7A5C">
        <w:rPr>
          <w:noProof/>
        </w:rPr>
        <w:t xml:space="preserve">is delivered through grants to a range of partners across four </w:t>
      </w:r>
      <w:r w:rsidR="00B06EEC">
        <w:rPr>
          <w:noProof/>
        </w:rPr>
        <w:t>workstream</w:t>
      </w:r>
      <w:r w:rsidR="00C37940" w:rsidRPr="00FD7A5C">
        <w:rPr>
          <w:noProof/>
        </w:rPr>
        <w:t>s</w:t>
      </w:r>
      <w:r w:rsidR="0066533C">
        <w:rPr>
          <w:noProof/>
        </w:rPr>
        <w:t xml:space="preserve"> </w:t>
      </w:r>
      <w:r w:rsidR="0066533C">
        <w:t xml:space="preserve">(see </w:t>
      </w:r>
      <w:r w:rsidR="0066533C">
        <w:fldChar w:fldCharType="begin"/>
      </w:r>
      <w:r w:rsidR="0066533C">
        <w:instrText xml:space="preserve"> REF _Ref118193813 \h </w:instrText>
      </w:r>
      <w:r w:rsidR="0066533C">
        <w:fldChar w:fldCharType="separate"/>
      </w:r>
      <w:r w:rsidR="00DD454A">
        <w:t xml:space="preserve">Figure </w:t>
      </w:r>
      <w:r w:rsidR="00DD454A">
        <w:rPr>
          <w:noProof/>
        </w:rPr>
        <w:t>2</w:t>
      </w:r>
      <w:r w:rsidR="0066533C">
        <w:fldChar w:fldCharType="end"/>
      </w:r>
      <w:r w:rsidR="0066533C">
        <w:t>)</w:t>
      </w:r>
      <w:r w:rsidR="00C37940" w:rsidRPr="00FD7A5C">
        <w:rPr>
          <w:noProof/>
        </w:rPr>
        <w:t>.</w:t>
      </w:r>
      <w:r w:rsidR="00A116A3">
        <w:rPr>
          <w:rStyle w:val="FootnoteReference"/>
          <w:noProof/>
        </w:rPr>
        <w:footnoteReference w:id="4"/>
      </w:r>
      <w:r w:rsidR="00C37940" w:rsidRPr="00FD7A5C">
        <w:rPr>
          <w:noProof/>
        </w:rPr>
        <w:t xml:space="preserve"> </w:t>
      </w:r>
      <w:r w:rsidR="001E3F75">
        <w:rPr>
          <w:noProof/>
        </w:rPr>
        <w:t>T</w:t>
      </w:r>
      <w:r w:rsidR="00C37940" w:rsidRPr="00FD7A5C">
        <w:rPr>
          <w:noProof/>
        </w:rPr>
        <w:t xml:space="preserve">wo workstreams </w:t>
      </w:r>
      <w:r w:rsidR="00941229">
        <w:rPr>
          <w:noProof/>
        </w:rPr>
        <w:t>aim</w:t>
      </w:r>
      <w:r w:rsidR="00C37940" w:rsidRPr="00FD7A5C">
        <w:rPr>
          <w:noProof/>
        </w:rPr>
        <w:t xml:space="preserve"> to </w:t>
      </w:r>
      <w:r w:rsidR="00FE0D71">
        <w:rPr>
          <w:noProof/>
        </w:rPr>
        <w:t>(</w:t>
      </w:r>
      <w:r w:rsidR="00CB7DC2">
        <w:rPr>
          <w:noProof/>
        </w:rPr>
        <w:t xml:space="preserve">a) </w:t>
      </w:r>
      <w:r w:rsidR="00C37940" w:rsidRPr="00FD7A5C">
        <w:rPr>
          <w:noProof/>
        </w:rPr>
        <w:t>focus international attention on the need for AMR surveillance</w:t>
      </w:r>
      <w:r w:rsidR="00FE0D71">
        <w:rPr>
          <w:noProof/>
        </w:rPr>
        <w:t>; (</w:t>
      </w:r>
      <w:r w:rsidR="00CB7DC2">
        <w:rPr>
          <w:noProof/>
        </w:rPr>
        <w:t xml:space="preserve">b) </w:t>
      </w:r>
      <w:r w:rsidR="00C37940" w:rsidRPr="00FD7A5C">
        <w:rPr>
          <w:noProof/>
        </w:rPr>
        <w:t>develop and implement guidance and protocols for the standardised collection of data so it can be shared nationally and internationally</w:t>
      </w:r>
      <w:r w:rsidR="00FE0D71">
        <w:rPr>
          <w:noProof/>
        </w:rPr>
        <w:t>;</w:t>
      </w:r>
      <w:r w:rsidR="00F4069A" w:rsidRPr="00FD7A5C">
        <w:rPr>
          <w:noProof/>
        </w:rPr>
        <w:t xml:space="preserve"> </w:t>
      </w:r>
      <w:r w:rsidR="00C37940" w:rsidRPr="00FD7A5C">
        <w:rPr>
          <w:noProof/>
        </w:rPr>
        <w:t xml:space="preserve">and </w:t>
      </w:r>
      <w:r w:rsidR="00CB7DC2">
        <w:rPr>
          <w:noProof/>
        </w:rPr>
        <w:t xml:space="preserve">c) </w:t>
      </w:r>
      <w:r w:rsidR="00C37940" w:rsidRPr="00FD7A5C">
        <w:rPr>
          <w:noProof/>
        </w:rPr>
        <w:t xml:space="preserve">support the development of One Health AMR </w:t>
      </w:r>
      <w:r w:rsidR="00657143">
        <w:rPr>
          <w:noProof/>
        </w:rPr>
        <w:t>NAPs</w:t>
      </w:r>
      <w:r w:rsidR="00C37940" w:rsidRPr="00FD7A5C">
        <w:rPr>
          <w:noProof/>
        </w:rPr>
        <w:t>. Much of this work has been delivered by The Food and Agriculture Organization of the United Nations (FAO), the World Organisation for Animal Health (WOAH) and the World Health Organization (WHO).</w:t>
      </w:r>
    </w:p>
    <w:p w14:paraId="613E0BD3" w14:textId="578EB7D1" w:rsidR="00C37940" w:rsidRPr="00FD7A5C" w:rsidRDefault="00C37940" w:rsidP="00D31F22">
      <w:pPr>
        <w:pStyle w:val="ItadNormalText"/>
        <w:rPr>
          <w:noProof/>
        </w:rPr>
      </w:pPr>
      <w:r w:rsidRPr="00FD7A5C">
        <w:rPr>
          <w:noProof/>
        </w:rPr>
        <w:t xml:space="preserve">The other two workstreams aim to support the generation and analysis of data in a range of LMICs. For these workstreams, </w:t>
      </w:r>
      <w:r w:rsidR="00CB7DC2">
        <w:rPr>
          <w:noProof/>
        </w:rPr>
        <w:t xml:space="preserve">the </w:t>
      </w:r>
      <w:r w:rsidRPr="00FD7A5C">
        <w:rPr>
          <w:noProof/>
        </w:rPr>
        <w:t xml:space="preserve">DHSC contracted </w:t>
      </w:r>
      <w:r w:rsidR="004E39BF" w:rsidRPr="004E39BF">
        <w:rPr>
          <w:noProof/>
        </w:rPr>
        <w:t>Mott MacDonald</w:t>
      </w:r>
      <w:r w:rsidRPr="00FD7A5C">
        <w:rPr>
          <w:noProof/>
        </w:rPr>
        <w:t xml:space="preserve"> as the Fleming Fund Management Agent (MA)</w:t>
      </w:r>
      <w:r w:rsidRPr="00FD7A5C">
        <w:rPr>
          <w:i/>
          <w:iCs/>
          <w:noProof/>
        </w:rPr>
        <w:t xml:space="preserve">. </w:t>
      </w:r>
      <w:r w:rsidRPr="00FD7A5C">
        <w:rPr>
          <w:noProof/>
        </w:rPr>
        <w:t>The MA designed a range of grants, based on detailed country needs assessments, to support country priorities for AMR</w:t>
      </w:r>
      <w:r w:rsidR="00290E6E">
        <w:rPr>
          <w:noProof/>
        </w:rPr>
        <w:t>,</w:t>
      </w:r>
      <w:r w:rsidR="00290E6E" w:rsidRPr="00290E6E">
        <w:t xml:space="preserve"> </w:t>
      </w:r>
      <w:r w:rsidR="00290E6E" w:rsidRPr="00290E6E">
        <w:rPr>
          <w:noProof/>
        </w:rPr>
        <w:t>antimicrobial consumption/use (AMC/U)</w:t>
      </w:r>
      <w:r w:rsidR="00CB7DC2" w:rsidRPr="00FD7A5C">
        <w:rPr>
          <w:noProof/>
        </w:rPr>
        <w:t xml:space="preserve"> </w:t>
      </w:r>
      <w:r w:rsidRPr="00FD7A5C">
        <w:rPr>
          <w:noProof/>
        </w:rPr>
        <w:t xml:space="preserve">surveillance as set out in </w:t>
      </w:r>
      <w:r w:rsidR="00CB7DC2">
        <w:rPr>
          <w:noProof/>
        </w:rPr>
        <w:t xml:space="preserve">the </w:t>
      </w:r>
      <w:r w:rsidRPr="00FD7A5C">
        <w:rPr>
          <w:noProof/>
        </w:rPr>
        <w:t xml:space="preserve">AMR </w:t>
      </w:r>
      <w:r w:rsidR="00657143">
        <w:rPr>
          <w:noProof/>
        </w:rPr>
        <w:t>NAPs</w:t>
      </w:r>
      <w:r w:rsidRPr="00FD7A5C">
        <w:rPr>
          <w:noProof/>
        </w:rPr>
        <w:t xml:space="preserve">. </w:t>
      </w:r>
      <w:r w:rsidR="003D5DFE">
        <w:rPr>
          <w:noProof/>
        </w:rPr>
        <w:t>The d</w:t>
      </w:r>
      <w:r w:rsidRPr="00FD7A5C">
        <w:rPr>
          <w:noProof/>
        </w:rPr>
        <w:t>elivery of these grants was tendered by the MA using a competitive process. As of late 2022, grant support ha</w:t>
      </w:r>
      <w:r w:rsidR="004533D3">
        <w:rPr>
          <w:noProof/>
        </w:rPr>
        <w:t>d</w:t>
      </w:r>
      <w:r w:rsidRPr="00FD7A5C">
        <w:rPr>
          <w:noProof/>
        </w:rPr>
        <w:t xml:space="preserve"> been delivered in 23 focus countries</w:t>
      </w:r>
      <w:r w:rsidR="00CB7DC2">
        <w:rPr>
          <w:noProof/>
        </w:rPr>
        <w:t>.</w:t>
      </w:r>
      <w:r w:rsidR="00610708">
        <w:rPr>
          <w:rStyle w:val="FootnoteReference"/>
          <w:noProof/>
        </w:rPr>
        <w:footnoteReference w:id="5"/>
      </w:r>
      <w:r w:rsidRPr="00FD7A5C">
        <w:rPr>
          <w:noProof/>
        </w:rPr>
        <w:t xml:space="preserve"> </w:t>
      </w:r>
      <w:r w:rsidRPr="00FD7A5C">
        <w:t>Across the</w:t>
      </w:r>
      <w:r w:rsidR="009211FD">
        <w:t>se</w:t>
      </w:r>
      <w:r w:rsidRPr="00FD7A5C">
        <w:t xml:space="preserve"> </w:t>
      </w:r>
      <w:r w:rsidR="000344B7">
        <w:t xml:space="preserve">focus </w:t>
      </w:r>
      <w:r w:rsidRPr="00FD7A5C">
        <w:t xml:space="preserve">countries, </w:t>
      </w:r>
      <w:r w:rsidR="00E759CD">
        <w:t>81</w:t>
      </w:r>
      <w:r w:rsidRPr="00FD7A5C">
        <w:t xml:space="preserve"> grants </w:t>
      </w:r>
      <w:r w:rsidR="00E759CD">
        <w:t>delivered</w:t>
      </w:r>
      <w:r w:rsidR="00E759CD" w:rsidRPr="00FD7A5C">
        <w:t xml:space="preserve"> </w:t>
      </w:r>
      <w:r w:rsidRPr="00FD7A5C">
        <w:t>relevant outputs.</w:t>
      </w:r>
    </w:p>
    <w:p w14:paraId="16E534EF" w14:textId="04FE336A" w:rsidR="00C37940" w:rsidRPr="009B265B" w:rsidRDefault="00C37940" w:rsidP="009E1C88">
      <w:pPr>
        <w:pStyle w:val="ItadH2"/>
        <w:spacing w:after="0"/>
        <w:rPr>
          <w:noProof/>
        </w:rPr>
      </w:pPr>
      <w:bookmarkStart w:id="31" w:name="_Toc144049333"/>
      <w:bookmarkStart w:id="32" w:name="_Toc144715793"/>
      <w:bookmarkEnd w:id="30"/>
      <w:r>
        <w:rPr>
          <w:noProof/>
        </w:rPr>
        <w:t>Key findings by evaluation question</w:t>
      </w:r>
      <w:bookmarkEnd w:id="31"/>
      <w:bookmarkEnd w:id="32"/>
    </w:p>
    <w:p w14:paraId="19341079" w14:textId="270715DE" w:rsidR="005C2A23" w:rsidRPr="00504E64" w:rsidRDefault="00040849" w:rsidP="00504E64">
      <w:pPr>
        <w:pStyle w:val="ItadNormalText"/>
        <w:pBdr>
          <w:top w:val="single" w:sz="4" w:space="1" w:color="auto"/>
          <w:left w:val="single" w:sz="4" w:space="4" w:color="auto"/>
          <w:bottom w:val="single" w:sz="4" w:space="1" w:color="auto"/>
          <w:right w:val="single" w:sz="4" w:space="4" w:color="auto"/>
        </w:pBdr>
        <w:shd w:val="clear" w:color="auto" w:fill="E7F4D9" w:themeFill="accent6" w:themeFillTint="33"/>
        <w:rPr>
          <w:b/>
          <w:bCs/>
          <w:noProof/>
        </w:rPr>
      </w:pPr>
      <w:bookmarkStart w:id="33" w:name="_Hlk128999748"/>
      <w:r w:rsidRPr="00504E64">
        <w:rPr>
          <w:b/>
          <w:bCs/>
          <w:noProof/>
        </w:rPr>
        <w:t>Even in a</w:t>
      </w:r>
      <w:r w:rsidR="00C37940" w:rsidRPr="00504E64">
        <w:rPr>
          <w:b/>
          <w:bCs/>
          <w:noProof/>
        </w:rPr>
        <w:t xml:space="preserve"> challenging context, the Fleming Fund has delivered significant outputs </w:t>
      </w:r>
      <w:r w:rsidR="00450F1B" w:rsidRPr="0048523F">
        <w:rPr>
          <w:b/>
          <w:bCs/>
          <w:noProof/>
        </w:rPr>
        <w:t>to</w:t>
      </w:r>
      <w:r w:rsidR="00C37940" w:rsidRPr="00504E64">
        <w:rPr>
          <w:b/>
          <w:bCs/>
          <w:noProof/>
        </w:rPr>
        <w:t xml:space="preserve"> develop </w:t>
      </w:r>
      <w:bookmarkStart w:id="34" w:name="_Hlk120811230"/>
      <w:r w:rsidR="00C37940" w:rsidRPr="00504E64">
        <w:rPr>
          <w:b/>
          <w:bCs/>
          <w:noProof/>
        </w:rPr>
        <w:t>laboratory capacity and enhanc</w:t>
      </w:r>
      <w:r w:rsidR="00450F1B" w:rsidRPr="0048523F">
        <w:rPr>
          <w:b/>
          <w:bCs/>
          <w:noProof/>
        </w:rPr>
        <w:t>e</w:t>
      </w:r>
      <w:r w:rsidR="00C37940" w:rsidRPr="00504E64">
        <w:rPr>
          <w:b/>
          <w:bCs/>
          <w:noProof/>
        </w:rPr>
        <w:t xml:space="preserve"> surveillance systems across the 23 countries</w:t>
      </w:r>
      <w:bookmarkEnd w:id="34"/>
      <w:r w:rsidR="00C37940" w:rsidRPr="00504E64">
        <w:rPr>
          <w:b/>
          <w:bCs/>
          <w:noProof/>
        </w:rPr>
        <w:t>. These outputs have contributed to str</w:t>
      </w:r>
      <w:r w:rsidR="00A1327B" w:rsidRPr="0048523F">
        <w:rPr>
          <w:b/>
          <w:bCs/>
          <w:noProof/>
        </w:rPr>
        <w:t xml:space="preserve">onger </w:t>
      </w:r>
      <w:r w:rsidR="00C37940" w:rsidRPr="00504E64">
        <w:rPr>
          <w:b/>
          <w:bCs/>
          <w:noProof/>
        </w:rPr>
        <w:t>laborator</w:t>
      </w:r>
      <w:r w:rsidR="00A1327B" w:rsidRPr="0048523F">
        <w:rPr>
          <w:b/>
          <w:bCs/>
          <w:noProof/>
        </w:rPr>
        <w:t>ies</w:t>
      </w:r>
      <w:r w:rsidR="00C37940" w:rsidRPr="00504E64">
        <w:rPr>
          <w:b/>
          <w:bCs/>
          <w:noProof/>
        </w:rPr>
        <w:t xml:space="preserve"> and workforce</w:t>
      </w:r>
      <w:r w:rsidR="00A1327B" w:rsidRPr="0048523F">
        <w:rPr>
          <w:b/>
          <w:bCs/>
          <w:noProof/>
        </w:rPr>
        <w:t>s</w:t>
      </w:r>
      <w:r w:rsidR="00C37940" w:rsidRPr="00504E64">
        <w:rPr>
          <w:b/>
          <w:bCs/>
          <w:noProof/>
        </w:rPr>
        <w:t xml:space="preserve"> to a varying degree across all of our focus countries.</w:t>
      </w:r>
      <w:r w:rsidR="00750195" w:rsidRPr="0048523F">
        <w:rPr>
          <w:b/>
          <w:bCs/>
          <w:noProof/>
        </w:rPr>
        <w:t xml:space="preserve"> </w:t>
      </w:r>
      <w:r w:rsidR="00C027A1" w:rsidRPr="0048523F">
        <w:rPr>
          <w:b/>
          <w:bCs/>
          <w:noProof/>
        </w:rPr>
        <w:t>T</w:t>
      </w:r>
      <w:r w:rsidR="00FD2AE8" w:rsidRPr="0048523F">
        <w:rPr>
          <w:b/>
          <w:bCs/>
          <w:noProof/>
        </w:rPr>
        <w:t>h</w:t>
      </w:r>
      <w:r w:rsidR="00C027A1" w:rsidRPr="0048523F">
        <w:rPr>
          <w:b/>
          <w:bCs/>
          <w:noProof/>
        </w:rPr>
        <w:t>is</w:t>
      </w:r>
      <w:r w:rsidR="005C2A23" w:rsidRPr="00504E64">
        <w:rPr>
          <w:b/>
          <w:bCs/>
          <w:noProof/>
        </w:rPr>
        <w:t xml:space="preserve"> first phase of Fleming Fund support </w:t>
      </w:r>
      <w:r w:rsidR="006F4DCF" w:rsidRPr="0048523F">
        <w:rPr>
          <w:b/>
          <w:bCs/>
          <w:noProof/>
        </w:rPr>
        <w:t>aimed</w:t>
      </w:r>
      <w:r w:rsidR="00AB09A2" w:rsidRPr="0048523F">
        <w:rPr>
          <w:b/>
          <w:bCs/>
          <w:noProof/>
        </w:rPr>
        <w:t xml:space="preserve"> </w:t>
      </w:r>
      <w:r w:rsidR="005C2A23" w:rsidRPr="00504E64">
        <w:rPr>
          <w:b/>
          <w:bCs/>
          <w:noProof/>
        </w:rPr>
        <w:t>to build the foundations for AMR surveillance</w:t>
      </w:r>
      <w:r w:rsidR="006F4DCF" w:rsidRPr="0048523F">
        <w:rPr>
          <w:b/>
          <w:bCs/>
          <w:noProof/>
        </w:rPr>
        <w:t>, which is an incremental process</w:t>
      </w:r>
      <w:r w:rsidR="00453ECF">
        <w:rPr>
          <w:b/>
          <w:bCs/>
          <w:noProof/>
        </w:rPr>
        <w:t xml:space="preserve"> and takes time</w:t>
      </w:r>
      <w:r w:rsidR="005C2A23" w:rsidRPr="00504E64">
        <w:rPr>
          <w:b/>
          <w:bCs/>
          <w:noProof/>
        </w:rPr>
        <w:t>.</w:t>
      </w:r>
      <w:r w:rsidR="005C2A23" w:rsidRPr="00504E64" w:rsidDel="00AB12BF">
        <w:rPr>
          <w:b/>
          <w:bCs/>
          <w:noProof/>
        </w:rPr>
        <w:t xml:space="preserve"> </w:t>
      </w:r>
      <w:r w:rsidR="006F4DCF" w:rsidRPr="0048523F">
        <w:rPr>
          <w:b/>
          <w:bCs/>
          <w:noProof/>
        </w:rPr>
        <w:t>A</w:t>
      </w:r>
      <w:r w:rsidR="005C2A23" w:rsidRPr="00504E64">
        <w:rPr>
          <w:b/>
          <w:bCs/>
          <w:noProof/>
        </w:rPr>
        <w:t>chiev</w:t>
      </w:r>
      <w:r w:rsidR="006F4DCF" w:rsidRPr="0048523F">
        <w:rPr>
          <w:b/>
          <w:bCs/>
          <w:noProof/>
        </w:rPr>
        <w:t>ing</w:t>
      </w:r>
      <w:r w:rsidR="005C2A23" w:rsidRPr="00504E64">
        <w:rPr>
          <w:b/>
          <w:bCs/>
          <w:noProof/>
        </w:rPr>
        <w:t xml:space="preserve"> strategic outcomes, such as significant use of AMR data and analysis to drive or inform anticipated policy, regulatory and behavioural change was expected to be the focus of subsequent phases of support.</w:t>
      </w:r>
    </w:p>
    <w:p w14:paraId="2C42F314" w14:textId="51BC3494" w:rsidR="00005F8B" w:rsidRDefault="00453ECF" w:rsidP="00712FF1">
      <w:pPr>
        <w:pStyle w:val="ItadNormalText"/>
        <w:rPr>
          <w:noProof/>
        </w:rPr>
      </w:pPr>
      <w:r>
        <w:rPr>
          <w:noProof/>
        </w:rPr>
        <w:lastRenderedPageBreak/>
        <w:t xml:space="preserve">We present below headline findings for each of our </w:t>
      </w:r>
      <w:r w:rsidR="007832E3">
        <w:rPr>
          <w:noProof/>
        </w:rPr>
        <w:t>e</w:t>
      </w:r>
      <w:r>
        <w:rPr>
          <w:noProof/>
        </w:rPr>
        <w:t xml:space="preserve">valuation </w:t>
      </w:r>
      <w:r w:rsidR="007832E3">
        <w:rPr>
          <w:noProof/>
        </w:rPr>
        <w:t>q</w:t>
      </w:r>
      <w:r>
        <w:rPr>
          <w:noProof/>
        </w:rPr>
        <w:t>uestions (</w:t>
      </w:r>
      <w:r w:rsidR="00C37940" w:rsidRPr="00260A19">
        <w:rPr>
          <w:noProof/>
        </w:rPr>
        <w:t>EQs</w:t>
      </w:r>
      <w:r>
        <w:rPr>
          <w:noProof/>
        </w:rPr>
        <w:t>)</w:t>
      </w:r>
      <w:r w:rsidR="000D3823">
        <w:rPr>
          <w:noProof/>
        </w:rPr>
        <w:t>.</w:t>
      </w:r>
      <w:r>
        <w:rPr>
          <w:noProof/>
        </w:rPr>
        <w:t xml:space="preserve"> </w:t>
      </w:r>
      <w:r w:rsidR="000D3823">
        <w:rPr>
          <w:noProof/>
        </w:rPr>
        <w:t>These</w:t>
      </w:r>
      <w:r>
        <w:rPr>
          <w:noProof/>
        </w:rPr>
        <w:t xml:space="preserve"> </w:t>
      </w:r>
      <w:r w:rsidR="00C37940" w:rsidRPr="00260A19">
        <w:rPr>
          <w:noProof/>
        </w:rPr>
        <w:t xml:space="preserve">focus on the outcomes </w:t>
      </w:r>
      <w:r w:rsidR="000D3823">
        <w:rPr>
          <w:noProof/>
        </w:rPr>
        <w:t>to which the</w:t>
      </w:r>
      <w:r w:rsidR="000D3823" w:rsidRPr="00260A19">
        <w:rPr>
          <w:noProof/>
        </w:rPr>
        <w:t xml:space="preserve"> </w:t>
      </w:r>
      <w:r w:rsidR="00B9275C">
        <w:rPr>
          <w:noProof/>
        </w:rPr>
        <w:t>Fleming F</w:t>
      </w:r>
      <w:r w:rsidR="00A11D04">
        <w:rPr>
          <w:noProof/>
        </w:rPr>
        <w:t>u</w:t>
      </w:r>
      <w:r w:rsidR="00B9275C">
        <w:rPr>
          <w:noProof/>
        </w:rPr>
        <w:t>nd</w:t>
      </w:r>
      <w:r w:rsidR="000D3823">
        <w:rPr>
          <w:noProof/>
        </w:rPr>
        <w:t>-</w:t>
      </w:r>
      <w:r w:rsidR="00B9275C">
        <w:rPr>
          <w:noProof/>
        </w:rPr>
        <w:t xml:space="preserve">supported </w:t>
      </w:r>
      <w:r w:rsidR="00C37940" w:rsidRPr="00260A19">
        <w:rPr>
          <w:noProof/>
        </w:rPr>
        <w:t>capacity contribute</w:t>
      </w:r>
      <w:r w:rsidR="000D3823">
        <w:rPr>
          <w:noProof/>
        </w:rPr>
        <w:t>d</w:t>
      </w:r>
      <w:r w:rsidR="004B25BD">
        <w:rPr>
          <w:noProof/>
        </w:rPr>
        <w:t>,</w:t>
      </w:r>
      <w:r w:rsidR="00C37940" w:rsidRPr="00260A19">
        <w:rPr>
          <w:noProof/>
        </w:rPr>
        <w:t xml:space="preserve"> in terms of changes in quantity, quality and use of AMR surveillance data.</w:t>
      </w:r>
      <w:r w:rsidR="00712FF1">
        <w:rPr>
          <w:noProof/>
        </w:rPr>
        <w:t xml:space="preserve"> </w:t>
      </w:r>
      <w:r w:rsidR="00005F8B" w:rsidRPr="00FD7A5C">
        <w:rPr>
          <w:noProof/>
        </w:rPr>
        <w:t xml:space="preserve">When assessing results across these 23 countries, </w:t>
      </w:r>
      <w:r w:rsidR="00005F8B">
        <w:rPr>
          <w:noProof/>
        </w:rPr>
        <w:t xml:space="preserve">the following </w:t>
      </w:r>
      <w:r w:rsidR="00005F8B" w:rsidRPr="00FD7A5C">
        <w:rPr>
          <w:noProof/>
        </w:rPr>
        <w:t>things are important to note</w:t>
      </w:r>
      <w:r w:rsidR="00005F8B">
        <w:rPr>
          <w:noProof/>
        </w:rPr>
        <w:t>:</w:t>
      </w:r>
    </w:p>
    <w:p w14:paraId="1F7419D0" w14:textId="372F3AC4" w:rsidR="00005F8B" w:rsidRDefault="00005F8B" w:rsidP="002E67FF">
      <w:pPr>
        <w:pStyle w:val="ItadBullets"/>
        <w:rPr>
          <w:noProof/>
        </w:rPr>
      </w:pPr>
      <w:bookmarkStart w:id="35" w:name="_Hlk136423082"/>
      <w:r>
        <w:rPr>
          <w:noProof/>
        </w:rPr>
        <w:t>T</w:t>
      </w:r>
      <w:r w:rsidRPr="000A6313">
        <w:rPr>
          <w:noProof/>
        </w:rPr>
        <w:t>here was substantial variation in the status of</w:t>
      </w:r>
      <w:r>
        <w:rPr>
          <w:noProof/>
        </w:rPr>
        <w:t xml:space="preserve"> the</w:t>
      </w:r>
      <w:r w:rsidRPr="000A6313">
        <w:rPr>
          <w:noProof/>
        </w:rPr>
        <w:t xml:space="preserve"> laboratories that the Fleming Fund was due to support. For example, sites in some countries </w:t>
      </w:r>
      <w:r>
        <w:rPr>
          <w:noProof/>
        </w:rPr>
        <w:t>did not have</w:t>
      </w:r>
      <w:r w:rsidRPr="000A6313">
        <w:rPr>
          <w:noProof/>
        </w:rPr>
        <w:t xml:space="preserve"> reliable water and electricity supplies</w:t>
      </w:r>
      <w:r w:rsidR="000D3823">
        <w:rPr>
          <w:noProof/>
        </w:rPr>
        <w:t>,</w:t>
      </w:r>
      <w:r w:rsidRPr="000A6313">
        <w:rPr>
          <w:noProof/>
        </w:rPr>
        <w:t xml:space="preserve"> </w:t>
      </w:r>
      <w:r w:rsidR="000D3823">
        <w:rPr>
          <w:noProof/>
        </w:rPr>
        <w:t>which</w:t>
      </w:r>
      <w:r w:rsidR="000D3823" w:rsidRPr="000A6313">
        <w:rPr>
          <w:noProof/>
        </w:rPr>
        <w:t xml:space="preserve"> </w:t>
      </w:r>
      <w:r w:rsidRPr="000A6313">
        <w:rPr>
          <w:noProof/>
        </w:rPr>
        <w:t xml:space="preserve">are fundamental </w:t>
      </w:r>
      <w:r w:rsidR="000D3823">
        <w:rPr>
          <w:noProof/>
        </w:rPr>
        <w:t>for</w:t>
      </w:r>
      <w:r w:rsidRPr="000A6313">
        <w:rPr>
          <w:noProof/>
        </w:rPr>
        <w:t xml:space="preserve"> AMR testing</w:t>
      </w:r>
      <w:r w:rsidR="002F06A4">
        <w:rPr>
          <w:noProof/>
        </w:rPr>
        <w:t xml:space="preserve"> whereas in some others laboratories were </w:t>
      </w:r>
      <w:r w:rsidR="001D0661">
        <w:rPr>
          <w:noProof/>
        </w:rPr>
        <w:t xml:space="preserve">much more sophisticated (see </w:t>
      </w:r>
      <w:r w:rsidR="001D0661" w:rsidRPr="001D0661">
        <w:t xml:space="preserve"> </w:t>
      </w:r>
      <w:r w:rsidR="001D0661" w:rsidRPr="008343D7">
        <w:t>Annex 15</w:t>
      </w:r>
      <w:r w:rsidR="001D0661">
        <w:t>, Table 47</w:t>
      </w:r>
      <w:r w:rsidR="00E1406D">
        <w:t>, for more on this variation</w:t>
      </w:r>
      <w:r w:rsidR="001D0661">
        <w:t>)</w:t>
      </w:r>
      <w:r w:rsidRPr="000A6313">
        <w:rPr>
          <w:noProof/>
        </w:rPr>
        <w:t>.</w:t>
      </w:r>
    </w:p>
    <w:bookmarkEnd w:id="35"/>
    <w:p w14:paraId="440F0858" w14:textId="2257E943" w:rsidR="00005F8B" w:rsidRDefault="00005F8B" w:rsidP="002E67FF">
      <w:pPr>
        <w:pStyle w:val="ItadBullets"/>
        <w:rPr>
          <w:noProof/>
        </w:rPr>
      </w:pPr>
      <w:r>
        <w:rPr>
          <w:noProof/>
        </w:rPr>
        <w:t>G</w:t>
      </w:r>
      <w:r w:rsidRPr="00FD7A5C">
        <w:rPr>
          <w:noProof/>
        </w:rPr>
        <w:t xml:space="preserve">rant start dates were staggered across countries so </w:t>
      </w:r>
      <w:r>
        <w:rPr>
          <w:noProof/>
        </w:rPr>
        <w:t xml:space="preserve">that </w:t>
      </w:r>
      <w:r w:rsidRPr="00FD7A5C">
        <w:rPr>
          <w:noProof/>
        </w:rPr>
        <w:t>the duration and level</w:t>
      </w:r>
      <w:r w:rsidRPr="00FD7A5C" w:rsidDel="00045217">
        <w:rPr>
          <w:noProof/>
        </w:rPr>
        <w:t xml:space="preserve"> </w:t>
      </w:r>
      <w:r w:rsidRPr="00FD7A5C">
        <w:rPr>
          <w:noProof/>
        </w:rPr>
        <w:t xml:space="preserve">of overall support from </w:t>
      </w:r>
      <w:r w:rsidRPr="00FD7A5C" w:rsidDel="00052E3D">
        <w:rPr>
          <w:noProof/>
        </w:rPr>
        <w:t xml:space="preserve">the </w:t>
      </w:r>
      <w:r>
        <w:rPr>
          <w:noProof/>
        </w:rPr>
        <w:t>Fleming Fund</w:t>
      </w:r>
      <w:r w:rsidRPr="00FD7A5C">
        <w:rPr>
          <w:noProof/>
        </w:rPr>
        <w:t xml:space="preserve"> varied across countries.</w:t>
      </w:r>
    </w:p>
    <w:p w14:paraId="0FBFF243" w14:textId="660D5335" w:rsidR="00005F8B" w:rsidRDefault="00005F8B" w:rsidP="002E67FF">
      <w:pPr>
        <w:pStyle w:val="ItadBullets"/>
        <w:rPr>
          <w:noProof/>
        </w:rPr>
      </w:pPr>
      <w:r w:rsidRPr="00FD7A5C">
        <w:rPr>
          <w:noProof/>
        </w:rPr>
        <w:t>The pace of implement</w:t>
      </w:r>
      <w:r w:rsidR="000D3823">
        <w:rPr>
          <w:noProof/>
        </w:rPr>
        <w:t>ing</w:t>
      </w:r>
      <w:r w:rsidRPr="00FD7A5C">
        <w:rPr>
          <w:noProof/>
        </w:rPr>
        <w:t xml:space="preserve"> many grants was affected by COVID-19 restrictions.</w:t>
      </w:r>
    </w:p>
    <w:p w14:paraId="51BDA318" w14:textId="75762EF2" w:rsidR="00005F8B" w:rsidRDefault="00005F8B" w:rsidP="002E67FF">
      <w:pPr>
        <w:pStyle w:val="ItadBullets"/>
        <w:rPr>
          <w:noProof/>
        </w:rPr>
      </w:pPr>
      <w:r>
        <w:rPr>
          <w:noProof/>
        </w:rPr>
        <w:t>T</w:t>
      </w:r>
      <w:r w:rsidRPr="00FD7A5C">
        <w:rPr>
          <w:noProof/>
        </w:rPr>
        <w:t>he process of building a surveillance system is incremental and results</w:t>
      </w:r>
      <w:r w:rsidR="00550DF3">
        <w:rPr>
          <w:noProof/>
        </w:rPr>
        <w:t>,</w:t>
      </w:r>
      <w:r w:rsidRPr="00FD7A5C">
        <w:rPr>
          <w:noProof/>
        </w:rPr>
        <w:t xml:space="preserve"> in terms of data generation</w:t>
      </w:r>
      <w:r w:rsidR="00550DF3">
        <w:rPr>
          <w:noProof/>
        </w:rPr>
        <w:t>,</w:t>
      </w:r>
      <w:r w:rsidRPr="00FD7A5C">
        <w:rPr>
          <w:noProof/>
        </w:rPr>
        <w:t xml:space="preserve"> were not expected before 36 months</w:t>
      </w:r>
      <w:r w:rsidR="00290E6E">
        <w:rPr>
          <w:noProof/>
        </w:rPr>
        <w:t>’</w:t>
      </w:r>
      <w:r w:rsidRPr="00FD7A5C">
        <w:rPr>
          <w:noProof/>
        </w:rPr>
        <w:t xml:space="preserve"> support. By </w:t>
      </w:r>
      <w:r w:rsidR="00F90A97">
        <w:rPr>
          <w:noProof/>
        </w:rPr>
        <w:t xml:space="preserve">the </w:t>
      </w:r>
      <w:r w:rsidRPr="00FD7A5C">
        <w:rPr>
          <w:noProof/>
        </w:rPr>
        <w:t>end of June 2022,</w:t>
      </w:r>
      <w:r w:rsidRPr="00FD7A5C" w:rsidDel="00DA34CE">
        <w:rPr>
          <w:noProof/>
        </w:rPr>
        <w:t xml:space="preserve"> </w:t>
      </w:r>
      <w:r w:rsidRPr="00FD7A5C">
        <w:rPr>
          <w:noProof/>
        </w:rPr>
        <w:t xml:space="preserve">16 of the 23 countries </w:t>
      </w:r>
      <w:r>
        <w:rPr>
          <w:noProof/>
        </w:rPr>
        <w:t>had</w:t>
      </w:r>
      <w:r w:rsidRPr="00FD7A5C">
        <w:rPr>
          <w:noProof/>
        </w:rPr>
        <w:t xml:space="preserve"> received 36 or more months</w:t>
      </w:r>
      <w:r w:rsidR="00290E6E">
        <w:rPr>
          <w:noProof/>
        </w:rPr>
        <w:t>’</w:t>
      </w:r>
      <w:r w:rsidRPr="00FD7A5C">
        <w:rPr>
          <w:noProof/>
        </w:rPr>
        <w:t xml:space="preserve"> support, with another </w:t>
      </w:r>
      <w:r>
        <w:rPr>
          <w:noProof/>
        </w:rPr>
        <w:t>seven</w:t>
      </w:r>
      <w:r w:rsidRPr="00FD7A5C">
        <w:rPr>
          <w:noProof/>
        </w:rPr>
        <w:t xml:space="preserve"> receiving between 24 and 36 months</w:t>
      </w:r>
      <w:r w:rsidR="00290E6E">
        <w:rPr>
          <w:noProof/>
        </w:rPr>
        <w:t>’</w:t>
      </w:r>
      <w:r w:rsidRPr="00FD7A5C">
        <w:rPr>
          <w:noProof/>
        </w:rPr>
        <w:t xml:space="preserve"> support.</w:t>
      </w:r>
    </w:p>
    <w:p w14:paraId="7326B6BE" w14:textId="754A4E2E" w:rsidR="00005F8B" w:rsidRPr="00FD7A5C" w:rsidRDefault="00005F8B" w:rsidP="002E67FF">
      <w:pPr>
        <w:pStyle w:val="ItadBullets"/>
        <w:rPr>
          <w:noProof/>
        </w:rPr>
      </w:pPr>
      <w:r>
        <w:rPr>
          <w:noProof/>
        </w:rPr>
        <w:t>T</w:t>
      </w:r>
      <w:r w:rsidRPr="00FD7A5C">
        <w:rPr>
          <w:noProof/>
        </w:rPr>
        <w:t>his first phase of Fleming Fund support was mainly intended to build the foundations for AMR surveillance.</w:t>
      </w:r>
      <w:r w:rsidRPr="00FD7A5C" w:rsidDel="00AB12BF">
        <w:rPr>
          <w:noProof/>
        </w:rPr>
        <w:t xml:space="preserve"> </w:t>
      </w:r>
      <w:r w:rsidRPr="00FD7A5C">
        <w:rPr>
          <w:noProof/>
        </w:rPr>
        <w:t xml:space="preserve">Achievement of </w:t>
      </w:r>
      <w:r w:rsidRPr="00FD7A5C" w:rsidDel="00052E3D">
        <w:rPr>
          <w:noProof/>
        </w:rPr>
        <w:t>the</w:t>
      </w:r>
      <w:r>
        <w:rPr>
          <w:noProof/>
        </w:rPr>
        <w:t xml:space="preserve"> Fleming Fund</w:t>
      </w:r>
      <w:r w:rsidR="00AA6A7B">
        <w:rPr>
          <w:noProof/>
        </w:rPr>
        <w:t>’</w:t>
      </w:r>
      <w:r w:rsidRPr="00FD7A5C">
        <w:rPr>
          <w:noProof/>
        </w:rPr>
        <w:t xml:space="preserve">s strategic outcomes, such as significant use of AMR data and analysis to drive or inform anticipated policy, regulatory and behavioural change was expected </w:t>
      </w:r>
      <w:r>
        <w:rPr>
          <w:noProof/>
        </w:rPr>
        <w:t xml:space="preserve">to </w:t>
      </w:r>
      <w:r w:rsidRPr="00FD7A5C">
        <w:rPr>
          <w:noProof/>
        </w:rPr>
        <w:t>be the focus of subsequent phases of support.</w:t>
      </w:r>
    </w:p>
    <w:bookmarkEnd w:id="33"/>
    <w:p w14:paraId="2D621B5E" w14:textId="70E605CE" w:rsidR="00C37940" w:rsidRPr="00FD7A5C" w:rsidRDefault="00C37940" w:rsidP="00CF3D84">
      <w:pPr>
        <w:pStyle w:val="EQhead"/>
      </w:pPr>
      <w:r w:rsidRPr="00FD7A5C">
        <w:t>(EQ1) What has been the increase in the quantity and/or quality of data on AMR at country level and to what extent has the Fleming Fund contributed to this increase?</w:t>
      </w:r>
    </w:p>
    <w:p w14:paraId="26220C0A" w14:textId="03F6A34C" w:rsidR="00290E6E" w:rsidRDefault="00953C34" w:rsidP="00CF3D84">
      <w:pPr>
        <w:pStyle w:val="ItadNormalText"/>
      </w:pPr>
      <w:bookmarkStart w:id="36" w:name="_Hlk128999921"/>
      <w:r w:rsidRPr="00CF3D84">
        <w:rPr>
          <w:b/>
          <w:bCs/>
        </w:rPr>
        <w:t>T</w:t>
      </w:r>
      <w:r w:rsidR="00C37940" w:rsidRPr="00CF3D84">
        <w:rPr>
          <w:b/>
          <w:bCs/>
        </w:rPr>
        <w:t xml:space="preserve">he MA </w:t>
      </w:r>
      <w:r w:rsidR="003F773B" w:rsidRPr="00CF3D84">
        <w:rPr>
          <w:b/>
          <w:bCs/>
        </w:rPr>
        <w:t>achieved</w:t>
      </w:r>
      <w:r w:rsidR="00C37940" w:rsidRPr="00CF3D84">
        <w:rPr>
          <w:b/>
          <w:bCs/>
        </w:rPr>
        <w:t xml:space="preserve"> </w:t>
      </w:r>
      <w:r w:rsidR="005E39BA" w:rsidRPr="00CF3D84">
        <w:rPr>
          <w:b/>
          <w:bCs/>
        </w:rPr>
        <w:t xml:space="preserve">the </w:t>
      </w:r>
      <w:r w:rsidR="00C37940" w:rsidRPr="00CF3D84">
        <w:rPr>
          <w:b/>
          <w:bCs/>
        </w:rPr>
        <w:t xml:space="preserve">stated aims for data generation as set out in the implementation plan, albeit </w:t>
      </w:r>
      <w:r w:rsidR="00AB14E4" w:rsidRPr="00CF3D84">
        <w:rPr>
          <w:b/>
          <w:bCs/>
        </w:rPr>
        <w:t xml:space="preserve">the </w:t>
      </w:r>
      <w:r w:rsidR="00C37940" w:rsidRPr="00CF3D84">
        <w:rPr>
          <w:b/>
          <w:bCs/>
        </w:rPr>
        <w:t xml:space="preserve">targets </w:t>
      </w:r>
      <w:r w:rsidR="007673A5" w:rsidRPr="00CF3D84">
        <w:rPr>
          <w:b/>
          <w:bCs/>
        </w:rPr>
        <w:t xml:space="preserve">were </w:t>
      </w:r>
      <w:r w:rsidR="00FF1714" w:rsidRPr="00CF3D84">
        <w:rPr>
          <w:b/>
          <w:bCs/>
        </w:rPr>
        <w:t xml:space="preserve">neither </w:t>
      </w:r>
      <w:r w:rsidR="007673A5" w:rsidRPr="00CF3D84">
        <w:rPr>
          <w:b/>
          <w:bCs/>
        </w:rPr>
        <w:t>ambitious</w:t>
      </w:r>
      <w:r w:rsidR="00C37940" w:rsidRPr="00CF3D84">
        <w:rPr>
          <w:b/>
          <w:bCs/>
        </w:rPr>
        <w:t xml:space="preserve"> </w:t>
      </w:r>
      <w:r w:rsidR="00FF1714" w:rsidRPr="00CF3D84">
        <w:rPr>
          <w:b/>
          <w:bCs/>
        </w:rPr>
        <w:t>nor</w:t>
      </w:r>
      <w:r w:rsidR="00C37940" w:rsidRPr="00CF3D84">
        <w:rPr>
          <w:b/>
          <w:bCs/>
        </w:rPr>
        <w:t xml:space="preserve"> sector specific.</w:t>
      </w:r>
      <w:r w:rsidR="00C37940" w:rsidRPr="00123259">
        <w:t xml:space="preserve"> </w:t>
      </w:r>
      <w:r w:rsidR="00290E6E">
        <w:t>By</w:t>
      </w:r>
      <w:r w:rsidR="00C37940" w:rsidRPr="00A87745">
        <w:t xml:space="preserve"> mid-2022, there was evidence of increases in the quantity of</w:t>
      </w:r>
      <w:r w:rsidR="00C37940" w:rsidRPr="00A87745" w:rsidDel="00372896">
        <w:t xml:space="preserve"> </w:t>
      </w:r>
      <w:r w:rsidR="00372896" w:rsidRPr="00A87745">
        <w:t xml:space="preserve">human health (HH) </w:t>
      </w:r>
      <w:r w:rsidR="00C37940" w:rsidRPr="00A87745">
        <w:t>AMR surveillance data in 11</w:t>
      </w:r>
      <w:r w:rsidR="00406810" w:rsidRPr="00A87745">
        <w:t xml:space="preserve"> out of </w:t>
      </w:r>
      <w:r w:rsidR="00C37940" w:rsidRPr="00A87745">
        <w:t xml:space="preserve">16 (69%) of our focus countries, although the extent of change varied; and of increases in quantity of other types of </w:t>
      </w:r>
      <w:r w:rsidR="00C37940" w:rsidRPr="008F13E5">
        <w:t>HH data beyond AMR</w:t>
      </w:r>
      <w:r w:rsidR="008A30A6">
        <w:t>.</w:t>
      </w:r>
      <w:r w:rsidR="00041C53">
        <w:rPr>
          <w:rStyle w:val="FootnoteReference"/>
          <w:rFonts w:eastAsia="Calibri"/>
        </w:rPr>
        <w:footnoteReference w:id="6"/>
      </w:r>
      <w:r w:rsidR="00C37940" w:rsidRPr="000F4FCF">
        <w:t xml:space="preserve"> There was evidence of increases in the quantity</w:t>
      </w:r>
      <w:r w:rsidR="00C37940" w:rsidRPr="00123259">
        <w:t xml:space="preserve"> of </w:t>
      </w:r>
      <w:r w:rsidR="00C67CB5" w:rsidRPr="00123259">
        <w:t>animal</w:t>
      </w:r>
      <w:r w:rsidR="00AC0B9C" w:rsidRPr="00123259">
        <w:t xml:space="preserve"> health </w:t>
      </w:r>
      <w:r w:rsidR="00C67CB5" w:rsidRPr="00123259">
        <w:t>(</w:t>
      </w:r>
      <w:r w:rsidR="00C37940" w:rsidRPr="00123259">
        <w:t>AH</w:t>
      </w:r>
      <w:r w:rsidR="00C67CB5" w:rsidRPr="00123259">
        <w:t>)</w:t>
      </w:r>
      <w:r w:rsidR="00C37940" w:rsidRPr="00123259">
        <w:t xml:space="preserve"> AMR surveillance data in 12</w:t>
      </w:r>
      <w:r w:rsidR="00C67CB5" w:rsidRPr="00123259">
        <w:t xml:space="preserve"> out of </w:t>
      </w:r>
      <w:r w:rsidR="00C37940" w:rsidRPr="00123259">
        <w:t xml:space="preserve">16 </w:t>
      </w:r>
      <w:r w:rsidR="00AB1F79" w:rsidRPr="00123259">
        <w:t xml:space="preserve">countries </w:t>
      </w:r>
      <w:r w:rsidR="00C37940" w:rsidRPr="00123259">
        <w:t>(75%), with the extent of change also varied.</w:t>
      </w:r>
    </w:p>
    <w:p w14:paraId="291839D3" w14:textId="27E35A86" w:rsidR="00C37940" w:rsidRPr="00965EC6" w:rsidRDefault="00C37940" w:rsidP="00CF3D84">
      <w:pPr>
        <w:pStyle w:val="ItadNormalText"/>
      </w:pPr>
      <w:r w:rsidRPr="00965EC6">
        <w:rPr>
          <w:b/>
          <w:bCs/>
        </w:rPr>
        <w:t xml:space="preserve">Improvements in </w:t>
      </w:r>
      <w:r w:rsidR="00270908" w:rsidRPr="00965EC6">
        <w:rPr>
          <w:b/>
          <w:bCs/>
        </w:rPr>
        <w:t xml:space="preserve">internal systems ensuring </w:t>
      </w:r>
      <w:r w:rsidR="002C2DB8" w:rsidRPr="00965EC6">
        <w:rPr>
          <w:b/>
          <w:bCs/>
        </w:rPr>
        <w:t xml:space="preserve">the </w:t>
      </w:r>
      <w:r w:rsidRPr="00965EC6">
        <w:rPr>
          <w:b/>
          <w:bCs/>
        </w:rPr>
        <w:t xml:space="preserve">quality of AMR testing were seen in HH and AH in a majority of countries, </w:t>
      </w:r>
      <w:r w:rsidR="00BB2537" w:rsidRPr="00965EC6">
        <w:rPr>
          <w:b/>
          <w:bCs/>
        </w:rPr>
        <w:t>but</w:t>
      </w:r>
      <w:r w:rsidRPr="00965EC6">
        <w:rPr>
          <w:b/>
          <w:bCs/>
        </w:rPr>
        <w:t xml:space="preserve"> progress </w:t>
      </w:r>
      <w:r w:rsidR="00BB2537" w:rsidRPr="00965EC6">
        <w:rPr>
          <w:b/>
          <w:bCs/>
        </w:rPr>
        <w:t>was mixed</w:t>
      </w:r>
      <w:r w:rsidRPr="00965EC6">
        <w:rPr>
          <w:b/>
          <w:bCs/>
        </w:rPr>
        <w:t>.</w:t>
      </w:r>
      <w:r w:rsidRPr="00965EC6" w:rsidDel="00771A88">
        <w:rPr>
          <w:b/>
          <w:bCs/>
        </w:rPr>
        <w:t xml:space="preserve"> </w:t>
      </w:r>
      <w:r w:rsidRPr="00965EC6">
        <w:t xml:space="preserve">However, quality improvements have varied on a site-by-site </w:t>
      </w:r>
      <w:r w:rsidR="00F90A97" w:rsidRPr="00965EC6">
        <w:t>basis,</w:t>
      </w:r>
      <w:r w:rsidRPr="00965EC6">
        <w:t xml:space="preserve"> and it</w:t>
      </w:r>
      <w:r w:rsidR="00CD0A9B" w:rsidRPr="00965EC6">
        <w:t xml:space="preserve"> i</w:t>
      </w:r>
      <w:r w:rsidRPr="00965EC6">
        <w:t>s not clear whether the MA</w:t>
      </w:r>
      <w:r w:rsidR="00AA6A7B" w:rsidRPr="00965EC6">
        <w:t>’</w:t>
      </w:r>
      <w:r w:rsidRPr="00965EC6">
        <w:t xml:space="preserve">s aims have been consistently achieved (given </w:t>
      </w:r>
      <w:r w:rsidR="003268CA" w:rsidRPr="00965EC6">
        <w:t xml:space="preserve">the </w:t>
      </w:r>
      <w:r w:rsidRPr="00965EC6">
        <w:t xml:space="preserve">limited delineation of quality goals at </w:t>
      </w:r>
      <w:r w:rsidR="00CD0A9B" w:rsidRPr="00965EC6">
        <w:t xml:space="preserve">the </w:t>
      </w:r>
      <w:r w:rsidRPr="00965EC6">
        <w:t xml:space="preserve">start of </w:t>
      </w:r>
      <w:r w:rsidR="00222C91" w:rsidRPr="00965EC6">
        <w:t>phase 1</w:t>
      </w:r>
      <w:r w:rsidRPr="00965EC6">
        <w:t>).</w:t>
      </w:r>
    </w:p>
    <w:p w14:paraId="216F1BF6" w14:textId="4A69286A" w:rsidR="00C37940" w:rsidRPr="0028018A" w:rsidRDefault="00C37940" w:rsidP="00CF3D84">
      <w:pPr>
        <w:pStyle w:val="ItadNormalText"/>
      </w:pPr>
      <w:r w:rsidRPr="00965EC6">
        <w:t>Major drivers of increases in quantity and quality were identified as</w:t>
      </w:r>
      <w:r w:rsidR="00EB08D7">
        <w:t>:</w:t>
      </w:r>
      <w:r w:rsidRPr="00965EC6">
        <w:t xml:space="preserve"> renovation of sites and provision of equipment, training of </w:t>
      </w:r>
      <w:r w:rsidR="00E5763D" w:rsidRPr="00965EC6">
        <w:t xml:space="preserve">the </w:t>
      </w:r>
      <w:r w:rsidRPr="00965EC6">
        <w:t xml:space="preserve">laboratory workforce, supporting laboratory quality management systems, and AMR governance. Overall, </w:t>
      </w:r>
      <w:r w:rsidRPr="00965EC6">
        <w:rPr>
          <w:b/>
          <w:bCs/>
        </w:rPr>
        <w:t>the Fleming Fund has made a vital or important</w:t>
      </w:r>
      <w:r w:rsidR="003F1EFB" w:rsidRPr="00965EC6">
        <w:rPr>
          <w:rStyle w:val="FootnoteReference"/>
          <w:rFonts w:eastAsia="Calibri"/>
          <w:b/>
          <w:bCs/>
        </w:rPr>
        <w:footnoteReference w:id="7"/>
      </w:r>
      <w:r w:rsidRPr="00965EC6">
        <w:rPr>
          <w:b/>
          <w:bCs/>
        </w:rPr>
        <w:t xml:space="preserve"> contribution to most key drivers of increased</w:t>
      </w:r>
      <w:r w:rsidRPr="0028018A">
        <w:rPr>
          <w:b/>
          <w:bCs/>
        </w:rPr>
        <w:t xml:space="preserve"> quantity and quality in both HH and AH AMR data, albeit to variable extent</w:t>
      </w:r>
      <w:r w:rsidR="00C926BC" w:rsidRPr="0028018A">
        <w:rPr>
          <w:b/>
          <w:bCs/>
        </w:rPr>
        <w:t>s</w:t>
      </w:r>
      <w:r w:rsidRPr="0028018A">
        <w:rPr>
          <w:b/>
          <w:bCs/>
        </w:rPr>
        <w:t>.</w:t>
      </w:r>
    </w:p>
    <w:bookmarkEnd w:id="36"/>
    <w:p w14:paraId="3E906AB5" w14:textId="071B5832" w:rsidR="00C37940" w:rsidRPr="00FD7A5C" w:rsidRDefault="00C37940" w:rsidP="00CF3D84">
      <w:pPr>
        <w:pStyle w:val="EQhead"/>
      </w:pPr>
      <w:r w:rsidRPr="00FD7A5C">
        <w:t>(EQ5) What has been the increase in quality</w:t>
      </w:r>
      <w:r w:rsidR="00FF1714">
        <w:t xml:space="preserve"> of</w:t>
      </w:r>
      <w:r w:rsidRPr="00FD7A5C">
        <w:t xml:space="preserve"> data shared and reported internationally and has the Fleming Fund contributed to this?</w:t>
      </w:r>
    </w:p>
    <w:p w14:paraId="455A8063" w14:textId="60AE49F1" w:rsidR="00C37940" w:rsidRPr="00EA3045" w:rsidRDefault="00C37940" w:rsidP="00CF3D84">
      <w:pPr>
        <w:pStyle w:val="ItadNormalText"/>
      </w:pPr>
      <w:bookmarkStart w:id="37" w:name="_Hlk129001411"/>
      <w:r w:rsidRPr="00EA3045">
        <w:rPr>
          <w:b/>
          <w:bCs/>
        </w:rPr>
        <w:t>There is evidence of sharing at</w:t>
      </w:r>
      <w:r w:rsidR="002F65EA">
        <w:rPr>
          <w:b/>
          <w:bCs/>
        </w:rPr>
        <w:t xml:space="preserve"> the</w:t>
      </w:r>
      <w:r w:rsidRPr="00EA3045">
        <w:rPr>
          <w:b/>
          <w:bCs/>
        </w:rPr>
        <w:t xml:space="preserve"> international level, and emergent examples of use at </w:t>
      </w:r>
      <w:r w:rsidR="002F65EA">
        <w:rPr>
          <w:b/>
          <w:bCs/>
        </w:rPr>
        <w:t xml:space="preserve">the </w:t>
      </w:r>
      <w:r w:rsidRPr="00EA3045">
        <w:rPr>
          <w:b/>
          <w:bCs/>
        </w:rPr>
        <w:t>facility</w:t>
      </w:r>
      <w:r w:rsidR="008658EE" w:rsidRPr="00EA3045">
        <w:rPr>
          <w:b/>
          <w:bCs/>
        </w:rPr>
        <w:t xml:space="preserve"> </w:t>
      </w:r>
      <w:r w:rsidRPr="00EA3045">
        <w:rPr>
          <w:b/>
          <w:bCs/>
        </w:rPr>
        <w:t xml:space="preserve">level. </w:t>
      </w:r>
      <w:r w:rsidRPr="00EA3045">
        <w:t xml:space="preserve">At the </w:t>
      </w:r>
      <w:r w:rsidRPr="00EA3045">
        <w:rPr>
          <w:i/>
          <w:iCs/>
        </w:rPr>
        <w:t>international level</w:t>
      </w:r>
      <w:r w:rsidRPr="00EA3045">
        <w:t xml:space="preserve">, for HH more AMR data has been made available, with </w:t>
      </w:r>
      <w:r w:rsidR="002C73D6" w:rsidRPr="002C73D6">
        <w:rPr>
          <w:rFonts w:cs="Calibri"/>
        </w:rPr>
        <w:t>the majority of evaluation</w:t>
      </w:r>
      <w:r w:rsidR="002C73D6" w:rsidRPr="00EA3045">
        <w:t xml:space="preserve"> </w:t>
      </w:r>
      <w:r w:rsidR="00062736" w:rsidRPr="00EA3045">
        <w:t>focus countries</w:t>
      </w:r>
      <w:r w:rsidRPr="00EA3045">
        <w:t xml:space="preserve"> (</w:t>
      </w:r>
      <w:r w:rsidR="00BF57B9">
        <w:t>13</w:t>
      </w:r>
      <w:r w:rsidRPr="00EA3045">
        <w:t>/16) sharing data to the Global Antimicrobial Resistance Surveillance System (GLASS) since 2018 (</w:t>
      </w:r>
      <w:r w:rsidRPr="00EA3045">
        <w:rPr>
          <w:rFonts w:cs="Calibri"/>
        </w:rPr>
        <w:t xml:space="preserve">of which </w:t>
      </w:r>
      <w:r w:rsidR="008658EE" w:rsidRPr="00EA3045">
        <w:rPr>
          <w:rFonts w:cs="Calibri"/>
        </w:rPr>
        <w:t>seven</w:t>
      </w:r>
      <w:r w:rsidRPr="00EA3045">
        <w:rPr>
          <w:rFonts w:cs="Calibri"/>
        </w:rPr>
        <w:t xml:space="preserve"> had not previously done so)</w:t>
      </w:r>
      <w:r w:rsidR="006703E1">
        <w:rPr>
          <w:rFonts w:cs="Calibri"/>
        </w:rPr>
        <w:t xml:space="preserve"> </w:t>
      </w:r>
      <w:r w:rsidR="006703E1" w:rsidRPr="006703E1">
        <w:rPr>
          <w:rFonts w:cs="Calibri"/>
        </w:rPr>
        <w:t>and a further four across other Fleming Fund countries</w:t>
      </w:r>
      <w:r w:rsidRPr="00EA3045">
        <w:t xml:space="preserve">. In the AH sector, more data on </w:t>
      </w:r>
      <w:r w:rsidR="00AB763A" w:rsidRPr="00EA3045">
        <w:t>AMC</w:t>
      </w:r>
      <w:r w:rsidRPr="00EA3045">
        <w:t>/</w:t>
      </w:r>
      <w:r w:rsidR="00AB763A" w:rsidRPr="00EA3045">
        <w:t>U</w:t>
      </w:r>
      <w:r w:rsidRPr="00EA3045">
        <w:t xml:space="preserve"> has been reported </w:t>
      </w:r>
      <w:r w:rsidRPr="00EA3045">
        <w:lastRenderedPageBreak/>
        <w:t>to WOAH</w:t>
      </w:r>
      <w:r w:rsidR="008A3D2A">
        <w:t>;</w:t>
      </w:r>
      <w:r w:rsidR="005A0049">
        <w:t xml:space="preserve"> b</w:t>
      </w:r>
      <w:r w:rsidR="005A0049" w:rsidRPr="008343D7">
        <w:rPr>
          <w:rFonts w:cs="Calibri"/>
        </w:rPr>
        <w:t xml:space="preserve">y May 2022, 14 out of 16 </w:t>
      </w:r>
      <w:r w:rsidR="005A0049">
        <w:rPr>
          <w:rFonts w:cs="Calibri"/>
        </w:rPr>
        <w:t xml:space="preserve">of the evaluation focus </w:t>
      </w:r>
      <w:r w:rsidR="005A0049" w:rsidRPr="008343D7">
        <w:rPr>
          <w:rFonts w:cs="Calibri"/>
        </w:rPr>
        <w:t>countries (88%) reported to WOAH, with a reduction in the number reporting the most basic level of data and an increase in the number providing more sophisticated data</w:t>
      </w:r>
      <w:r w:rsidR="002F65EA">
        <w:rPr>
          <w:rFonts w:cs="Calibri"/>
        </w:rPr>
        <w:t>.</w:t>
      </w:r>
    </w:p>
    <w:bookmarkEnd w:id="37"/>
    <w:p w14:paraId="3BFC3F9D" w14:textId="60C36016" w:rsidR="00C37940" w:rsidRPr="00FD7A5C" w:rsidRDefault="00C37940" w:rsidP="00CF3D84">
      <w:pPr>
        <w:pStyle w:val="EQhead"/>
      </w:pPr>
      <w:r w:rsidRPr="00FD7A5C">
        <w:t>(EQ4) Has, or is it likely that</w:t>
      </w:r>
      <w:r w:rsidR="00FF1714">
        <w:t>,</w:t>
      </w:r>
      <w:r w:rsidRPr="00FD7A5C">
        <w:t xml:space="preserve"> the increase in AMR data influenced: (a</w:t>
      </w:r>
      <w:r w:rsidRPr="00FD7A5C" w:rsidDel="008F7A53">
        <w:t>)</w:t>
      </w:r>
      <w:r w:rsidR="008F7A53">
        <w:t xml:space="preserve"> </w:t>
      </w:r>
      <w:r w:rsidRPr="00FD7A5C">
        <w:t>changes in national policies/</w:t>
      </w:r>
      <w:r w:rsidR="003455BF" w:rsidRPr="00FD7A5C">
        <w:t>regulations?</w:t>
      </w:r>
      <w:r w:rsidRPr="00FD7A5C">
        <w:t xml:space="preserve"> and/or (b) changes in practice and attitudes in</w:t>
      </w:r>
      <w:r w:rsidR="00E278CD">
        <w:t>-country</w:t>
      </w:r>
      <w:r w:rsidRPr="00FD7A5C">
        <w:t>?</w:t>
      </w:r>
    </w:p>
    <w:p w14:paraId="57214838" w14:textId="52C13CDA" w:rsidR="00C37940" w:rsidRPr="00EA3045" w:rsidRDefault="00C37940" w:rsidP="00CF3D84">
      <w:pPr>
        <w:pStyle w:val="ItadNormalText"/>
      </w:pPr>
      <w:bookmarkStart w:id="38" w:name="_Hlk129002735"/>
      <w:r w:rsidRPr="00CF3D84">
        <w:rPr>
          <w:b/>
          <w:bCs/>
        </w:rPr>
        <w:t xml:space="preserve">There are initial indications that data from AMR surveillance systems are starting to be </w:t>
      </w:r>
      <w:r w:rsidR="001E12AA" w:rsidRPr="00CF3D84">
        <w:rPr>
          <w:b/>
          <w:bCs/>
        </w:rPr>
        <w:t>collated and shared</w:t>
      </w:r>
      <w:r w:rsidRPr="00CF3D84">
        <w:rPr>
          <w:b/>
          <w:bCs/>
        </w:rPr>
        <w:t xml:space="preserve"> at</w:t>
      </w:r>
      <w:r w:rsidR="008A3D2A" w:rsidRPr="00CF3D84">
        <w:rPr>
          <w:b/>
          <w:bCs/>
        </w:rPr>
        <w:t xml:space="preserve"> the</w:t>
      </w:r>
      <w:r w:rsidRPr="00CF3D84">
        <w:rPr>
          <w:b/>
          <w:bCs/>
        </w:rPr>
        <w:t xml:space="preserve"> </w:t>
      </w:r>
      <w:r w:rsidRPr="00CF3D84">
        <w:rPr>
          <w:b/>
          <w:bCs/>
          <w:i/>
          <w:iCs/>
        </w:rPr>
        <w:t>national level</w:t>
      </w:r>
      <w:r w:rsidR="008A3D2A" w:rsidRPr="00CF3D84">
        <w:rPr>
          <w:b/>
          <w:bCs/>
        </w:rPr>
        <w:t xml:space="preserve">, </w:t>
      </w:r>
      <w:r w:rsidRPr="00CF3D84">
        <w:rPr>
          <w:b/>
          <w:bCs/>
        </w:rPr>
        <w:t>but AMR data is not prominent in decisions on AMR action.</w:t>
      </w:r>
      <w:r w:rsidRPr="00EA3045">
        <w:t xml:space="preserve"> Progress </w:t>
      </w:r>
      <w:r w:rsidR="00FF1714">
        <w:t>on</w:t>
      </w:r>
      <w:r w:rsidR="00FF1714" w:rsidRPr="00EA3045">
        <w:t xml:space="preserve"> </w:t>
      </w:r>
      <w:r w:rsidR="008A3D2A">
        <w:t xml:space="preserve">the </w:t>
      </w:r>
      <w:r w:rsidRPr="00EA3045">
        <w:t>use of data has been slower and more difficult than anticipated</w:t>
      </w:r>
      <w:r w:rsidR="002F076F">
        <w:t xml:space="preserve"> in the Management Agent’s implementation plan</w:t>
      </w:r>
      <w:r w:rsidRPr="00EA3045">
        <w:t xml:space="preserve">, especially at national level. </w:t>
      </w:r>
      <w:r w:rsidRPr="00EA3045">
        <w:rPr>
          <w:i/>
          <w:iCs/>
        </w:rPr>
        <w:t>At the national level</w:t>
      </w:r>
      <w:r w:rsidRPr="00EA3045">
        <w:t xml:space="preserve">, data sharing with relevant committees is happening in </w:t>
      </w:r>
      <w:r w:rsidR="00554648" w:rsidRPr="00EA3045">
        <w:t xml:space="preserve">six out of </w:t>
      </w:r>
      <w:r w:rsidRPr="00EA3045">
        <w:t>16 focus countries.</w:t>
      </w:r>
      <w:r w:rsidRPr="00EA3045">
        <w:rPr>
          <w:rFonts w:cs="Calibri"/>
          <w:sz w:val="21"/>
          <w:szCs w:val="21"/>
          <w:vertAlign w:val="superscript"/>
        </w:rPr>
        <w:footnoteReference w:id="8"/>
      </w:r>
      <w:r w:rsidRPr="00EA3045">
        <w:t xml:space="preserve"> Even where AMR/C/U data is not yet being shared with relevant committees on a routine basis, some progress towards this goal has been realised in most countries. Despite progress </w:t>
      </w:r>
      <w:r w:rsidR="00FF1714">
        <w:t>on</w:t>
      </w:r>
      <w:r w:rsidR="00FF1714" w:rsidRPr="00EA3045">
        <w:t xml:space="preserve"> </w:t>
      </w:r>
      <w:r w:rsidRPr="00EA3045">
        <w:t xml:space="preserve">sharing, AMR surveillance data collated from </w:t>
      </w:r>
      <w:r w:rsidR="00D3449C" w:rsidRPr="00EA3045">
        <w:t xml:space="preserve">laboratory </w:t>
      </w:r>
      <w:r w:rsidRPr="00EA3045">
        <w:t>antimicrobial susceptibility testing (AST) is</w:t>
      </w:r>
      <w:r w:rsidRPr="00EA3045" w:rsidDel="00D3449C">
        <w:t xml:space="preserve"> yet </w:t>
      </w:r>
      <w:r w:rsidR="00D3449C" w:rsidRPr="00EA3045">
        <w:t>to play</w:t>
      </w:r>
      <w:r w:rsidRPr="00EA3045">
        <w:t xml:space="preserve"> a prominent role in relevant </w:t>
      </w:r>
      <w:r w:rsidRPr="00EA3045" w:rsidDel="00C8382F">
        <w:t>decision</w:t>
      </w:r>
      <w:r w:rsidR="00E278CD">
        <w:t>-making</w:t>
      </w:r>
      <w:r w:rsidRPr="00EA3045">
        <w:t xml:space="preserve"> about action on AMR. Over half of </w:t>
      </w:r>
      <w:r w:rsidR="008A3D2A">
        <w:t xml:space="preserve">the </w:t>
      </w:r>
      <w:r w:rsidRPr="00EA3045">
        <w:t>focus countries have nevertheless initiated significant policy and regulatory action on AMR</w:t>
      </w:r>
      <w:r w:rsidRPr="00EA3045">
        <w:rPr>
          <w:i/>
          <w:iCs/>
        </w:rPr>
        <w:t xml:space="preserve"> at the national level </w:t>
      </w:r>
      <w:r w:rsidRPr="00EA3045">
        <w:t>since 2018.</w:t>
      </w:r>
    </w:p>
    <w:p w14:paraId="32DC728C" w14:textId="3CCC3645" w:rsidR="00C37940" w:rsidRPr="00EA3045" w:rsidRDefault="00C37940" w:rsidP="00CF3D84">
      <w:pPr>
        <w:pStyle w:val="ItadNormalText"/>
      </w:pPr>
      <w:r w:rsidRPr="00CF3D84">
        <w:rPr>
          <w:b/>
          <w:bCs/>
        </w:rPr>
        <w:t>At the local/facility level, there is emergent evidence that Fleming Fund interventions are stimulating positive changes to practices and attitudes</w:t>
      </w:r>
      <w:r w:rsidRPr="00EA3045">
        <w:t xml:space="preserve"> as clinicians and other stakeholders start to interact differently with improved lab</w:t>
      </w:r>
      <w:r w:rsidR="00D3449C" w:rsidRPr="00EA3045">
        <w:t>oratorie</w:t>
      </w:r>
      <w:r w:rsidRPr="00EA3045">
        <w:t>s</w:t>
      </w:r>
      <w:r w:rsidR="00FF1714">
        <w:t>. H</w:t>
      </w:r>
      <w:r w:rsidR="00C110E9" w:rsidRPr="00EA3045">
        <w:t>owever,</w:t>
      </w:r>
      <w:r w:rsidRPr="00EA3045">
        <w:t xml:space="preserve"> these are not yet representative of wider system change</w:t>
      </w:r>
      <w:r w:rsidR="00D3449C" w:rsidRPr="00EA3045">
        <w:t>s</w:t>
      </w:r>
      <w:r w:rsidRPr="00EA3045">
        <w:t xml:space="preserve"> within countries.</w:t>
      </w:r>
    </w:p>
    <w:p w14:paraId="4E233568" w14:textId="355D83C4" w:rsidR="00C37940" w:rsidRPr="00EA3045" w:rsidRDefault="00D3449C" w:rsidP="00CF3D84">
      <w:pPr>
        <w:pStyle w:val="ItadNormalText"/>
      </w:pPr>
      <w:r w:rsidRPr="00EA3045">
        <w:rPr>
          <w:b/>
        </w:rPr>
        <w:t xml:space="preserve">The </w:t>
      </w:r>
      <w:r w:rsidR="00C37940" w:rsidRPr="00EA3045">
        <w:rPr>
          <w:b/>
        </w:rPr>
        <w:t xml:space="preserve">Fleming Fund has made very substantial contributions to the main drivers of </w:t>
      </w:r>
      <w:r w:rsidR="00C37940" w:rsidRPr="00965EC6">
        <w:rPr>
          <w:b/>
          <w:i/>
          <w:iCs/>
        </w:rPr>
        <w:t>data sharing</w:t>
      </w:r>
      <w:r w:rsidR="00C37940" w:rsidRPr="00EA3045">
        <w:rPr>
          <w:b/>
        </w:rPr>
        <w:t xml:space="preserve"> at the national level</w:t>
      </w:r>
      <w:r w:rsidR="00C37940" w:rsidRPr="00EA3045">
        <w:rPr>
          <w:b/>
          <w:bCs/>
        </w:rPr>
        <w:t xml:space="preserve">. </w:t>
      </w:r>
      <w:r w:rsidR="00C37940" w:rsidRPr="00EA3045">
        <w:t>So far this has been primarily th</w:t>
      </w:r>
      <w:r w:rsidR="00475401" w:rsidRPr="00EA3045">
        <w:t>r</w:t>
      </w:r>
      <w:r w:rsidR="00C37940" w:rsidRPr="00EA3045">
        <w:t xml:space="preserve">ough </w:t>
      </w:r>
      <w:r w:rsidR="00FA29A2" w:rsidRPr="00EA3045">
        <w:t xml:space="preserve">Country Grants </w:t>
      </w:r>
      <w:r w:rsidR="00C37940" w:rsidRPr="00EA3045">
        <w:t>(CG</w:t>
      </w:r>
      <w:r w:rsidRPr="00EA3045">
        <w:t>s</w:t>
      </w:r>
      <w:r w:rsidR="00C37940" w:rsidRPr="00EA3045">
        <w:t xml:space="preserve">). It remains to be seen to what extent </w:t>
      </w:r>
      <w:r w:rsidR="00965EC6">
        <w:t>p</w:t>
      </w:r>
      <w:r w:rsidR="00C37940" w:rsidRPr="00EA3045">
        <w:t xml:space="preserve">olicy </w:t>
      </w:r>
      <w:r w:rsidR="00965EC6">
        <w:t>f</w:t>
      </w:r>
      <w:r w:rsidR="00C37940" w:rsidRPr="00EA3045">
        <w:t>ellowships and other interventions focused on data use will contribute to</w:t>
      </w:r>
      <w:r w:rsidRPr="00EA3045">
        <w:t xml:space="preserve"> the</w:t>
      </w:r>
      <w:r w:rsidR="00C37940" w:rsidRPr="00EA3045">
        <w:t xml:space="preserve"> intended outcome-level results. </w:t>
      </w:r>
      <w:r w:rsidR="00B10E97">
        <w:t xml:space="preserve">The </w:t>
      </w:r>
      <w:r w:rsidR="00C37940" w:rsidRPr="00EA3045">
        <w:t>Fleming Fund has also contributed strongly to the drivers of data sharing at the international level, especially sharing with GLASS.</w:t>
      </w:r>
    </w:p>
    <w:bookmarkEnd w:id="38"/>
    <w:p w14:paraId="37C4BABD" w14:textId="71393FF6" w:rsidR="00C37940" w:rsidRPr="009B40B2" w:rsidRDefault="00C37940" w:rsidP="00CF3D84">
      <w:pPr>
        <w:pStyle w:val="EQhead"/>
      </w:pPr>
      <w:r w:rsidRPr="00FD7A5C">
        <w:t>(EQ3) How likely are the Fleming Fund</w:t>
      </w:r>
      <w:r w:rsidR="00AA6A7B">
        <w:t>’</w:t>
      </w:r>
      <w:r w:rsidRPr="00FD7A5C">
        <w:t>s country</w:t>
      </w:r>
      <w:r w:rsidR="000E547E">
        <w:t>-</w:t>
      </w:r>
      <w:r w:rsidRPr="00FD7A5C">
        <w:t>level results to be sustained?</w:t>
      </w:r>
    </w:p>
    <w:p w14:paraId="113CA3FA" w14:textId="6A014773" w:rsidR="00C37940" w:rsidRPr="00853D7E" w:rsidRDefault="005E0ED0" w:rsidP="00CF3D84">
      <w:pPr>
        <w:pStyle w:val="ItadNormalText"/>
      </w:pPr>
      <w:bookmarkStart w:id="39" w:name="_Hlk129003380"/>
      <w:r w:rsidRPr="00CF3D84">
        <w:rPr>
          <w:b/>
          <w:bCs/>
        </w:rPr>
        <w:t>B</w:t>
      </w:r>
      <w:r w:rsidR="00C37940" w:rsidRPr="00CF3D84">
        <w:rPr>
          <w:b/>
          <w:bCs/>
        </w:rPr>
        <w:t>ased on action to date and current</w:t>
      </w:r>
      <w:r w:rsidR="00C37940" w:rsidRPr="00CF3D84" w:rsidDel="00714E38">
        <w:rPr>
          <w:b/>
          <w:bCs/>
        </w:rPr>
        <w:t xml:space="preserve"> </w:t>
      </w:r>
      <w:r w:rsidR="00C37940" w:rsidRPr="00CF3D84">
        <w:rPr>
          <w:b/>
          <w:bCs/>
        </w:rPr>
        <w:t xml:space="preserve">country-level conditions, </w:t>
      </w:r>
      <w:r w:rsidR="00855CFF" w:rsidRPr="00CF3D84">
        <w:rPr>
          <w:b/>
          <w:bCs/>
        </w:rPr>
        <w:t xml:space="preserve">there are </w:t>
      </w:r>
      <w:r w:rsidR="00C37940" w:rsidRPr="00CF3D84">
        <w:rPr>
          <w:b/>
          <w:bCs/>
        </w:rPr>
        <w:t xml:space="preserve">limited prospects </w:t>
      </w:r>
      <w:r w:rsidR="00855CFF" w:rsidRPr="00CF3D84">
        <w:rPr>
          <w:b/>
          <w:bCs/>
        </w:rPr>
        <w:t xml:space="preserve">for </w:t>
      </w:r>
      <w:r w:rsidR="00C37940" w:rsidRPr="00CF3D84">
        <w:rPr>
          <w:b/>
          <w:bCs/>
        </w:rPr>
        <w:t>sustaining Fleming Fund results</w:t>
      </w:r>
      <w:r w:rsidR="00356311" w:rsidRPr="00CF3D84">
        <w:rPr>
          <w:b/>
          <w:bCs/>
        </w:rPr>
        <w:t xml:space="preserve"> at present</w:t>
      </w:r>
      <w:r w:rsidR="00C37940" w:rsidRPr="00CF3D84">
        <w:rPr>
          <w:b/>
          <w:bCs/>
        </w:rPr>
        <w:t>.</w:t>
      </w:r>
      <w:r w:rsidR="00C37940" w:rsidRPr="00EA3045">
        <w:rPr>
          <w:rFonts w:ascii="Segoe UI" w:hAnsi="Segoe UI" w:cs="Segoe UI"/>
        </w:rPr>
        <w:t xml:space="preserve"> </w:t>
      </w:r>
      <w:r w:rsidR="00C37940" w:rsidRPr="00EA3045">
        <w:t xml:space="preserve">This is linked to </w:t>
      </w:r>
      <w:r w:rsidR="00F867E9" w:rsidRPr="00EA3045">
        <w:t xml:space="preserve">a </w:t>
      </w:r>
      <w:r w:rsidR="00C37940" w:rsidRPr="00EA3045">
        <w:t>lack of progress in establishing key conditions</w:t>
      </w:r>
      <w:r w:rsidR="00C94FFB" w:rsidRPr="00EA3045">
        <w:t xml:space="preserve"> (resources, capacity, motivation, planning)</w:t>
      </w:r>
      <w:r w:rsidR="00C37940" w:rsidRPr="00EA3045">
        <w:t xml:space="preserve"> as identified in published literature. The MA has been clear that prospects for achieving sustainability during </w:t>
      </w:r>
      <w:r w:rsidR="00222C91">
        <w:t>phase 1</w:t>
      </w:r>
      <w:r w:rsidR="00C37940" w:rsidRPr="00EA3045">
        <w:t xml:space="preserve"> were limited</w:t>
      </w:r>
      <w:r w:rsidR="005A7E0A">
        <w:t xml:space="preserve"> </w:t>
      </w:r>
      <w:r w:rsidR="005A7E0A" w:rsidRPr="00016A96">
        <w:t>given the starting points in most countries and limited implementation time of some grants</w:t>
      </w:r>
      <w:r w:rsidR="00C37940" w:rsidRPr="00EA3045">
        <w:t xml:space="preserve"> (</w:t>
      </w:r>
      <w:r w:rsidR="00C37940" w:rsidRPr="00DD0D7A">
        <w:t>and this is backed up by broader evidence</w:t>
      </w:r>
      <w:r w:rsidR="00DD0D7A" w:rsidRPr="00DD0D7A">
        <w:t xml:space="preserve"> </w:t>
      </w:r>
      <w:r w:rsidR="00DD0D7A" w:rsidRPr="00016A96">
        <w:t>which underlines that sustainability is hard to achieve and takes time</w:t>
      </w:r>
      <w:r w:rsidR="00C110E9" w:rsidRPr="00EA3045">
        <w:t>)</w:t>
      </w:r>
      <w:r w:rsidR="00C37940" w:rsidRPr="00EA3045">
        <w:t>.</w:t>
      </w:r>
      <w:r w:rsidR="00C37940" w:rsidRPr="00016A96">
        <w:t xml:space="preserve"> </w:t>
      </w:r>
      <w:r w:rsidR="00C95CCD">
        <w:t>The MA</w:t>
      </w:r>
      <w:r w:rsidR="00AA6A7B">
        <w:t>’</w:t>
      </w:r>
      <w:r w:rsidR="00C37940" w:rsidRPr="00EA3045">
        <w:t xml:space="preserve">s approach to sustainability has focused on </w:t>
      </w:r>
      <w:r w:rsidR="00965EC6">
        <w:t>(</w:t>
      </w:r>
      <w:r w:rsidR="00C37940" w:rsidRPr="00EA3045">
        <w:t xml:space="preserve">a) hardwiring sustainability </w:t>
      </w:r>
      <w:r w:rsidR="00C37940" w:rsidRPr="00853D7E">
        <w:t>prospects in grant design</w:t>
      </w:r>
      <w:r w:rsidR="00965EC6">
        <w:t>;</w:t>
      </w:r>
      <w:r w:rsidR="00C37940" w:rsidRPr="00853D7E">
        <w:t xml:space="preserve"> </w:t>
      </w:r>
      <w:r w:rsidR="00965EC6">
        <w:t>(</w:t>
      </w:r>
      <w:r w:rsidR="00C37940" w:rsidRPr="00853D7E">
        <w:t>b) delivering success in Fleming Fund 1</w:t>
      </w:r>
      <w:r w:rsidR="00965EC6">
        <w:t>;</w:t>
      </w:r>
      <w:r w:rsidR="00C37940" w:rsidRPr="00853D7E">
        <w:t xml:space="preserve"> </w:t>
      </w:r>
      <w:r w:rsidR="00F4069A">
        <w:t xml:space="preserve">and </w:t>
      </w:r>
      <w:r w:rsidR="00965EC6">
        <w:t>(</w:t>
      </w:r>
      <w:r w:rsidR="00C37940" w:rsidRPr="00853D7E">
        <w:t xml:space="preserve">c) increasing focus on sustainability in second </w:t>
      </w:r>
      <w:r w:rsidR="008851E5" w:rsidRPr="00853D7E">
        <w:t>CGs</w:t>
      </w:r>
      <w:r w:rsidR="00C37940" w:rsidRPr="00853D7E">
        <w:t xml:space="preserve">. </w:t>
      </w:r>
      <w:r w:rsidR="00D862A5">
        <w:t>The MA</w:t>
      </w:r>
      <w:r w:rsidR="00AA6A7B">
        <w:t>’</w:t>
      </w:r>
      <w:r w:rsidR="00D862A5">
        <w:t xml:space="preserve">s sustainability assessments </w:t>
      </w:r>
      <w:r w:rsidR="00C37940" w:rsidRPr="00853D7E">
        <w:t xml:space="preserve">indicate what will be </w:t>
      </w:r>
      <w:r w:rsidR="00AA6A7B">
        <w:t>‘</w:t>
      </w:r>
      <w:r w:rsidR="00C37940" w:rsidRPr="00853D7E">
        <w:t>left behind</w:t>
      </w:r>
      <w:r w:rsidR="00AA6A7B">
        <w:t>’</w:t>
      </w:r>
      <w:r w:rsidR="00C37940" w:rsidRPr="00853D7E">
        <w:t xml:space="preserve"> but </w:t>
      </w:r>
      <w:r w:rsidR="00FA45AB">
        <w:t xml:space="preserve">do </w:t>
      </w:r>
      <w:r w:rsidR="00C37940" w:rsidRPr="00853D7E">
        <w:t>no</w:t>
      </w:r>
      <w:r w:rsidR="00FA45AB">
        <w:t>t set out an</w:t>
      </w:r>
      <w:r w:rsidR="00C37940" w:rsidRPr="00853D7E">
        <w:t xml:space="preserve"> explicit strategy or plan for achieving this</w:t>
      </w:r>
      <w:r w:rsidR="00FA45AB">
        <w:t xml:space="preserve">. Overall this </w:t>
      </w:r>
      <w:r w:rsidR="00C37940" w:rsidRPr="00853D7E">
        <w:t>has limited the extent to which realistic expectations and plans have been established with DHSC</w:t>
      </w:r>
      <w:r w:rsidR="00FA45AB">
        <w:t xml:space="preserve"> or </w:t>
      </w:r>
      <w:r w:rsidR="00C37940" w:rsidRPr="00853D7E">
        <w:t xml:space="preserve">key </w:t>
      </w:r>
      <w:r w:rsidR="00FA45AB">
        <w:t xml:space="preserve">country </w:t>
      </w:r>
      <w:r w:rsidR="00C37940" w:rsidRPr="00853D7E">
        <w:t xml:space="preserve">counterparts </w:t>
      </w:r>
      <w:r w:rsidR="005B40D9">
        <w:t>(</w:t>
      </w:r>
      <w:r w:rsidR="00C37940" w:rsidRPr="00853D7E">
        <w:t>although lack of clarity on future Fleming Fund funding hindered dialogue on sustainability</w:t>
      </w:r>
      <w:r w:rsidR="00915385">
        <w:t>)</w:t>
      </w:r>
      <w:r w:rsidR="00C37940" w:rsidRPr="00853D7E">
        <w:t xml:space="preserve">. </w:t>
      </w:r>
      <w:r w:rsidR="00734269">
        <w:t>Sustainability is a shared responsibility between the DHSC, MA team and recipient governments.</w:t>
      </w:r>
    </w:p>
    <w:bookmarkEnd w:id="39"/>
    <w:p w14:paraId="5E6B73F4" w14:textId="5571FD71" w:rsidR="00C37940" w:rsidRPr="00FD7A5C" w:rsidRDefault="00C37940" w:rsidP="00CF3D84">
      <w:pPr>
        <w:pStyle w:val="EQhead"/>
      </w:pPr>
      <w:r w:rsidRPr="00FD7A5C">
        <w:t>(EQ2) To what extent have the Fleming Fund</w:t>
      </w:r>
      <w:r w:rsidR="00AA6A7B">
        <w:t>’</w:t>
      </w:r>
      <w:r w:rsidRPr="00FD7A5C">
        <w:t>s investments been aligned and coherent with other relevant investments at country level?</w:t>
      </w:r>
    </w:p>
    <w:p w14:paraId="5B4C3214" w14:textId="2697F466" w:rsidR="00C37940" w:rsidRPr="00044F29" w:rsidRDefault="00C37940" w:rsidP="00CF3D84">
      <w:pPr>
        <w:pStyle w:val="ItadNormalText"/>
      </w:pPr>
      <w:bookmarkStart w:id="40" w:name="_Hlk129003861"/>
      <w:r w:rsidRPr="00CF3D84">
        <w:rPr>
          <w:b/>
          <w:bCs/>
        </w:rPr>
        <w:t xml:space="preserve">The model has created challenges in terms of delivering internal coherence between </w:t>
      </w:r>
      <w:r w:rsidR="00FA29A2">
        <w:rPr>
          <w:b/>
          <w:bCs/>
        </w:rPr>
        <w:t>CGs</w:t>
      </w:r>
      <w:r w:rsidRPr="00CF3D84">
        <w:rPr>
          <w:b/>
          <w:bCs/>
        </w:rPr>
        <w:t xml:space="preserve">, </w:t>
      </w:r>
      <w:r w:rsidR="00FA29A2" w:rsidRPr="00CF3D84">
        <w:rPr>
          <w:b/>
          <w:bCs/>
        </w:rPr>
        <w:t xml:space="preserve">RGs </w:t>
      </w:r>
      <w:r w:rsidRPr="00CF3D84">
        <w:rPr>
          <w:b/>
          <w:bCs/>
        </w:rPr>
        <w:t xml:space="preserve">and </w:t>
      </w:r>
      <w:r w:rsidR="00FA29A2">
        <w:rPr>
          <w:b/>
          <w:bCs/>
        </w:rPr>
        <w:t>Fellowship</w:t>
      </w:r>
      <w:r w:rsidR="003D21AD">
        <w:rPr>
          <w:b/>
          <w:bCs/>
        </w:rPr>
        <w:t>s</w:t>
      </w:r>
      <w:r w:rsidRPr="00CF3D84">
        <w:rPr>
          <w:b/>
          <w:bCs/>
        </w:rPr>
        <w:t>,</w:t>
      </w:r>
      <w:r w:rsidRPr="00044F29">
        <w:t xml:space="preserve"> compounded by </w:t>
      </w:r>
      <w:r w:rsidR="00B352E6">
        <w:t>several</w:t>
      </w:r>
      <w:r w:rsidRPr="00044F29">
        <w:t xml:space="preserve"> design, </w:t>
      </w:r>
      <w:r w:rsidRPr="00044F29" w:rsidDel="00E2480D">
        <w:t>management</w:t>
      </w:r>
      <w:r w:rsidRPr="00044F29">
        <w:t xml:space="preserve"> and contextual factors. Over the years, efforts have been made by </w:t>
      </w:r>
      <w:r w:rsidR="00E2480D" w:rsidRPr="00044F29">
        <w:t xml:space="preserve">the </w:t>
      </w:r>
      <w:r w:rsidRPr="00044F29">
        <w:t xml:space="preserve">DHSC and the MA to increase coherence and coordination among the various partners and funding streams. However, the bases for true coordination and collaboration are still missing. </w:t>
      </w:r>
      <w:bookmarkStart w:id="41" w:name="_Hlk136424400"/>
      <w:r w:rsidRPr="00044F29">
        <w:t>This has likely led to some missed opportunities (in terms of linkages to other relevant agendas) and synergies</w:t>
      </w:r>
      <w:r w:rsidR="00C94FFB">
        <w:t>,</w:t>
      </w:r>
      <w:r w:rsidRPr="00044F29">
        <w:t xml:space="preserve"> and increased transaction costs for country stakeholders.</w:t>
      </w:r>
    </w:p>
    <w:bookmarkEnd w:id="41"/>
    <w:p w14:paraId="738CD166" w14:textId="37FDE597" w:rsidR="00272EE9" w:rsidRPr="00044F29" w:rsidRDefault="00F4019A" w:rsidP="003E0620">
      <w:pPr>
        <w:pStyle w:val="ItadNormalText"/>
      </w:pPr>
      <w:r w:rsidRPr="008343D7">
        <w:rPr>
          <w:b/>
          <w:bCs/>
        </w:rPr>
        <w:lastRenderedPageBreak/>
        <w:t>The MA-managed Fleming Fund investments have generally been well</w:t>
      </w:r>
      <w:r>
        <w:rPr>
          <w:b/>
          <w:bCs/>
        </w:rPr>
        <w:t xml:space="preserve"> </w:t>
      </w:r>
      <w:r w:rsidRPr="008343D7">
        <w:rPr>
          <w:b/>
          <w:bCs/>
        </w:rPr>
        <w:t xml:space="preserve">aligned with national priorities. </w:t>
      </w:r>
      <w:r w:rsidRPr="00F4019A">
        <w:t>On some occasions, however, alignment with government systems and long-term needs could have been stronger.</w:t>
      </w:r>
      <w:r w:rsidRPr="008343D7">
        <w:t xml:space="preserve"> </w:t>
      </w:r>
      <w:r w:rsidR="00C37940" w:rsidRPr="00D7066A">
        <w:t xml:space="preserve">External coherence between all Fleming Fund grants and other </w:t>
      </w:r>
      <w:r w:rsidR="002944F0" w:rsidRPr="00D7066A">
        <w:t>d</w:t>
      </w:r>
      <w:r w:rsidR="00ED2387" w:rsidRPr="00D7066A">
        <w:t xml:space="preserve">elivery </w:t>
      </w:r>
      <w:r w:rsidR="002944F0" w:rsidRPr="00D7066A">
        <w:t>p</w:t>
      </w:r>
      <w:r w:rsidR="00ED2387" w:rsidRPr="00D7066A">
        <w:t>artner</w:t>
      </w:r>
      <w:r w:rsidR="002C041F" w:rsidRPr="00D7066A">
        <w:t>s</w:t>
      </w:r>
      <w:r w:rsidR="00AA6A7B" w:rsidRPr="00D7066A">
        <w:t>’</w:t>
      </w:r>
      <w:r w:rsidR="002C041F" w:rsidRPr="00D7066A">
        <w:t xml:space="preserve"> (</w:t>
      </w:r>
      <w:r w:rsidR="00C37940" w:rsidRPr="00D7066A">
        <w:t>DPs</w:t>
      </w:r>
      <w:r w:rsidR="002C041F" w:rsidRPr="00D7066A">
        <w:t>)</w:t>
      </w:r>
      <w:r w:rsidR="00C37940" w:rsidRPr="00D7066A">
        <w:t xml:space="preserve"> interventions was found to be strong in a majority of the </w:t>
      </w:r>
      <w:r w:rsidR="00062736" w:rsidRPr="00D7066A">
        <w:t>focus countries</w:t>
      </w:r>
      <w:r w:rsidR="00C37940" w:rsidRPr="00D7066A">
        <w:t>.</w:t>
      </w:r>
      <w:r w:rsidR="00C37940" w:rsidRPr="00044F29">
        <w:t xml:space="preserve"> External coherence and coordination </w:t>
      </w:r>
      <w:r w:rsidR="00272EE9">
        <w:t>is</w:t>
      </w:r>
      <w:r w:rsidR="00C37940" w:rsidRPr="00044F29">
        <w:t xml:space="preserve"> </w:t>
      </w:r>
      <w:r w:rsidR="00272EE9">
        <w:t xml:space="preserve">difficult </w:t>
      </w:r>
      <w:r w:rsidR="00C37940" w:rsidRPr="00044F29">
        <w:t>to achieve</w:t>
      </w:r>
      <w:r w:rsidR="00272EE9">
        <w:t xml:space="preserve">, depending on </w:t>
      </w:r>
      <w:r w:rsidR="00272EE9" w:rsidRPr="008343D7">
        <w:t>many factors outside of the control of one programme</w:t>
      </w:r>
      <w:r w:rsidR="003E0620">
        <w:t xml:space="preserve"> and u</w:t>
      </w:r>
      <w:r w:rsidR="00272EE9" w:rsidRPr="008343D7">
        <w:t>ltimately</w:t>
      </w:r>
      <w:r w:rsidR="003E0620">
        <w:t xml:space="preserve"> </w:t>
      </w:r>
      <w:r w:rsidR="00272EE9" w:rsidRPr="008343D7">
        <w:t>the responsibility of a strong AMRCC, although experience suggests this is not always a realistic assumption</w:t>
      </w:r>
      <w:r w:rsidR="00272EE9" w:rsidRPr="008343D7">
        <w:rPr>
          <w:sz w:val="20"/>
          <w:szCs w:val="20"/>
          <w:vertAlign w:val="superscript"/>
        </w:rPr>
        <w:footnoteReference w:id="9"/>
      </w:r>
      <w:r w:rsidR="00272EE9" w:rsidRPr="008343D7">
        <w:t>.</w:t>
      </w:r>
    </w:p>
    <w:bookmarkEnd w:id="40"/>
    <w:p w14:paraId="09278494" w14:textId="3BD41EB5" w:rsidR="00C37940" w:rsidRPr="00FD7A5C" w:rsidRDefault="00C37940" w:rsidP="00CF3D84">
      <w:pPr>
        <w:pStyle w:val="EQhead"/>
      </w:pPr>
      <w:r w:rsidRPr="00FD7A5C">
        <w:t>(EQ6) Did the Fleming Fund</w:t>
      </w:r>
      <w:r w:rsidR="00AA6A7B">
        <w:t>’</w:t>
      </w:r>
      <w:r w:rsidRPr="00FD7A5C">
        <w:t xml:space="preserve">s investments at country level offer </w:t>
      </w:r>
      <w:r w:rsidR="00AA6A7B">
        <w:t>v</w:t>
      </w:r>
      <w:r w:rsidR="00C572BE">
        <w:t xml:space="preserve">alue </w:t>
      </w:r>
      <w:r w:rsidRPr="00FD7A5C">
        <w:t>f</w:t>
      </w:r>
      <w:r w:rsidR="00C572BE">
        <w:t xml:space="preserve">or </w:t>
      </w:r>
      <w:r w:rsidR="00AA6A7B">
        <w:t>m</w:t>
      </w:r>
      <w:r w:rsidR="00C572BE">
        <w:t>oney</w:t>
      </w:r>
      <w:r w:rsidRPr="00FD7A5C">
        <w:t>?</w:t>
      </w:r>
    </w:p>
    <w:p w14:paraId="4C15CCA0" w14:textId="4AAF4234" w:rsidR="00C37940" w:rsidRPr="00853D7E" w:rsidRDefault="00052E3D" w:rsidP="00CF3D84">
      <w:pPr>
        <w:pStyle w:val="ItadNormalText"/>
      </w:pPr>
      <w:bookmarkStart w:id="42" w:name="_Hlk129004533"/>
      <w:r w:rsidRPr="00CF3D84">
        <w:rPr>
          <w:b/>
          <w:bCs/>
        </w:rPr>
        <w:t>The Fleming Fund</w:t>
      </w:r>
      <w:r w:rsidR="00AA6A7B" w:rsidRPr="00CF3D84">
        <w:rPr>
          <w:b/>
          <w:bCs/>
        </w:rPr>
        <w:t>’</w:t>
      </w:r>
      <w:r w:rsidR="00C37940" w:rsidRPr="00CF3D84">
        <w:rPr>
          <w:b/>
          <w:bCs/>
        </w:rPr>
        <w:t>s experience in delivering value for money</w:t>
      </w:r>
      <w:r w:rsidR="00396ABE" w:rsidRPr="00CF3D84">
        <w:rPr>
          <w:b/>
          <w:bCs/>
        </w:rPr>
        <w:t xml:space="preserve"> (VfM)</w:t>
      </w:r>
      <w:r w:rsidR="00C37940" w:rsidRPr="00CF3D84">
        <w:rPr>
          <w:b/>
          <w:bCs/>
        </w:rPr>
        <w:t xml:space="preserve"> generally aligns with the Foreign, Commonwealth </w:t>
      </w:r>
      <w:r w:rsidR="008E4C3E" w:rsidRPr="00CF3D84">
        <w:rPr>
          <w:b/>
          <w:bCs/>
        </w:rPr>
        <w:t>and</w:t>
      </w:r>
      <w:r w:rsidR="00C37940" w:rsidRPr="00CF3D84">
        <w:rPr>
          <w:b/>
          <w:bCs/>
        </w:rPr>
        <w:t xml:space="preserve"> Development Office (FCDO) and the Independent Commission for Aid Impact (ICAI) guidance. Overall, there are strong systems in place to manage economy and efficiency. However, the Fleming Fund has been weaker at establishing systems </w:t>
      </w:r>
      <w:r w:rsidR="003410B8" w:rsidRPr="00CF3D84">
        <w:rPr>
          <w:b/>
          <w:bCs/>
        </w:rPr>
        <w:t xml:space="preserve">to </w:t>
      </w:r>
      <w:r w:rsidR="00C37940" w:rsidRPr="00CF3D84">
        <w:rPr>
          <w:b/>
          <w:bCs/>
        </w:rPr>
        <w:t>manag</w:t>
      </w:r>
      <w:r w:rsidR="003410B8" w:rsidRPr="00CF3D84">
        <w:rPr>
          <w:b/>
          <w:bCs/>
        </w:rPr>
        <w:t>e</w:t>
      </w:r>
      <w:r w:rsidR="00C37940" w:rsidRPr="00CF3D84">
        <w:rPr>
          <w:b/>
          <w:bCs/>
        </w:rPr>
        <w:t xml:space="preserve"> for effectiveness.</w:t>
      </w:r>
      <w:r w:rsidR="00C37940" w:rsidRPr="00853D7E">
        <w:t xml:space="preserve"> </w:t>
      </w:r>
      <w:bookmarkStart w:id="43" w:name="_Hlk136424554"/>
      <w:r w:rsidR="00C37940" w:rsidRPr="00853D7E">
        <w:t>In spite of some existing and planned adaptations to strengthen this area</w:t>
      </w:r>
      <w:r w:rsidR="00965EC6">
        <w:t xml:space="preserve"> </w:t>
      </w:r>
      <w:r w:rsidR="001A1E89">
        <w:t>(</w:t>
      </w:r>
      <w:r w:rsidR="00C37940" w:rsidRPr="00853D7E">
        <w:t xml:space="preserve">and </w:t>
      </w:r>
      <w:r w:rsidR="001201A1">
        <w:t xml:space="preserve">the </w:t>
      </w:r>
      <w:r w:rsidR="00C37940" w:rsidRPr="00853D7E">
        <w:t>Fleming Fund experience is not uncommon compared with other equivalent programmes</w:t>
      </w:r>
      <w:r w:rsidR="001A1E89">
        <w:t>),</w:t>
      </w:r>
      <w:r w:rsidR="00C37940" w:rsidRPr="00853D7E">
        <w:t xml:space="preserve"> this is a key strategic requirement for </w:t>
      </w:r>
      <w:r w:rsidR="00AD1BE7">
        <w:t>phase 2</w:t>
      </w:r>
      <w:r w:rsidR="00C37940" w:rsidRPr="00853D7E">
        <w:t>.</w:t>
      </w:r>
    </w:p>
    <w:bookmarkEnd w:id="43"/>
    <w:p w14:paraId="7B57EC11" w14:textId="37E54B15" w:rsidR="00C37940" w:rsidRPr="00853D7E" w:rsidRDefault="4013EFD8" w:rsidP="4EF651D4">
      <w:pPr>
        <w:pStyle w:val="ItadNormalText"/>
        <w:rPr>
          <w:rFonts w:cs="Calibri"/>
          <w:i/>
          <w:iCs/>
        </w:rPr>
      </w:pPr>
      <w:r w:rsidRPr="4EF651D4">
        <w:rPr>
          <w:b/>
          <w:bCs/>
        </w:rPr>
        <w:t>In narrow terms (economy, efficiency) there is evidence of VfM having been delivered. But in terms of effectiveness (as defined by Organisation for Economic Co-operation and Development (OECD)) the case is less clear.</w:t>
      </w:r>
      <w:r>
        <w:t xml:space="preserve"> There is evidence of significant cost savings (economy) delivered by the MA, underpinned by strong systems to manage budgets and expenditure</w:t>
      </w:r>
      <w:r w:rsidR="3526465E">
        <w:t>s</w:t>
      </w:r>
      <w:r>
        <w:t xml:space="preserve">; performance is comparable to similar programmes. There is some evidence that the value of leveraged resources is reasonably significant in some grants </w:t>
      </w:r>
      <w:r w:rsidR="36925954">
        <w:t>.</w:t>
      </w:r>
      <w:r w:rsidR="1B2D6E79">
        <w:t xml:space="preserve"> </w:t>
      </w:r>
      <w:r w:rsidR="36925954">
        <w:t>However,</w:t>
      </w:r>
      <w:r>
        <w:t xml:space="preserve"> this indicator has not been reported or consistently tracked across all grants.</w:t>
      </w:r>
      <w:r w:rsidR="2F39165C">
        <w:t xml:space="preserve"> </w:t>
      </w:r>
      <w:r>
        <w:t xml:space="preserve">The alignment between Fleming Fund expenditure, contribution and progress in generating quality AMR data </w:t>
      </w:r>
      <w:r w:rsidR="340E532E">
        <w:t xml:space="preserve">is likely </w:t>
      </w:r>
      <w:r>
        <w:t xml:space="preserve">to be high, suggesting </w:t>
      </w:r>
      <w:r w:rsidR="5D0C625C">
        <w:t>one</w:t>
      </w:r>
      <w:r>
        <w:t xml:space="preserve"> positive outcome in terms of VfM.</w:t>
      </w:r>
    </w:p>
    <w:p w14:paraId="77082F20" w14:textId="5AE9C480" w:rsidR="00C37940" w:rsidRDefault="00C37940" w:rsidP="00336339">
      <w:pPr>
        <w:pStyle w:val="ItadH2"/>
        <w:rPr>
          <w:noProof/>
        </w:rPr>
      </w:pPr>
      <w:bookmarkStart w:id="44" w:name="_Toc144049334"/>
      <w:bookmarkStart w:id="45" w:name="_Toc144715794"/>
      <w:bookmarkEnd w:id="42"/>
      <w:r>
        <w:rPr>
          <w:noProof/>
        </w:rPr>
        <w:t>Conclusions</w:t>
      </w:r>
      <w:bookmarkEnd w:id="44"/>
      <w:bookmarkEnd w:id="45"/>
    </w:p>
    <w:p w14:paraId="6A35CF12" w14:textId="77777777" w:rsidR="00444B77" w:rsidRPr="00235501" w:rsidRDefault="00444B77" w:rsidP="00444B77">
      <w:pPr>
        <w:pStyle w:val="ItadNormalText"/>
        <w:rPr>
          <w:rFonts w:cs="Calibri"/>
          <w:i/>
          <w:iCs/>
          <w:lang w:eastAsia="en-GB"/>
        </w:rPr>
      </w:pPr>
      <w:r w:rsidRPr="007753B6">
        <w:rPr>
          <w:lang w:eastAsia="en-GB"/>
        </w:rPr>
        <w:t>The focus of phase 1 of the Fleming Fund was mainly to build the foundations for AMR surveillance. Achievement of the Fleming Fund</w:t>
      </w:r>
      <w:r>
        <w:rPr>
          <w:lang w:eastAsia="en-GB"/>
        </w:rPr>
        <w:t>’</w:t>
      </w:r>
      <w:r w:rsidRPr="007753B6">
        <w:rPr>
          <w:lang w:eastAsia="en-GB"/>
        </w:rPr>
        <w:t>s strategic outcomes, such as significant use of AMR data and analysis to drive or inform anticipated policy, regulatory and behavioural change was expected to be the focus of subsequent phases of support.</w:t>
      </w:r>
      <w:r>
        <w:rPr>
          <w:lang w:eastAsia="en-GB"/>
        </w:rPr>
        <w:t xml:space="preserve"> </w:t>
      </w:r>
      <w:r w:rsidRPr="00235501">
        <w:rPr>
          <w:lang w:eastAsia="en-GB"/>
        </w:rPr>
        <w:t xml:space="preserve">Our conclusions therefore significantly focus on the strengths and weaknesses of </w:t>
      </w:r>
      <w:r w:rsidRPr="00235501">
        <w:rPr>
          <w:noProof/>
          <w:lang w:eastAsia="en-GB"/>
        </w:rPr>
        <w:t>phase 1</w:t>
      </w:r>
      <w:r w:rsidRPr="00235501">
        <w:rPr>
          <w:lang w:eastAsia="en-GB"/>
        </w:rPr>
        <w:t xml:space="preserve"> in terms of maximising the contribution to the outcomes and what needs to change in </w:t>
      </w:r>
      <w:r w:rsidRPr="00235501">
        <w:rPr>
          <w:noProof/>
          <w:lang w:eastAsia="en-GB"/>
        </w:rPr>
        <w:t>phase 2</w:t>
      </w:r>
      <w:r w:rsidRPr="00235501">
        <w:rPr>
          <w:lang w:eastAsia="en-GB"/>
        </w:rPr>
        <w:t>.</w:t>
      </w:r>
    </w:p>
    <w:p w14:paraId="2D55DEED" w14:textId="77777777" w:rsidR="00444B77" w:rsidRPr="00CF3D84" w:rsidRDefault="00444B77" w:rsidP="00444B77">
      <w:pPr>
        <w:pStyle w:val="ItadH3"/>
      </w:pPr>
      <w:bookmarkStart w:id="46" w:name="_Toc144049335"/>
      <w:bookmarkStart w:id="47" w:name="_Toc144715795"/>
      <w:r w:rsidRPr="00336339">
        <w:t>Strengths and weaknesses of the current programme design in terms of supporting LMIC</w:t>
      </w:r>
      <w:r>
        <w:t>s</w:t>
      </w:r>
      <w:r w:rsidRPr="00336339">
        <w:t xml:space="preserve"> to develop and sustain national programmes for surveillance of AMR and antimicrobial use (AMU)</w:t>
      </w:r>
      <w:bookmarkEnd w:id="46"/>
      <w:bookmarkEnd w:id="47"/>
    </w:p>
    <w:p w14:paraId="5255E777" w14:textId="77777777" w:rsidR="00444B77" w:rsidRPr="008A5F96" w:rsidRDefault="00444B77" w:rsidP="00444B77">
      <w:pPr>
        <w:pStyle w:val="ItadH4"/>
      </w:pPr>
      <w:r w:rsidRPr="008A5F96">
        <w:t>Progress towards strategic goals</w:t>
      </w:r>
    </w:p>
    <w:p w14:paraId="449D9101" w14:textId="77777777" w:rsidR="00444B77" w:rsidRPr="008A5F96" w:rsidRDefault="00444B77" w:rsidP="00444B77">
      <w:pPr>
        <w:pStyle w:val="ItadNormalText"/>
        <w:rPr>
          <w:rFonts w:eastAsia="Calibri"/>
          <w:sz w:val="24"/>
          <w:szCs w:val="24"/>
        </w:rPr>
      </w:pPr>
      <w:bookmarkStart w:id="48" w:name="_Hlk129012610"/>
      <w:r w:rsidRPr="00CF3D84">
        <w:rPr>
          <w:b/>
          <w:bCs/>
        </w:rPr>
        <w:t xml:space="preserve">Conclusion 1: During phase 1, the Fleming Fund has made </w:t>
      </w:r>
      <w:r>
        <w:rPr>
          <w:b/>
          <w:bCs/>
        </w:rPr>
        <w:t>significant</w:t>
      </w:r>
      <w:r w:rsidRPr="00CF3D84">
        <w:rPr>
          <w:b/>
          <w:bCs/>
        </w:rPr>
        <w:t xml:space="preserve"> progress </w:t>
      </w:r>
      <w:r w:rsidRPr="00CF3D84">
        <w:rPr>
          <w:b/>
          <w:bCs/>
          <w:noProof/>
          <w:lang w:eastAsia="en-GB"/>
        </w:rPr>
        <w:t>in supporting countries to develop foundations for national AMR and AMU surveillance programmes.</w:t>
      </w:r>
      <w:r w:rsidRPr="00235501">
        <w:rPr>
          <w:lang w:eastAsia="en-GB"/>
        </w:rPr>
        <w:t xml:space="preserve"> </w:t>
      </w:r>
      <w:r w:rsidRPr="00235501">
        <w:rPr>
          <w:noProof/>
        </w:rPr>
        <w:t xml:space="preserve">Laboratory functions have been strengthened compared </w:t>
      </w:r>
      <w:r>
        <w:rPr>
          <w:noProof/>
        </w:rPr>
        <w:t>to</w:t>
      </w:r>
      <w:r w:rsidRPr="00235501">
        <w:rPr>
          <w:noProof/>
        </w:rPr>
        <w:t xml:space="preserve"> international norms, </w:t>
      </w:r>
      <w:r>
        <w:rPr>
          <w:noProof/>
        </w:rPr>
        <w:t xml:space="preserve">the </w:t>
      </w:r>
      <w:r w:rsidRPr="00235501">
        <w:rPr>
          <w:noProof/>
        </w:rPr>
        <w:t xml:space="preserve">capacities of key members of the laboratory workforce have been </w:t>
      </w:r>
      <w:r>
        <w:rPr>
          <w:noProof/>
        </w:rPr>
        <w:t>increased</w:t>
      </w:r>
      <w:r w:rsidRPr="00235501">
        <w:rPr>
          <w:noProof/>
        </w:rPr>
        <w:t xml:space="preserve">, and surveillance functions have been established in some countries. </w:t>
      </w:r>
      <w:r w:rsidRPr="00235501">
        <w:rPr>
          <w:rFonts w:eastAsia="Calibri"/>
        </w:rPr>
        <w:t xml:space="preserve">Broadly, within this narrow focus </w:t>
      </w:r>
      <w:r>
        <w:rPr>
          <w:rFonts w:eastAsia="Calibri"/>
        </w:rPr>
        <w:t>on</w:t>
      </w:r>
      <w:r w:rsidRPr="00235501">
        <w:rPr>
          <w:rFonts w:eastAsia="Calibri"/>
        </w:rPr>
        <w:t xml:space="preserve"> building foundations, phase 1 has achieved what was agreed</w:t>
      </w:r>
      <w:r>
        <w:rPr>
          <w:rFonts w:eastAsia="Calibri"/>
        </w:rPr>
        <w:t xml:space="preserve"> upon</w:t>
      </w:r>
      <w:r w:rsidRPr="00235501">
        <w:rPr>
          <w:rFonts w:eastAsia="Calibri"/>
        </w:rPr>
        <w:t xml:space="preserve"> between the MA and the DHSC.</w:t>
      </w:r>
    </w:p>
    <w:p w14:paraId="6BD0A5DB" w14:textId="77777777" w:rsidR="00444B77" w:rsidRPr="00235501" w:rsidRDefault="00444B77" w:rsidP="00444B77">
      <w:pPr>
        <w:pStyle w:val="ItadNormalText"/>
      </w:pPr>
      <w:r w:rsidRPr="00CF3D84">
        <w:rPr>
          <w:rFonts w:eastAsia="Times New Roman"/>
          <w:b/>
          <w:bCs/>
        </w:rPr>
        <w:t xml:space="preserve">Conclusion 2: </w:t>
      </w:r>
      <w:r w:rsidRPr="00CF3D84">
        <w:rPr>
          <w:b/>
          <w:bCs/>
        </w:rPr>
        <w:t xml:space="preserve">Building on these necessary foundations, it is reasonable to expect that the Fleming Fund will be able to make progress towards achieving its higher-level goals for phase 2 (in terms of the use of data for clinical improvement, policy and behaviour change), </w:t>
      </w:r>
      <w:r w:rsidRPr="00CF3D84">
        <w:rPr>
          <w:rFonts w:eastAsia="Times New Roman"/>
          <w:b/>
          <w:bCs/>
          <w:noProof/>
        </w:rPr>
        <w:t xml:space="preserve">providing there is a </w:t>
      </w:r>
      <w:r w:rsidRPr="00CF3D84">
        <w:rPr>
          <w:rFonts w:eastAsia="Times New Roman"/>
          <w:b/>
          <w:bCs/>
          <w:noProof/>
        </w:rPr>
        <w:lastRenderedPageBreak/>
        <w:t>stronger focus on understanding the needs and priorities of decision</w:t>
      </w:r>
      <w:r>
        <w:rPr>
          <w:rFonts w:eastAsia="Times New Roman"/>
          <w:b/>
          <w:bCs/>
          <w:noProof/>
        </w:rPr>
        <w:t>-</w:t>
      </w:r>
      <w:r w:rsidRPr="00CF3D84">
        <w:rPr>
          <w:rFonts w:eastAsia="Times New Roman"/>
          <w:b/>
          <w:bCs/>
          <w:noProof/>
        </w:rPr>
        <w:t>makers</w:t>
      </w:r>
      <w:r w:rsidRPr="00CF3D84">
        <w:rPr>
          <w:b/>
          <w:bCs/>
        </w:rPr>
        <w:t>.</w:t>
      </w:r>
      <w:r w:rsidRPr="008A5F96">
        <w:t xml:space="preserve"> </w:t>
      </w:r>
      <w:r w:rsidRPr="00235501">
        <w:t xml:space="preserve">However, processes to achieve these goals are inherently political, complex, unpredictable and will take time to work through. In phase 1, the AMR NAPs developed by country governments neither identified prioritised outcomes nor provided a strong framework within which the Fleming Fund could easily engage with key national stakeholders. It cannot be assumed that this will change without support to strengthen NAPs and </w:t>
      </w:r>
      <w:r w:rsidRPr="00876B24">
        <w:t xml:space="preserve">Antimicrobial Resistance Coordinating Committees </w:t>
      </w:r>
      <w:r>
        <w:t>(</w:t>
      </w:r>
      <w:r w:rsidRPr="00235501">
        <w:t>AMRCCs</w:t>
      </w:r>
      <w:r>
        <w:t>)</w:t>
      </w:r>
      <w:r w:rsidRPr="00235501">
        <w:t>.</w:t>
      </w:r>
    </w:p>
    <w:bookmarkEnd w:id="48"/>
    <w:p w14:paraId="3E77C23D" w14:textId="77777777" w:rsidR="00444B77" w:rsidRPr="008A5F96" w:rsidRDefault="00444B77" w:rsidP="00444B77">
      <w:pPr>
        <w:pStyle w:val="ItadH4"/>
      </w:pPr>
      <w:r w:rsidRPr="008A5F96">
        <w:t>Observations on programme design</w:t>
      </w:r>
    </w:p>
    <w:p w14:paraId="1363656C" w14:textId="77777777" w:rsidR="00444B77" w:rsidRPr="00D40FD0" w:rsidRDefault="00444B77" w:rsidP="00444B77">
      <w:pPr>
        <w:pStyle w:val="ItadNormalText"/>
      </w:pPr>
      <w:bookmarkStart w:id="49" w:name="_Hlk129013016"/>
      <w:r w:rsidRPr="00CF3D84">
        <w:rPr>
          <w:b/>
          <w:bCs/>
        </w:rPr>
        <w:t>Conclusion 3:</w:t>
      </w:r>
      <w:r w:rsidRPr="00CF3D84" w:rsidDel="007D2E99">
        <w:rPr>
          <w:b/>
          <w:bCs/>
        </w:rPr>
        <w:t xml:space="preserve"> </w:t>
      </w:r>
      <w:r w:rsidRPr="00CF3D84">
        <w:rPr>
          <w:b/>
          <w:bCs/>
        </w:rPr>
        <w:t>The programme has operated within a challenging context, which will continue into phase 2. However, the Fleming Fund has proven flexible enough to respond effectively, even though some features of the programme design made responding more challenging.</w:t>
      </w:r>
      <w:r w:rsidRPr="00D40FD0">
        <w:t xml:space="preserve"> </w:t>
      </w:r>
      <w:bookmarkStart w:id="50" w:name="_Hlk136426267"/>
      <w:r w:rsidRPr="00D40FD0">
        <w:t xml:space="preserve">Looking forward, the political and economic impacts of COVID-19 and other global factors are still </w:t>
      </w:r>
      <w:r w:rsidRPr="00D40FD0" w:rsidDel="0099582F">
        <w:t>emerging</w:t>
      </w:r>
      <w:r>
        <w:t>.</w:t>
      </w:r>
      <w:r w:rsidRPr="00D40FD0">
        <w:t xml:space="preserve"> </w:t>
      </w:r>
      <w:r>
        <w:t>These</w:t>
      </w:r>
      <w:r w:rsidRPr="00D40FD0">
        <w:t xml:space="preserve"> include economic disruption (global recession and inflation), supply chain issues, high LMIC indebtedness, high-income country budgetary issues, the impacts of climate and environment change</w:t>
      </w:r>
      <w:r>
        <w:t>,</w:t>
      </w:r>
      <w:r w:rsidRPr="00D40FD0">
        <w:t xml:space="preserve"> and the introduction of new technologies. </w:t>
      </w:r>
      <w:bookmarkEnd w:id="50"/>
      <w:r w:rsidRPr="00D40FD0">
        <w:t>A</w:t>
      </w:r>
      <w:r w:rsidRPr="00D40FD0" w:rsidDel="00086594">
        <w:t xml:space="preserve"> </w:t>
      </w:r>
      <w:r w:rsidRPr="00D40FD0">
        <w:t>recent analysis by the World Bank</w:t>
      </w:r>
      <w:r>
        <w:rPr>
          <w:rStyle w:val="FootnoteReference"/>
          <w:rFonts w:eastAsia="Calibri"/>
        </w:rPr>
        <w:footnoteReference w:id="10"/>
      </w:r>
      <w:r w:rsidRPr="00D40FD0">
        <w:t xml:space="preserve"> suggests that per capita government health spending will decline annually in many LMICs, remaining lower than 2019 expenditures each year to 2027. The social environment for vaccines is also problematic, with the emergence of strong anti-vaccination movements (vaccines being a comparatively low-cost but effective response to AMR). All will </w:t>
      </w:r>
      <w:r>
        <w:t>generate</w:t>
      </w:r>
      <w:r w:rsidRPr="00D40FD0">
        <w:t xml:space="preserve"> significant headwinds for governments seeking to make rapid progress against AMR.</w:t>
      </w:r>
      <w:r>
        <w:t xml:space="preserve"> </w:t>
      </w:r>
      <w:r w:rsidRPr="00502530">
        <w:t>The Fleming Fund made a range of changes in response to COVID-19, such as refocusing and extending grants. However, having key</w:t>
      </w:r>
      <w:r>
        <w:t xml:space="preserve"> MA</w:t>
      </w:r>
      <w:r w:rsidRPr="00502530">
        <w:t xml:space="preserve"> management and delivery capacity located </w:t>
      </w:r>
      <w:r>
        <w:t xml:space="preserve">in </w:t>
      </w:r>
      <w:r w:rsidRPr="00502530">
        <w:t xml:space="preserve">regional </w:t>
      </w:r>
      <w:r>
        <w:t xml:space="preserve">hubs </w:t>
      </w:r>
      <w:r w:rsidRPr="00502530">
        <w:t xml:space="preserve">rather than </w:t>
      </w:r>
      <w:r>
        <w:t xml:space="preserve">at the </w:t>
      </w:r>
      <w:r w:rsidRPr="00502530">
        <w:t>country level meant that it was not possible to implement important activities as originally planned.</w:t>
      </w:r>
    </w:p>
    <w:p w14:paraId="673689BE" w14:textId="77777777" w:rsidR="00444B77" w:rsidRPr="00621AEE" w:rsidRDefault="00444B77" w:rsidP="00444B77">
      <w:pPr>
        <w:pStyle w:val="ItadNormalText"/>
        <w:rPr>
          <w:rFonts w:eastAsia="Times New Roman"/>
        </w:rPr>
      </w:pPr>
      <w:r w:rsidRPr="00CF3D84">
        <w:rPr>
          <w:b/>
          <w:bCs/>
        </w:rPr>
        <w:t>Conclusion 4:</w:t>
      </w:r>
      <w:r w:rsidRPr="00CF3D84" w:rsidDel="007D2E99">
        <w:rPr>
          <w:b/>
          <w:bCs/>
        </w:rPr>
        <w:t xml:space="preserve"> </w:t>
      </w:r>
      <w:r w:rsidRPr="00CF3D84">
        <w:rPr>
          <w:b/>
          <w:bCs/>
        </w:rPr>
        <w:t>The MA has successfully operationalised strong and effective procedures to manage economy and efficiency at the activity level.</w:t>
      </w:r>
      <w:r w:rsidRPr="00CF3D84" w:rsidDel="000D33B8">
        <w:rPr>
          <w:b/>
          <w:bCs/>
        </w:rPr>
        <w:t xml:space="preserve"> </w:t>
      </w:r>
      <w:r w:rsidRPr="00CF3D84">
        <w:rPr>
          <w:b/>
          <w:bCs/>
        </w:rPr>
        <w:t>With</w:t>
      </w:r>
      <w:r w:rsidRPr="00CF3D84" w:rsidDel="008F2233">
        <w:rPr>
          <w:b/>
          <w:bCs/>
        </w:rPr>
        <w:t xml:space="preserve"> </w:t>
      </w:r>
      <w:r w:rsidRPr="00CF3D84">
        <w:rPr>
          <w:b/>
          <w:bCs/>
        </w:rPr>
        <w:t>further use of the laboratory capacity established during phase 1, the overall VfM of the programme will be enhanced.</w:t>
      </w:r>
      <w:r w:rsidRPr="00621AEE" w:rsidDel="008B2AAA">
        <w:t xml:space="preserve"> </w:t>
      </w:r>
      <w:r w:rsidRPr="008343D7">
        <w:rPr>
          <w:rFonts w:eastAsia="Times New Roman"/>
          <w:lang w:eastAsia="en-GB"/>
        </w:rPr>
        <w:t>Delivering efficiently</w:t>
      </w:r>
      <w:r>
        <w:rPr>
          <w:rFonts w:eastAsia="Times New Roman"/>
          <w:lang w:eastAsia="en-GB"/>
        </w:rPr>
        <w:t xml:space="preserve"> in this context</w:t>
      </w:r>
      <w:r w:rsidRPr="008343D7">
        <w:rPr>
          <w:rFonts w:eastAsia="Times New Roman"/>
          <w:lang w:eastAsia="en-GB"/>
        </w:rPr>
        <w:t xml:space="preserve"> has been </w:t>
      </w:r>
      <w:r w:rsidRPr="00C72420">
        <w:rPr>
          <w:rFonts w:eastAsia="Times New Roman"/>
          <w:lang w:eastAsia="en-GB"/>
        </w:rPr>
        <w:t>challenging, and the operational model that has been chosen affects VfM in terms of internal and external coherence, as well as management overheads.</w:t>
      </w:r>
      <w:r w:rsidRPr="00C72420">
        <w:t xml:space="preserve"> </w:t>
      </w:r>
      <w:r>
        <w:t xml:space="preserve">It </w:t>
      </w:r>
      <w:r w:rsidRPr="00C72420">
        <w:rPr>
          <w:rFonts w:eastAsia="Times New Roman"/>
          <w:lang w:eastAsia="en-GB"/>
        </w:rPr>
        <w:t xml:space="preserve">has also been challenging to track </w:t>
      </w:r>
      <w:r>
        <w:rPr>
          <w:rFonts w:eastAsia="Times New Roman"/>
          <w:lang w:eastAsia="en-GB"/>
        </w:rPr>
        <w:t xml:space="preserve">efficiency </w:t>
      </w:r>
      <w:r w:rsidRPr="00C72420">
        <w:rPr>
          <w:rFonts w:eastAsia="Times New Roman"/>
          <w:lang w:eastAsia="en-GB"/>
        </w:rPr>
        <w:t xml:space="preserve">given the focus on reporting implementation rates and the lack of a link between financial reporting and outputs; this seems to be driven by systems and cultures within the DHSC. </w:t>
      </w:r>
      <w:r w:rsidRPr="00621AEE">
        <w:t xml:space="preserve">Notwithstanding these challenges, the evidence suggests the delivery of efficiency and economy. The fact that laboratory functions have been strengthened compared to international norms, and the capacities of key members of the laboratory workforce have been </w:t>
      </w:r>
      <w:r>
        <w:t>built up</w:t>
      </w:r>
      <w:r w:rsidRPr="00621AEE">
        <w:t xml:space="preserve"> means that effectiveness has also been delivered, albeit limited to lower-level or intermediate outcomes at this stage. The effectiveness of outputs delivered under </w:t>
      </w:r>
      <w:r>
        <w:t>phase 1</w:t>
      </w:r>
      <w:r w:rsidRPr="00621AEE">
        <w:t xml:space="preserve"> will be highly contingent on the success of </w:t>
      </w:r>
      <w:r>
        <w:t>phase 2</w:t>
      </w:r>
      <w:r w:rsidRPr="00621AEE">
        <w:t xml:space="preserve"> when the priority shifts to the use of AMR evidence.</w:t>
      </w:r>
    </w:p>
    <w:p w14:paraId="324F2FFE" w14:textId="77777777" w:rsidR="00444B77" w:rsidRPr="00BF3D3A" w:rsidRDefault="00444B77" w:rsidP="00444B77">
      <w:pPr>
        <w:pStyle w:val="ItadNormalTextBold"/>
      </w:pPr>
      <w:r w:rsidRPr="00BF3D3A">
        <w:rPr>
          <w:rFonts w:eastAsia="Calibri"/>
        </w:rPr>
        <w:t xml:space="preserve">Conclusion </w:t>
      </w:r>
      <w:r>
        <w:rPr>
          <w:rFonts w:eastAsia="Calibri"/>
        </w:rPr>
        <w:t>5</w:t>
      </w:r>
      <w:r w:rsidRPr="00BF3D3A">
        <w:rPr>
          <w:rFonts w:eastAsia="Calibri"/>
        </w:rPr>
        <w:t>:</w:t>
      </w:r>
      <w:r w:rsidRPr="00BF3D3A" w:rsidDel="007D2E99">
        <w:rPr>
          <w:rFonts w:eastAsia="Calibri"/>
        </w:rPr>
        <w:t xml:space="preserve"> </w:t>
      </w:r>
      <w:r w:rsidRPr="00BF3D3A">
        <w:t xml:space="preserve">Experience from </w:t>
      </w:r>
      <w:r>
        <w:rPr>
          <w:noProof/>
        </w:rPr>
        <w:t>phase 1</w:t>
      </w:r>
      <w:r w:rsidRPr="00BF3D3A">
        <w:t xml:space="preserve"> suggests some specific areas in which </w:t>
      </w:r>
      <w:r w:rsidRPr="00BF3D3A" w:rsidDel="00052E3D">
        <w:t xml:space="preserve">the </w:t>
      </w:r>
      <w:r w:rsidRPr="00BF3D3A">
        <w:t>Fleming Fund can strengthen its approach through further reflection</w:t>
      </w:r>
      <w:r>
        <w:t>;</w:t>
      </w:r>
      <w:r w:rsidRPr="00BF3D3A">
        <w:t xml:space="preserve"> in terms of using a stronger </w:t>
      </w:r>
      <w:r>
        <w:t xml:space="preserve">and prioritised </w:t>
      </w:r>
      <w:r w:rsidRPr="00BF3D3A">
        <w:t xml:space="preserve">sustainability lens </w:t>
      </w:r>
      <w:r>
        <w:t xml:space="preserve">from the start </w:t>
      </w:r>
      <w:r w:rsidRPr="00BF3D3A">
        <w:t>in deciding what support to provide to laboratories, working at the organisational level to sustain capacity</w:t>
      </w:r>
      <w:r>
        <w:t>-building</w:t>
      </w:r>
      <w:r w:rsidRPr="00BF3D3A">
        <w:t xml:space="preserve"> results, focusing on other data types as well as AMR, and differentiating more strongly between support provided to AH and HH. Specific areas include:</w:t>
      </w:r>
    </w:p>
    <w:p w14:paraId="22F0E151" w14:textId="77777777" w:rsidR="00444B77" w:rsidRPr="00BF3D3A" w:rsidRDefault="00444B77" w:rsidP="00444B77">
      <w:pPr>
        <w:pStyle w:val="ItadBullets"/>
      </w:pPr>
      <w:r w:rsidRPr="00BF3D3A">
        <w:rPr>
          <w:i/>
          <w:iCs/>
        </w:rPr>
        <w:t>Laboratory infrastructure enhancement</w:t>
      </w:r>
      <w:r w:rsidRPr="00BF3D3A">
        <w:t>. Specific choices about the nature of support provided and rationale for this</w:t>
      </w:r>
      <w:r>
        <w:t>,</w:t>
      </w:r>
      <w:r w:rsidRPr="00BF3D3A">
        <w:t xml:space="preserve"> </w:t>
      </w:r>
      <w:r>
        <w:t>for example</w:t>
      </w:r>
      <w:r w:rsidRPr="00BF3D3A">
        <w:t xml:space="preserve"> in terms of the sustainability implications of automating laboratory </w:t>
      </w:r>
      <w:r w:rsidRPr="00BF3D3A">
        <w:rPr>
          <w:noProof/>
        </w:rPr>
        <w:t>processes</w:t>
      </w:r>
      <w:r w:rsidRPr="00BF3D3A">
        <w:t xml:space="preserve"> through the supply of sophisticated and expensive equipment, and the supply of consumables and reagents.</w:t>
      </w:r>
    </w:p>
    <w:p w14:paraId="0E00A331" w14:textId="77777777" w:rsidR="00444B77" w:rsidRPr="00BF3D3A" w:rsidRDefault="00444B77" w:rsidP="00444B77">
      <w:pPr>
        <w:pStyle w:val="ItadBullets"/>
      </w:pPr>
      <w:r w:rsidRPr="00BF3D3A">
        <w:rPr>
          <w:i/>
          <w:iCs/>
        </w:rPr>
        <w:lastRenderedPageBreak/>
        <w:t>Human resource strengthening and workforce reforms</w:t>
      </w:r>
      <w:r w:rsidRPr="00BF3D3A">
        <w:t>. Working at the organisational/</w:t>
      </w:r>
      <w:r>
        <w:t xml:space="preserve"> </w:t>
      </w:r>
      <w:r w:rsidRPr="00BF3D3A">
        <w:t>institutional (rather than individual) level to strengthen the sustainability of capacity building (health workforce training) efforts.</w:t>
      </w:r>
    </w:p>
    <w:p w14:paraId="49813C35" w14:textId="77777777" w:rsidR="00444B77" w:rsidRPr="00BF3D3A" w:rsidRDefault="00444B77" w:rsidP="00444B77">
      <w:pPr>
        <w:pStyle w:val="ItadBullets"/>
        <w:rPr>
          <w:rFonts w:eastAsia="Calibri" w:cs="Calibri"/>
        </w:rPr>
      </w:pPr>
      <w:r w:rsidRPr="00F136A6">
        <w:rPr>
          <w:rFonts w:eastAsia="Calibri"/>
          <w:i/>
          <w:iCs/>
        </w:rPr>
        <w:t xml:space="preserve">Focus on AMC/U and other types of data. </w:t>
      </w:r>
      <w:r>
        <w:t xml:space="preserve">A </w:t>
      </w:r>
      <w:r w:rsidRPr="00BF3D3A">
        <w:t xml:space="preserve">central </w:t>
      </w:r>
      <w:r>
        <w:t xml:space="preserve">assumption </w:t>
      </w:r>
      <w:r w:rsidRPr="00BF3D3A">
        <w:t xml:space="preserve">of the Fleming Fund </w:t>
      </w:r>
      <w:r>
        <w:t xml:space="preserve">is </w:t>
      </w:r>
      <w:r w:rsidRPr="00BF3D3A">
        <w:t>that</w:t>
      </w:r>
      <w:r>
        <w:t xml:space="preserve"> </w:t>
      </w:r>
      <w:r w:rsidRPr="00BF3D3A">
        <w:t>to</w:t>
      </w:r>
      <w:r w:rsidRPr="00BF3D3A">
        <w:rPr>
          <w:i/>
          <w:iCs/>
        </w:rPr>
        <w:t xml:space="preserve"> </w:t>
      </w:r>
      <w:r w:rsidRPr="00BF3D3A">
        <w:t>ensure AMR is prioritised, key national and local stakeholders need to have evidence of both the trends of resistance and the impact that this is having on the health of their populations</w:t>
      </w:r>
      <w:r w:rsidRPr="00BF3D3A">
        <w:rPr>
          <w:i/>
          <w:iCs/>
        </w:rPr>
        <w:t>.</w:t>
      </w:r>
      <w:r>
        <w:rPr>
          <w:i/>
          <w:iCs/>
        </w:rPr>
        <w:t xml:space="preserve"> </w:t>
      </w:r>
      <w:r w:rsidRPr="00FF7173">
        <w:t>However</w:t>
      </w:r>
      <w:r>
        <w:rPr>
          <w:i/>
          <w:iCs/>
        </w:rPr>
        <w:t xml:space="preserve">, </w:t>
      </w:r>
      <w:r>
        <w:t>since 2018, o</w:t>
      </w:r>
      <w:r w:rsidRPr="00BF3D3A">
        <w:t xml:space="preserve">ver half the focus countries have initiated </w:t>
      </w:r>
      <w:r>
        <w:t>important</w:t>
      </w:r>
      <w:r w:rsidRPr="00BF3D3A">
        <w:t xml:space="preserve"> policy and regulatory action on AMR at the national level without </w:t>
      </w:r>
      <w:r>
        <w:t xml:space="preserve">using </w:t>
      </w:r>
      <w:r w:rsidRPr="00BF3D3A">
        <w:t xml:space="preserve">significant analysis from </w:t>
      </w:r>
      <w:r>
        <w:t xml:space="preserve">Fleming </w:t>
      </w:r>
      <w:r w:rsidRPr="00BF3D3A">
        <w:t>Fund investments</w:t>
      </w:r>
      <w:r>
        <w:t>.</w:t>
      </w:r>
      <w:r w:rsidRPr="00BF3D3A">
        <w:t xml:space="preserve"> </w:t>
      </w:r>
      <w:r>
        <w:t xml:space="preserve">This experience </w:t>
      </w:r>
      <w:r w:rsidRPr="00BF3D3A">
        <w:t xml:space="preserve">suggests that change at country level can have other drivers and, if identified, </w:t>
      </w:r>
      <w:r>
        <w:t xml:space="preserve">presents </w:t>
      </w:r>
      <w:r w:rsidRPr="00BF3D3A">
        <w:t>a wider range of opportunities for the Fleming Fund to contribute to its higher-level objectives.</w:t>
      </w:r>
    </w:p>
    <w:p w14:paraId="7DEF99F0" w14:textId="77777777" w:rsidR="00444B77" w:rsidRPr="00300891" w:rsidRDefault="00444B77" w:rsidP="00444B77">
      <w:pPr>
        <w:pStyle w:val="ItadBullets"/>
        <w:rPr>
          <w:rFonts w:eastAsia="Calibri"/>
          <w:bCs/>
        </w:rPr>
      </w:pPr>
      <w:r w:rsidRPr="00853D7E">
        <w:rPr>
          <w:rFonts w:eastAsia="Times New Roman"/>
          <w:i/>
          <w:iCs/>
        </w:rPr>
        <w:t>Give greater priority to sustainability from the start</w:t>
      </w:r>
      <w:r w:rsidRPr="00651501">
        <w:rPr>
          <w:rFonts w:eastAsia="Times New Roman"/>
          <w:b/>
          <w:bCs/>
        </w:rPr>
        <w:t xml:space="preserve">. </w:t>
      </w:r>
      <w:r w:rsidRPr="00651501">
        <w:rPr>
          <w:rFonts w:eastAsia="Times New Roman"/>
        </w:rPr>
        <w:t>Whil</w:t>
      </w:r>
      <w:r>
        <w:rPr>
          <w:rFonts w:eastAsia="Times New Roman"/>
        </w:rPr>
        <w:t>e</w:t>
      </w:r>
      <w:r w:rsidRPr="00651501">
        <w:rPr>
          <w:rFonts w:eastAsia="Times New Roman"/>
        </w:rPr>
        <w:t xml:space="preserve"> p</w:t>
      </w:r>
      <w:r w:rsidRPr="00651501">
        <w:t xml:space="preserve">hase 2 appears set to address some of the challenges noted in section </w:t>
      </w:r>
      <w:r w:rsidRPr="00651501">
        <w:fldChar w:fldCharType="begin"/>
      </w:r>
      <w:r w:rsidRPr="00651501">
        <w:instrText xml:space="preserve"> REF _Ref128749358 \r \h  \* MERGEFORMAT </w:instrText>
      </w:r>
      <w:r w:rsidRPr="00651501">
        <w:fldChar w:fldCharType="separate"/>
      </w:r>
      <w:r w:rsidRPr="00651501">
        <w:rPr>
          <w:cs/>
        </w:rPr>
        <w:t>‎</w:t>
      </w:r>
      <w:r w:rsidRPr="00651501">
        <w:t>2.3</w:t>
      </w:r>
      <w:r w:rsidRPr="00651501">
        <w:fldChar w:fldCharType="end"/>
      </w:r>
      <w:r w:rsidRPr="00651501">
        <w:t>, the detail on how this will happen remains unclear to the evaluation team. Sustainability is a shared responsibility between the DHSC, the MA team and recipient governments. During phase 1, d</w:t>
      </w:r>
      <w:r w:rsidRPr="00651501">
        <w:rPr>
          <w:rFonts w:eastAsia="Times New Roman"/>
        </w:rPr>
        <w:t>evelopin</w:t>
      </w:r>
      <w:r w:rsidRPr="00300891">
        <w:rPr>
          <w:rFonts w:eastAsia="Times New Roman"/>
        </w:rPr>
        <w:t xml:space="preserve">g an approach to sustainability that might be effective has been constrained by a lack of consensus on what needs to be sustained. </w:t>
      </w:r>
      <w:r w:rsidRPr="00300891">
        <w:rPr>
          <w:rFonts w:eastAsia="Times New Roman"/>
          <w:noProof/>
        </w:rPr>
        <w:t>At the surveillance</w:t>
      </w:r>
      <w:r w:rsidRPr="00300891">
        <w:rPr>
          <w:rFonts w:eastAsia="Times New Roman"/>
        </w:rPr>
        <w:t xml:space="preserve"> system level, the extent to which it is feasible and realistic to expect governments to allocate scar</w:t>
      </w:r>
      <w:r>
        <w:rPr>
          <w:rFonts w:eastAsia="Times New Roman"/>
        </w:rPr>
        <w:t>c</w:t>
      </w:r>
      <w:r w:rsidRPr="00300891">
        <w:rPr>
          <w:rFonts w:eastAsia="Times New Roman"/>
        </w:rPr>
        <w:t>e domestic resources to AMR surveillance functions, particularly where the investment case is not clear</w:t>
      </w:r>
      <w:r>
        <w:rPr>
          <w:rFonts w:eastAsia="Times New Roman"/>
        </w:rPr>
        <w:t>,</w:t>
      </w:r>
      <w:r w:rsidRPr="00300891">
        <w:rPr>
          <w:rFonts w:eastAsia="Times New Roman"/>
        </w:rPr>
        <w:t xml:space="preserve"> needs to be carefully considered, alongside the question of whether some aspects need to be funded as a global public good.</w:t>
      </w:r>
      <w:r w:rsidRPr="00300891" w:rsidDel="007D2E99">
        <w:rPr>
          <w:rFonts w:eastAsia="Times New Roman"/>
        </w:rPr>
        <w:t xml:space="preserve"> </w:t>
      </w:r>
      <w:r w:rsidRPr="00300891">
        <w:rPr>
          <w:rFonts w:eastAsia="Times New Roman"/>
        </w:rPr>
        <w:t>De</w:t>
      </w:r>
      <w:r w:rsidRPr="00300891">
        <w:t xml:space="preserve">veloping plans and strategies for sustainability </w:t>
      </w:r>
      <w:r>
        <w:t>should</w:t>
      </w:r>
      <w:r w:rsidRPr="00300891">
        <w:t xml:space="preserve"> be done based on detailed, context-specific, politically informed analysis similar to that outlined in section </w:t>
      </w:r>
      <w:r>
        <w:t>2.2 of the main body of the report</w:t>
      </w:r>
      <w:r w:rsidRPr="00300891">
        <w:t>.</w:t>
      </w:r>
    </w:p>
    <w:p w14:paraId="6BF18079" w14:textId="77777777" w:rsidR="00444B77" w:rsidRPr="00E557EA" w:rsidRDefault="00444B77" w:rsidP="00444B77">
      <w:pPr>
        <w:pStyle w:val="ItadBullets"/>
      </w:pPr>
      <w:r w:rsidRPr="00BF3D3A">
        <w:rPr>
          <w:i/>
          <w:iCs/>
        </w:rPr>
        <w:t>Differentiation</w:t>
      </w:r>
      <w:r w:rsidRPr="008A5F96">
        <w:rPr>
          <w:i/>
          <w:iCs/>
        </w:rPr>
        <w:t xml:space="preserve"> </w:t>
      </w:r>
      <w:r w:rsidRPr="00E557EA">
        <w:t>could be strengthened by giving more thought to the A</w:t>
      </w:r>
      <w:r>
        <w:t>–</w:t>
      </w:r>
      <w:r w:rsidRPr="00E557EA">
        <w:t xml:space="preserve">D categorisation </w:t>
      </w:r>
      <w:r w:rsidRPr="008A5F96">
        <w:t>(see Annex 15</w:t>
      </w:r>
      <w:r>
        <w:t>, Table 47</w:t>
      </w:r>
      <w:r w:rsidRPr="008A5F96">
        <w:t xml:space="preserve">) </w:t>
      </w:r>
      <w:r w:rsidRPr="00E557EA">
        <w:t xml:space="preserve">that the MA presented in </w:t>
      </w:r>
      <w:r w:rsidRPr="008A5F96">
        <w:t>phase 1</w:t>
      </w:r>
      <w:r w:rsidRPr="00E557EA">
        <w:t xml:space="preserve"> but which has not been central to targeting change.</w:t>
      </w:r>
    </w:p>
    <w:p w14:paraId="2ADA9E90" w14:textId="77777777" w:rsidR="00444B77" w:rsidRPr="0002497A" w:rsidRDefault="00444B77" w:rsidP="00444B77">
      <w:pPr>
        <w:pStyle w:val="ItadNormalText"/>
      </w:pPr>
      <w:r w:rsidRPr="00CF3D84">
        <w:rPr>
          <w:b/>
          <w:bCs/>
        </w:rPr>
        <w:t xml:space="preserve">Conclusion 6: The Fleming Fund deserves recognition for prioritising One Health and for convening cross-sectoral dialogues. The </w:t>
      </w:r>
      <w:r w:rsidRPr="00CF3D84">
        <w:rPr>
          <w:b/>
          <w:bCs/>
          <w:noProof/>
        </w:rPr>
        <w:t>lack</w:t>
      </w:r>
      <w:r w:rsidRPr="00CF3D84">
        <w:rPr>
          <w:b/>
          <w:bCs/>
        </w:rPr>
        <w:t xml:space="preserve"> of models</w:t>
      </w:r>
      <w:r w:rsidRPr="00CF3D84">
        <w:rPr>
          <w:b/>
          <w:bCs/>
          <w:sz w:val="20"/>
          <w:szCs w:val="20"/>
          <w:vertAlign w:val="superscript"/>
        </w:rPr>
        <w:footnoteReference w:id="11"/>
      </w:r>
      <w:r w:rsidRPr="00CF3D84">
        <w:rPr>
          <w:b/>
          <w:bCs/>
        </w:rPr>
        <w:t xml:space="preserve"> on how this can be operationalised at a national scale has impacted the design of the Fleming Fund’s One Health approach. Experience from the joint research aspects of the Fellowship programme, which echoes wider experience in One Health, may help</w:t>
      </w:r>
      <w:r w:rsidRPr="00CF3D84" w:rsidDel="00641B20">
        <w:rPr>
          <w:b/>
          <w:bCs/>
        </w:rPr>
        <w:t xml:space="preserve"> </w:t>
      </w:r>
      <w:r w:rsidRPr="00CF3D84">
        <w:rPr>
          <w:b/>
          <w:bCs/>
        </w:rPr>
        <w:t xml:space="preserve">identify informal mechanisms to replicate during </w:t>
      </w:r>
      <w:r w:rsidRPr="00CF3D84">
        <w:rPr>
          <w:b/>
          <w:bCs/>
          <w:noProof/>
        </w:rPr>
        <w:t>phase 2</w:t>
      </w:r>
      <w:r w:rsidRPr="00CF3D84">
        <w:rPr>
          <w:b/>
          <w:bCs/>
        </w:rPr>
        <w:t>.</w:t>
      </w:r>
      <w:r w:rsidRPr="0002497A" w:rsidDel="00DC0A9A">
        <w:t xml:space="preserve"> </w:t>
      </w:r>
      <w:r w:rsidRPr="0002497A">
        <w:rPr>
          <w:rFonts w:eastAsia="Yu Mincho"/>
        </w:rPr>
        <w:t>When the</w:t>
      </w:r>
      <w:r w:rsidRPr="0002497A">
        <w:t xml:space="preserve"> Fleming Fund started, it relied on limited practical guidance around how to successfully operationalise One Health in different country contexts. This is something that the international agencies have only now started to address, as demonstrated in the objectives of the recent World Health Assembly resolution on One Health</w:t>
      </w:r>
      <w:r w:rsidRPr="0002497A">
        <w:rPr>
          <w:vertAlign w:val="superscript"/>
        </w:rPr>
        <w:footnoteReference w:id="12"/>
      </w:r>
      <w:r w:rsidRPr="0002497A">
        <w:t xml:space="preserve"> and with the development of a more structured approach to implementing One Health.</w:t>
      </w:r>
      <w:r w:rsidRPr="0002497A">
        <w:rPr>
          <w:vertAlign w:val="superscript"/>
        </w:rPr>
        <w:footnoteReference w:id="13"/>
      </w:r>
      <w:r w:rsidRPr="0002497A">
        <w:t xml:space="preserve"> However, there are few examples of effective One Health approach implementation </w:t>
      </w:r>
      <w:r>
        <w:t>on</w:t>
      </w:r>
      <w:r w:rsidRPr="0002497A">
        <w:t xml:space="preserve"> a national scale. During this evaluation, we found that One Health partnerships can assume different forms across different countries, including varying levels of formality</w:t>
      </w:r>
      <w:r>
        <w:t>,</w:t>
      </w:r>
      <w:r w:rsidRPr="0002497A">
        <w:t xml:space="preserve"> and that formal and informal modes of partnerships often work together. Working with different degrees of formality/informality in One Health structures across Fleming Fund</w:t>
      </w:r>
      <w:r>
        <w:t>-</w:t>
      </w:r>
      <w:r w:rsidRPr="0002497A">
        <w:t xml:space="preserve">supported countries is likely to be key during </w:t>
      </w:r>
      <w:r>
        <w:t>phase 2</w:t>
      </w:r>
      <w:r w:rsidRPr="0002497A">
        <w:t>, and there is potential to draw on the Fleming Fellows</w:t>
      </w:r>
      <w:r>
        <w:t>’</w:t>
      </w:r>
      <w:r w:rsidRPr="0002497A">
        <w:t xml:space="preserve"> joint research projects to learn lessons about supporting multisector collaboration.</w:t>
      </w:r>
    </w:p>
    <w:bookmarkEnd w:id="49"/>
    <w:p w14:paraId="2001D6DA" w14:textId="77777777" w:rsidR="00444B77" w:rsidRPr="008A5F96" w:rsidRDefault="00444B77" w:rsidP="00444B77">
      <w:pPr>
        <w:pStyle w:val="ItadH4"/>
      </w:pPr>
      <w:r w:rsidRPr="008A5F96">
        <w:t>Observations on programme management and implementation</w:t>
      </w:r>
    </w:p>
    <w:p w14:paraId="019C2930" w14:textId="77777777" w:rsidR="00444B77" w:rsidRPr="00DB59D5" w:rsidRDefault="00444B77" w:rsidP="00444B77">
      <w:pPr>
        <w:pStyle w:val="ItadNormalText"/>
      </w:pPr>
      <w:bookmarkStart w:id="51" w:name="_Hlk129017163"/>
      <w:r w:rsidRPr="00CF3D84">
        <w:rPr>
          <w:b/>
          <w:bCs/>
        </w:rPr>
        <w:t>Conclusion 7:</w:t>
      </w:r>
      <w:r w:rsidRPr="00CF3D84" w:rsidDel="007D2E99">
        <w:rPr>
          <w:b/>
          <w:bCs/>
        </w:rPr>
        <w:t xml:space="preserve"> </w:t>
      </w:r>
      <w:r w:rsidRPr="00CF3D84">
        <w:rPr>
          <w:b/>
          <w:bCs/>
        </w:rPr>
        <w:t xml:space="preserve">During phase 1, planning by both the MA and DHSC was over-optimistic in terms of the time taken for design and approval and then delivery. It is not clear </w:t>
      </w:r>
      <w:r>
        <w:rPr>
          <w:b/>
          <w:bCs/>
        </w:rPr>
        <w:t>whether</w:t>
      </w:r>
      <w:r w:rsidRPr="00CF3D84">
        <w:rPr>
          <w:b/>
          <w:bCs/>
        </w:rPr>
        <w:t xml:space="preserve"> this has been </w:t>
      </w:r>
      <w:r w:rsidRPr="00CF3D84">
        <w:rPr>
          <w:b/>
          <w:bCs/>
        </w:rPr>
        <w:lastRenderedPageBreak/>
        <w:t>fully addressed for phase 2.</w:t>
      </w:r>
      <w:r w:rsidRPr="00DB59D5" w:rsidDel="00E95D2D">
        <w:rPr>
          <w:rFonts w:cs="Calibri"/>
        </w:rPr>
        <w:t xml:space="preserve"> </w:t>
      </w:r>
      <w:bookmarkStart w:id="52" w:name="_Hlk136428371"/>
      <w:r>
        <w:rPr>
          <w:rFonts w:asciiTheme="minorHAnsi" w:hAnsiTheme="minorHAnsi" w:cstheme="minorHAnsi"/>
        </w:rPr>
        <w:t>I</w:t>
      </w:r>
      <w:r w:rsidRPr="00DB59D5">
        <w:rPr>
          <w:rFonts w:asciiTheme="minorHAnsi" w:hAnsiTheme="minorHAnsi" w:cstheme="minorHAnsi"/>
        </w:rPr>
        <w:t xml:space="preserve">mplementation has </w:t>
      </w:r>
      <w:r>
        <w:rPr>
          <w:rFonts w:asciiTheme="minorHAnsi" w:hAnsiTheme="minorHAnsi" w:cstheme="minorHAnsi"/>
        </w:rPr>
        <w:t>not met</w:t>
      </w:r>
      <w:r w:rsidRPr="00DB59D5">
        <w:rPr>
          <w:rFonts w:asciiTheme="minorHAnsi" w:hAnsiTheme="minorHAnsi" w:cstheme="minorHAnsi"/>
        </w:rPr>
        <w:t xml:space="preserve"> expect</w:t>
      </w:r>
      <w:r>
        <w:rPr>
          <w:rFonts w:asciiTheme="minorHAnsi" w:hAnsiTheme="minorHAnsi" w:cstheme="minorHAnsi"/>
        </w:rPr>
        <w:t>ations</w:t>
      </w:r>
      <w:r w:rsidRPr="00DB59D5">
        <w:rPr>
          <w:rFonts w:asciiTheme="minorHAnsi" w:hAnsiTheme="minorHAnsi" w:cstheme="minorHAnsi"/>
        </w:rPr>
        <w:t xml:space="preserve"> due to a range of factors (some of which were outside MA and the DHSC control) including</w:t>
      </w:r>
      <w:r>
        <w:rPr>
          <w:rFonts w:asciiTheme="minorHAnsi" w:hAnsiTheme="minorHAnsi" w:cstheme="minorHAnsi"/>
        </w:rPr>
        <w:t>:</w:t>
      </w:r>
      <w:r w:rsidRPr="00DB59D5">
        <w:rPr>
          <w:rFonts w:asciiTheme="minorHAnsi" w:hAnsiTheme="minorHAnsi" w:cstheme="minorHAnsi"/>
        </w:rPr>
        <w:t xml:space="preserve"> two civil service </w:t>
      </w:r>
      <w:r w:rsidRPr="00483FC0">
        <w:rPr>
          <w:rFonts w:asciiTheme="minorHAnsi" w:hAnsiTheme="minorHAnsi" w:cstheme="minorHAnsi"/>
        </w:rPr>
        <w:t>purdahs</w:t>
      </w:r>
      <w:r>
        <w:rPr>
          <w:rFonts w:asciiTheme="minorHAnsi" w:hAnsiTheme="minorHAnsi" w:cstheme="minorHAnsi"/>
        </w:rPr>
        <w:t>;</w:t>
      </w:r>
      <w:r>
        <w:rPr>
          <w:rStyle w:val="FootnoteReference"/>
        </w:rPr>
        <w:footnoteReference w:id="14"/>
      </w:r>
      <w:r w:rsidRPr="00DB59D5">
        <w:rPr>
          <w:rFonts w:asciiTheme="minorHAnsi" w:hAnsiTheme="minorHAnsi" w:cstheme="minorHAnsi"/>
        </w:rPr>
        <w:t xml:space="preserve"> delays in contracting the MA</w:t>
      </w:r>
      <w:r w:rsidRPr="00DB59D5">
        <w:rPr>
          <w:rFonts w:cstheme="minorHAnsi"/>
        </w:rPr>
        <w:t xml:space="preserve"> </w:t>
      </w:r>
      <w:r w:rsidRPr="00DB59D5">
        <w:rPr>
          <w:rFonts w:asciiTheme="minorHAnsi" w:hAnsiTheme="minorHAnsi" w:cstheme="minorHAnsi"/>
        </w:rPr>
        <w:t>and sign-off on the MA</w:t>
      </w:r>
      <w:r>
        <w:rPr>
          <w:rFonts w:asciiTheme="minorHAnsi" w:hAnsiTheme="minorHAnsi" w:cstheme="minorHAnsi"/>
        </w:rPr>
        <w:t>’</w:t>
      </w:r>
      <w:r w:rsidRPr="00DB59D5">
        <w:rPr>
          <w:rFonts w:asciiTheme="minorHAnsi" w:hAnsiTheme="minorHAnsi" w:cstheme="minorHAnsi"/>
        </w:rPr>
        <w:t>s implementation plan (which was extended from eight to 17 months)</w:t>
      </w:r>
      <w:r>
        <w:rPr>
          <w:rFonts w:asciiTheme="minorHAnsi" w:hAnsiTheme="minorHAnsi" w:cstheme="minorHAnsi"/>
        </w:rPr>
        <w:t>;</w:t>
      </w:r>
      <w:r w:rsidRPr="00DB59D5">
        <w:rPr>
          <w:rFonts w:asciiTheme="minorHAnsi" w:hAnsiTheme="minorHAnsi" w:cstheme="minorHAnsi"/>
        </w:rPr>
        <w:t xml:space="preserve"> country positioning and competitive tendering taking longer than expected (including the approval of key documentation by DHSC)</w:t>
      </w:r>
      <w:r w:rsidRPr="00DB59D5">
        <w:rPr>
          <w:rFonts w:cstheme="minorHAnsi"/>
        </w:rPr>
        <w:t xml:space="preserve"> </w:t>
      </w:r>
      <w:r>
        <w:rPr>
          <w:rFonts w:asciiTheme="minorHAnsi" w:hAnsiTheme="minorHAnsi" w:cstheme="minorHAnsi"/>
          <w:color w:val="3B3B3C" w:themeColor="text1"/>
        </w:rPr>
        <w:t xml:space="preserve">due to COVID-19, </w:t>
      </w:r>
      <w:r w:rsidRPr="00DB59D5">
        <w:rPr>
          <w:rFonts w:asciiTheme="minorHAnsi" w:hAnsiTheme="minorHAnsi" w:cstheme="minorHAnsi"/>
        </w:rPr>
        <w:t>and</w:t>
      </w:r>
      <w:r>
        <w:rPr>
          <w:rFonts w:asciiTheme="minorHAnsi" w:hAnsiTheme="minorHAnsi" w:cstheme="minorHAnsi"/>
        </w:rPr>
        <w:t xml:space="preserve"> due to</w:t>
      </w:r>
      <w:r w:rsidRPr="00DB59D5">
        <w:rPr>
          <w:rFonts w:asciiTheme="minorHAnsi" w:hAnsiTheme="minorHAnsi" w:cstheme="minorHAnsi"/>
        </w:rPr>
        <w:t xml:space="preserve"> the challenges of working in specific country contexts.</w:t>
      </w:r>
      <w:bookmarkEnd w:id="52"/>
      <w:r w:rsidRPr="00DB59D5">
        <w:rPr>
          <w:rFonts w:asciiTheme="minorHAnsi" w:hAnsiTheme="minorHAnsi" w:cstheme="minorHAnsi"/>
        </w:rPr>
        <w:t xml:space="preserve"> </w:t>
      </w:r>
      <w:r w:rsidRPr="00DB59D5">
        <w:rPr>
          <w:rFonts w:cs="Calibri"/>
        </w:rPr>
        <w:t>The competitive tender process required by His Majesty</w:t>
      </w:r>
      <w:r>
        <w:rPr>
          <w:rFonts w:cs="Calibri"/>
        </w:rPr>
        <w:t>’</w:t>
      </w:r>
      <w:r w:rsidRPr="00DB59D5">
        <w:rPr>
          <w:rFonts w:cs="Calibri"/>
        </w:rPr>
        <w:t xml:space="preserve">s Government (HMG) procurement rules was of limited relevance in the context of a highly technical intervention where the pool of qualified suppliers is small. </w:t>
      </w:r>
      <w:r>
        <w:rPr>
          <w:rFonts w:cs="Calibri"/>
        </w:rPr>
        <w:t>CG</w:t>
      </w:r>
      <w:r w:rsidRPr="00DB59D5">
        <w:t xml:space="preserve"> implementation, therefore, began two years after the start </w:t>
      </w:r>
      <w:r w:rsidRPr="00DB59D5" w:rsidDel="00AA7B25">
        <w:t>of</w:t>
      </w:r>
      <w:r w:rsidRPr="00DB59D5">
        <w:t xml:space="preserve"> the programme, and </w:t>
      </w:r>
      <w:r w:rsidRPr="00DB59D5" w:rsidDel="00052E3D">
        <w:t xml:space="preserve">the </w:t>
      </w:r>
      <w:r w:rsidRPr="00DB59D5">
        <w:t>Fleming Fund has been catching up since. Whil</w:t>
      </w:r>
      <w:r>
        <w:t>e</w:t>
      </w:r>
      <w:r w:rsidRPr="00DB59D5">
        <w:t xml:space="preserve"> these issues are well known by the MA and the DHSC, there is an understandable risk that ambition and realism are not well balanced in setting expectations for what can be delivered in </w:t>
      </w:r>
      <w:r>
        <w:rPr>
          <w:noProof/>
        </w:rPr>
        <w:t>phase 2</w:t>
      </w:r>
      <w:r w:rsidRPr="00DB59D5">
        <w:t>.</w:t>
      </w:r>
    </w:p>
    <w:p w14:paraId="5EE4CE8F" w14:textId="77777777" w:rsidR="00444B77" w:rsidRPr="00BF2830" w:rsidRDefault="00444B77" w:rsidP="00444B77">
      <w:pPr>
        <w:pStyle w:val="ItadNormalText"/>
      </w:pPr>
      <w:bookmarkStart w:id="53" w:name="_Hlk129017480"/>
      <w:bookmarkEnd w:id="51"/>
      <w:r w:rsidRPr="00CF3D84">
        <w:rPr>
          <w:b/>
          <w:bCs/>
        </w:rPr>
        <w:t xml:space="preserve">Conclusion 8: The complexity of the programme, with multiple Fund grantees operating at the country level, has made it challenging to deliver coherence across </w:t>
      </w:r>
      <w:r w:rsidRPr="00CF3D84" w:rsidDel="00052E3D">
        <w:rPr>
          <w:b/>
          <w:bCs/>
        </w:rPr>
        <w:t xml:space="preserve">the </w:t>
      </w:r>
      <w:r w:rsidRPr="00CF3D84">
        <w:rPr>
          <w:b/>
          <w:bCs/>
        </w:rPr>
        <w:t>Fleming Fund’s investments. This has been exacerbated by the DHSC’s decision to expand the number of grantees. The challenge was recognised, and progress was made but focused mainly on avoiding duplication. Less progress has been made in enhancing synergy and greater overall effectiveness. Evidence of external coherence with external partners is strong within limits but reflects the lack of working formal government coordination mechanisms: ultimately, external coherence should be the remit of AMRCCs but these are not always fully functional and do not always include all relevant non-government stakeholders.</w:t>
      </w:r>
      <w:r w:rsidRPr="00BF2830">
        <w:t xml:space="preserve"> </w:t>
      </w:r>
      <w:r w:rsidRPr="00504E64">
        <w:t>Nevertheless,</w:t>
      </w:r>
      <w:r>
        <w:t xml:space="preserve"> </w:t>
      </w:r>
      <w:r w:rsidRPr="00BF2830">
        <w:t xml:space="preserve">the basic mechanisms to deliver internal coordination are now in place, but their remit remains focused on information sharing. </w:t>
      </w:r>
      <w:r>
        <w:t xml:space="preserve">Therefore, </w:t>
      </w:r>
      <w:r w:rsidRPr="00BF2830">
        <w:t>widening their remit</w:t>
      </w:r>
      <w:r>
        <w:t xml:space="preserve"> presents</w:t>
      </w:r>
      <w:r w:rsidRPr="00BF2830">
        <w:t xml:space="preserve"> an opportunity to enhance internal coherence.</w:t>
      </w:r>
      <w:r w:rsidRPr="00BF2830" w:rsidDel="003F3A17">
        <w:t xml:space="preserve"> </w:t>
      </w:r>
      <w:r w:rsidRPr="00BF2830">
        <w:t>Whil</w:t>
      </w:r>
      <w:r>
        <w:t>e</w:t>
      </w:r>
      <w:r w:rsidRPr="00BF2830">
        <w:t xml:space="preserve"> </w:t>
      </w:r>
      <w:r w:rsidRPr="0097524E">
        <w:t xml:space="preserve">external coherence between all Fleming Fund grants and other DPs interventions was found to be strong in a majority of the focus countries, </w:t>
      </w:r>
      <w:r w:rsidRPr="0097524E" w:rsidDel="001D5C91">
        <w:t xml:space="preserve">this </w:t>
      </w:r>
      <w:r w:rsidRPr="0097524E">
        <w:t xml:space="preserve">does not focus on linkages to wider (non-surveillance) aspects of the AMR response. </w:t>
      </w:r>
      <w:r w:rsidRPr="00BF2830">
        <w:t xml:space="preserve">Progress on addressing external coherence may be key given the aspirations in </w:t>
      </w:r>
      <w:r>
        <w:t>phase 2</w:t>
      </w:r>
      <w:r w:rsidRPr="00BF2830">
        <w:t xml:space="preserve"> but the experience of </w:t>
      </w:r>
      <w:r>
        <w:rPr>
          <w:noProof/>
        </w:rPr>
        <w:t>phase 1</w:t>
      </w:r>
      <w:r w:rsidRPr="00BF2830">
        <w:t xml:space="preserve"> suggests that several of the contextual conditions that would have facilitated achieving external coherence (in terms of effective AMRCCs) are missing and a feasible solution has not been identified. The assumption is that AMR NAPs identify prioritised actions through a functional multisectoral coordinating mechanism (AMRCC) with clear terms of reference (ToR),</w:t>
      </w:r>
      <w:r>
        <w:t xml:space="preserve"> a</w:t>
      </w:r>
      <w:r w:rsidRPr="00BF2830">
        <w:t xml:space="preserve"> budget, and an accountability framework. </w:t>
      </w:r>
      <w:r>
        <w:t>The phase 1</w:t>
      </w:r>
      <w:r w:rsidRPr="00BF2830">
        <w:t xml:space="preserve"> experience is that AMR NAPs and AMRCCs have limitations in providing,</w:t>
      </w:r>
      <w:r w:rsidRPr="00BF2830" w:rsidDel="00DD0AC3">
        <w:t xml:space="preserve"> </w:t>
      </w:r>
      <w:r w:rsidRPr="00BF2830">
        <w:t>organising, and driving the framework for action and external coordination.</w:t>
      </w:r>
      <w:r w:rsidRPr="00BF2830" w:rsidDel="00DD0AC3">
        <w:t xml:space="preserve"> </w:t>
      </w:r>
      <w:r w:rsidRPr="00BF2830">
        <w:t xml:space="preserve">This </w:t>
      </w:r>
      <w:r w:rsidRPr="00BF2830">
        <w:rPr>
          <w:rFonts w:eastAsia="Times New Roman"/>
          <w:lang w:eastAsia="en-GB"/>
        </w:rPr>
        <w:t xml:space="preserve">links to the challenge of ensuring external coherence with other donors that our </w:t>
      </w:r>
      <w:r>
        <w:rPr>
          <w:rFonts w:eastAsia="Times New Roman"/>
          <w:lang w:eastAsia="en-GB"/>
        </w:rPr>
        <w:t>key informant interviews (</w:t>
      </w:r>
      <w:r w:rsidRPr="00BF2830">
        <w:rPr>
          <w:rFonts w:eastAsia="Times New Roman"/>
          <w:lang w:eastAsia="en-GB"/>
        </w:rPr>
        <w:t>KIIs</w:t>
      </w:r>
      <w:r>
        <w:rPr>
          <w:rFonts w:eastAsia="Times New Roman"/>
          <w:lang w:eastAsia="en-GB"/>
        </w:rPr>
        <w:t>)</w:t>
      </w:r>
      <w:r w:rsidRPr="00BF2830">
        <w:rPr>
          <w:rFonts w:eastAsia="Times New Roman"/>
          <w:lang w:eastAsia="en-GB"/>
        </w:rPr>
        <w:t xml:space="preserve"> suggest are investing in the </w:t>
      </w:r>
      <w:r w:rsidRPr="00BF2830">
        <w:rPr>
          <w:rFonts w:eastAsia="Times New Roman"/>
          <w:noProof/>
          <w:lang w:eastAsia="en-GB"/>
        </w:rPr>
        <w:t>HH</w:t>
      </w:r>
      <w:r w:rsidRPr="00BF2830">
        <w:rPr>
          <w:rFonts w:eastAsia="Times New Roman"/>
          <w:lang w:eastAsia="en-GB"/>
        </w:rPr>
        <w:t xml:space="preserve"> AMR sphere</w:t>
      </w:r>
      <w:r w:rsidRPr="00BF2830">
        <w:t>. Evidence suggests that, in the absence of prioritisation through AMRCCs, this coordination is happening to some degree in some countries, but ad hoc and based on existing relationships of grantees at the country level.</w:t>
      </w:r>
    </w:p>
    <w:p w14:paraId="0AD51FAB" w14:textId="77777777" w:rsidR="00444B77" w:rsidRPr="00FD7A5C" w:rsidRDefault="00444B77" w:rsidP="00444B77">
      <w:pPr>
        <w:pStyle w:val="ItadH3"/>
      </w:pPr>
      <w:bookmarkStart w:id="54" w:name="_Toc144049336"/>
      <w:bookmarkStart w:id="55" w:name="_Toc144715796"/>
      <w:r w:rsidRPr="00FD7A5C">
        <w:t xml:space="preserve">Strengths and weaknesses of the current programme design in terms of contributing to the overall longer-term objectives of the Fleming Fund as articulated in the Business Case for </w:t>
      </w:r>
      <w:r>
        <w:t>phase 2</w:t>
      </w:r>
      <w:r w:rsidRPr="00FD7A5C">
        <w:t>.</w:t>
      </w:r>
      <w:bookmarkEnd w:id="54"/>
      <w:bookmarkEnd w:id="55"/>
    </w:p>
    <w:p w14:paraId="2D2C8849" w14:textId="77777777" w:rsidR="00444B77" w:rsidRPr="002A3A5D" w:rsidRDefault="00444B77" w:rsidP="00444B77">
      <w:pPr>
        <w:pStyle w:val="ItadNormalText"/>
        <w:rPr>
          <w:lang w:eastAsia="en-GB"/>
        </w:rPr>
      </w:pPr>
      <w:r w:rsidRPr="002A3A5D">
        <w:rPr>
          <w:lang w:eastAsia="en-GB"/>
        </w:rPr>
        <w:t xml:space="preserve">The previous conclusions include a number of strengths in the </w:t>
      </w:r>
      <w:r>
        <w:rPr>
          <w:lang w:eastAsia="en-GB"/>
        </w:rPr>
        <w:t>phase 1</w:t>
      </w:r>
      <w:r w:rsidRPr="002A3A5D">
        <w:rPr>
          <w:lang w:eastAsia="en-GB"/>
        </w:rPr>
        <w:t xml:space="preserve"> approach that the Fleming Fund should build upon. Below we highlight a key conclusion that is critical for </w:t>
      </w:r>
      <w:r w:rsidRPr="002A3A5D" w:rsidDel="00052E3D">
        <w:rPr>
          <w:lang w:eastAsia="en-GB"/>
        </w:rPr>
        <w:t xml:space="preserve">the </w:t>
      </w:r>
      <w:r w:rsidRPr="002A3A5D">
        <w:rPr>
          <w:lang w:eastAsia="en-GB"/>
        </w:rPr>
        <w:t xml:space="preserve">Fleming Fund to address, given the evolving context and focus on contributing to the ultimate objectives of </w:t>
      </w:r>
      <w:r w:rsidRPr="002A3A5D" w:rsidDel="00052E3D">
        <w:rPr>
          <w:lang w:eastAsia="en-GB"/>
        </w:rPr>
        <w:t xml:space="preserve">the </w:t>
      </w:r>
      <w:r w:rsidRPr="002A3A5D">
        <w:rPr>
          <w:lang w:eastAsia="en-GB"/>
        </w:rPr>
        <w:t>Fleming Fund.</w:t>
      </w:r>
    </w:p>
    <w:bookmarkEnd w:id="53"/>
    <w:p w14:paraId="207535F5" w14:textId="77777777" w:rsidR="00444B77" w:rsidRPr="0057770E" w:rsidRDefault="00444B77" w:rsidP="00444B77">
      <w:pPr>
        <w:pStyle w:val="ItadNormalText"/>
      </w:pPr>
      <w:r w:rsidRPr="002A3A5D">
        <w:rPr>
          <w:rFonts w:eastAsia="Calibri" w:cs="Calibri"/>
          <w:b/>
          <w:bCs/>
        </w:rPr>
        <w:t xml:space="preserve">Conclusion </w:t>
      </w:r>
      <w:r>
        <w:rPr>
          <w:rFonts w:eastAsia="Calibri" w:cs="Calibri"/>
          <w:b/>
          <w:bCs/>
        </w:rPr>
        <w:t>9</w:t>
      </w:r>
      <w:r w:rsidRPr="002A3A5D">
        <w:rPr>
          <w:rFonts w:eastAsia="Calibri" w:cs="Calibri"/>
          <w:b/>
          <w:bCs/>
        </w:rPr>
        <w:t>:</w:t>
      </w:r>
      <w:r w:rsidRPr="002A3A5D" w:rsidDel="007D2E99">
        <w:rPr>
          <w:rFonts w:eastAsia="Calibri" w:cs="Calibri"/>
          <w:b/>
          <w:bCs/>
        </w:rPr>
        <w:t xml:space="preserve"> </w:t>
      </w:r>
      <w:r w:rsidRPr="002A3A5D">
        <w:rPr>
          <w:rFonts w:eastAsia="Calibri" w:cs="Calibri"/>
          <w:b/>
          <w:bCs/>
        </w:rPr>
        <w:t xml:space="preserve">The Fleming Fund approach to managing for effectiveness </w:t>
      </w:r>
      <w:r>
        <w:rPr>
          <w:rFonts w:eastAsia="Calibri" w:cs="Calibri"/>
          <w:b/>
          <w:bCs/>
        </w:rPr>
        <w:t xml:space="preserve">could be strengthened </w:t>
      </w:r>
      <w:r w:rsidRPr="002A3A5D">
        <w:rPr>
          <w:rFonts w:eastAsia="Calibri" w:cs="Calibri"/>
          <w:b/>
          <w:bCs/>
        </w:rPr>
        <w:t xml:space="preserve">at the country and portfolio levels. There has been progress in this regard </w:t>
      </w:r>
      <w:r w:rsidRPr="002A3A5D" w:rsidDel="009274A6">
        <w:rPr>
          <w:rFonts w:eastAsia="Calibri" w:cs="Calibri"/>
          <w:b/>
          <w:bCs/>
        </w:rPr>
        <w:t xml:space="preserve">during </w:t>
      </w:r>
      <w:r>
        <w:rPr>
          <w:rFonts w:eastAsia="Calibri" w:cs="Calibri"/>
          <w:b/>
          <w:bCs/>
        </w:rPr>
        <w:t>phase 1</w:t>
      </w:r>
      <w:r w:rsidRPr="002A3A5D">
        <w:rPr>
          <w:rFonts w:eastAsia="Calibri" w:cs="Calibri"/>
          <w:b/>
          <w:bCs/>
        </w:rPr>
        <w:t xml:space="preserve">, in terms of developing a portfolio-level ToC and a core set of indicators; and the challenges observed reflect factors common in many aid programmes. But some are particular to the Fleming </w:t>
      </w:r>
      <w:r w:rsidRPr="002A3A5D" w:rsidDel="009274A6">
        <w:rPr>
          <w:rFonts w:eastAsia="Calibri" w:cs="Calibri"/>
          <w:b/>
          <w:bCs/>
        </w:rPr>
        <w:t>Fund</w:t>
      </w:r>
      <w:r w:rsidRPr="002A3A5D">
        <w:rPr>
          <w:rFonts w:eastAsia="Calibri" w:cs="Calibri"/>
          <w:b/>
          <w:bCs/>
        </w:rPr>
        <w:t xml:space="preserve"> and </w:t>
      </w:r>
      <w:r w:rsidRPr="002A3A5D">
        <w:rPr>
          <w:rFonts w:eastAsia="Calibri" w:cs="Calibri"/>
          <w:b/>
          <w:bCs/>
        </w:rPr>
        <w:lastRenderedPageBreak/>
        <w:t>addressing these will be</w:t>
      </w:r>
      <w:r>
        <w:rPr>
          <w:rFonts w:eastAsia="Calibri" w:cs="Calibri"/>
          <w:b/>
          <w:bCs/>
        </w:rPr>
        <w:t xml:space="preserve"> of</w:t>
      </w:r>
      <w:r w:rsidRPr="002A3A5D">
        <w:rPr>
          <w:rFonts w:eastAsia="Calibri" w:cs="Calibri"/>
          <w:b/>
          <w:bCs/>
        </w:rPr>
        <w:t xml:space="preserve"> increasing important </w:t>
      </w:r>
      <w:r>
        <w:rPr>
          <w:rFonts w:eastAsia="Calibri" w:cs="Calibri"/>
          <w:b/>
          <w:bCs/>
        </w:rPr>
        <w:t>in phase 2</w:t>
      </w:r>
      <w:r w:rsidRPr="002A3A5D">
        <w:rPr>
          <w:rFonts w:eastAsia="Calibri" w:cs="Calibri"/>
          <w:b/>
          <w:bCs/>
        </w:rPr>
        <w:t xml:space="preserve">. </w:t>
      </w:r>
      <w:r w:rsidRPr="002A3A5D">
        <w:rPr>
          <w:rFonts w:eastAsia="Calibri"/>
        </w:rPr>
        <w:t xml:space="preserve">The 2015 ICAI review of </w:t>
      </w:r>
      <w:r>
        <w:rPr>
          <w:rFonts w:eastAsia="Calibri"/>
        </w:rPr>
        <w:t xml:space="preserve">the UK’s former </w:t>
      </w:r>
      <w:r>
        <w:t>Department for International Development (</w:t>
      </w:r>
      <w:r w:rsidRPr="002A3A5D">
        <w:rPr>
          <w:rFonts w:eastAsia="Calibri"/>
        </w:rPr>
        <w:t>DFID</w:t>
      </w:r>
      <w:r>
        <w:rPr>
          <w:rFonts w:eastAsia="Calibri"/>
        </w:rPr>
        <w:t>)</w:t>
      </w:r>
      <w:r w:rsidRPr="002A3A5D">
        <w:rPr>
          <w:rFonts w:eastAsia="Calibri"/>
        </w:rPr>
        <w:t xml:space="preserve"> approach to delivering impact</w:t>
      </w:r>
      <w:r w:rsidRPr="002A3A5D">
        <w:rPr>
          <w:rFonts w:eastAsia="Calibri"/>
          <w:sz w:val="20"/>
          <w:szCs w:val="20"/>
          <w:vertAlign w:val="superscript"/>
        </w:rPr>
        <w:footnoteReference w:id="15"/>
      </w:r>
      <w:r w:rsidRPr="002A3A5D">
        <w:rPr>
          <w:rFonts w:eastAsia="Calibri"/>
        </w:rPr>
        <w:t xml:space="preserve"> notes that </w:t>
      </w:r>
      <w:r>
        <w:rPr>
          <w:rFonts w:eastAsia="Calibri"/>
        </w:rPr>
        <w:t>‘</w:t>
      </w:r>
      <w:r w:rsidRPr="002A3A5D">
        <w:rPr>
          <w:rFonts w:eastAsia="Calibri"/>
          <w:i/>
          <w:iCs/>
        </w:rPr>
        <w:t>…Getting the balance right between direct impact and policy and institutional change emerges as a critical factor for successful impact. It calls for clear, long-term goals, combined with considerable flexibility as to the steps required to achieve them</w:t>
      </w:r>
      <w:r>
        <w:rPr>
          <w:rFonts w:eastAsia="Calibri"/>
        </w:rPr>
        <w:t>’</w:t>
      </w:r>
      <w:r w:rsidRPr="002A3A5D">
        <w:rPr>
          <w:rFonts w:eastAsia="Calibri"/>
        </w:rPr>
        <w:t xml:space="preserve">. </w:t>
      </w:r>
      <w:r w:rsidRPr="009A7EC2">
        <w:rPr>
          <w:rFonts w:eastAsia="Calibri"/>
        </w:rPr>
        <w:t>This is true for the Fleming Fund which also faces programme delivery challenges</w:t>
      </w:r>
      <w:r w:rsidRPr="002A3A5D">
        <w:rPr>
          <w:rFonts w:eastAsia="Calibri" w:cs="Calibri"/>
        </w:rPr>
        <w:t>.</w:t>
      </w:r>
      <w:r w:rsidRPr="002A3A5D">
        <w:rPr>
          <w:rStyle w:val="FootnoteReference"/>
          <w:rFonts w:eastAsia="Calibri" w:cs="Calibri"/>
        </w:rPr>
        <w:footnoteReference w:id="16"/>
      </w:r>
      <w:r w:rsidRPr="002A3A5D">
        <w:rPr>
          <w:rFonts w:eastAsia="Calibri" w:cs="Calibri"/>
        </w:rPr>
        <w:t xml:space="preserve"> </w:t>
      </w:r>
      <w:bookmarkStart w:id="56" w:name="_Hlk129078550"/>
      <w:r w:rsidRPr="002A3A5D">
        <w:rPr>
          <w:rFonts w:eastAsia="Calibri" w:cs="Calibri"/>
        </w:rPr>
        <w:t xml:space="preserve">Managing for effectiveness requires </w:t>
      </w:r>
      <w:bookmarkEnd w:id="56"/>
      <w:r w:rsidRPr="009A7EC2">
        <w:rPr>
          <w:rFonts w:eastAsia="Calibri" w:cs="Calibri"/>
        </w:rPr>
        <w:t>both clarity of where the balance is to be struck, between impact at the individual facility level and the policy/</w:t>
      </w:r>
      <w:r>
        <w:rPr>
          <w:rFonts w:eastAsia="Calibri" w:cs="Calibri"/>
        </w:rPr>
        <w:t xml:space="preserve"> </w:t>
      </w:r>
      <w:r w:rsidRPr="009A7EC2">
        <w:rPr>
          <w:rFonts w:eastAsia="Calibri" w:cs="Calibri"/>
        </w:rPr>
        <w:t>regulatory level, and flexibility through adaptive management that can achieve effectiveness</w:t>
      </w:r>
      <w:r w:rsidRPr="002A3A5D">
        <w:rPr>
          <w:rFonts w:eastAsia="Calibri" w:cs="Calibri"/>
        </w:rPr>
        <w:t>.</w:t>
      </w:r>
    </w:p>
    <w:p w14:paraId="4BA3BEE3" w14:textId="77777777" w:rsidR="00444B77" w:rsidRPr="002A3A5D" w:rsidRDefault="00444B77" w:rsidP="00444B77">
      <w:pPr>
        <w:pStyle w:val="ItadNormalText"/>
      </w:pPr>
      <w:bookmarkStart w:id="57" w:name="_Hlk129079297"/>
      <w:r>
        <w:t>The</w:t>
      </w:r>
      <w:r w:rsidRPr="002A3A5D">
        <w:t xml:space="preserve"> Fleming Fund did not start with clear and realistic goals on what could be achieved during </w:t>
      </w:r>
      <w:r>
        <w:t>phase 1</w:t>
      </w:r>
      <w:r w:rsidRPr="000B509B">
        <w:t>.</w:t>
      </w:r>
      <w:r w:rsidRPr="008A5F96">
        <w:t xml:space="preserve"> This is a common challenge.</w:t>
      </w:r>
      <w:r w:rsidRPr="000B509B">
        <w:rPr>
          <w:b/>
          <w:bCs/>
        </w:rPr>
        <w:t xml:space="preserve"> </w:t>
      </w:r>
      <w:r w:rsidRPr="002A3A5D">
        <w:t xml:space="preserve">The lack of clarity </w:t>
      </w:r>
      <w:r>
        <w:t>on</w:t>
      </w:r>
      <w:r w:rsidRPr="002A3A5D">
        <w:t xml:space="preserve"> expected results </w:t>
      </w:r>
      <w:r>
        <w:t xml:space="preserve">may have been due to the innovative nature of the programme, or to the uncertainty of the purpose of the Fleming Fund at the outset. Either way, it </w:t>
      </w:r>
      <w:r w:rsidRPr="002A3A5D">
        <w:t xml:space="preserve">has undermined the clarity of strategic focus and effectiveness of implementation in terms of higher-level outcomes during </w:t>
      </w:r>
      <w:r>
        <w:rPr>
          <w:noProof/>
        </w:rPr>
        <w:t>phase 1</w:t>
      </w:r>
      <w:r w:rsidRPr="002A3A5D">
        <w:rPr>
          <w:noProof/>
        </w:rPr>
        <w:t>.</w:t>
      </w:r>
      <w:r w:rsidRPr="002A3A5D">
        <w:t xml:space="preserve"> As discussed above, fundamental questions about the purpose of </w:t>
      </w:r>
      <w:r w:rsidRPr="002A3A5D" w:rsidDel="00052E3D">
        <w:t xml:space="preserve">the </w:t>
      </w:r>
      <w:r w:rsidRPr="002A3A5D">
        <w:t xml:space="preserve">Fleming Fund should have been addressed </w:t>
      </w:r>
      <w:r w:rsidRPr="002A3A5D">
        <w:rPr>
          <w:noProof/>
        </w:rPr>
        <w:t>upfront</w:t>
      </w:r>
      <w:r w:rsidRPr="002A3A5D">
        <w:t xml:space="preserve"> – such as whether national policy</w:t>
      </w:r>
      <w:r w:rsidRPr="002A3A5D">
        <w:rPr>
          <w:noProof/>
        </w:rPr>
        <w:t>,</w:t>
      </w:r>
      <w:r w:rsidRPr="002A3A5D">
        <w:t xml:space="preserve"> regulatory and/or behaviour change (and of which target audiences) were the priority and how AMR surveillance was expected to contribute to that. </w:t>
      </w:r>
      <w:r>
        <w:t>We note that in the original ToR that the MA responded to, the DHSC prioritised generating additional data.</w:t>
      </w:r>
      <w:r>
        <w:rPr>
          <w:rStyle w:val="FootnoteReference"/>
          <w:rFonts w:eastAsia="Calibri"/>
        </w:rPr>
        <w:footnoteReference w:id="17"/>
      </w:r>
      <w:r w:rsidRPr="00853D7E">
        <w:t xml:space="preserve"> </w:t>
      </w:r>
      <w:r>
        <w:t xml:space="preserve">Establishing </w:t>
      </w:r>
      <w:r w:rsidRPr="0044448E">
        <w:t>clear, long-term goals</w:t>
      </w:r>
      <w:r>
        <w:t xml:space="preserve"> and mechanisms to</w:t>
      </w:r>
      <w:r w:rsidRPr="0044448E">
        <w:t xml:space="preserve"> </w:t>
      </w:r>
      <w:r>
        <w:t xml:space="preserve">track and adapt </w:t>
      </w:r>
      <w:r w:rsidRPr="0044448E">
        <w:t xml:space="preserve">the steps required to achieve them </w:t>
      </w:r>
      <w:r w:rsidRPr="002A3A5D">
        <w:t xml:space="preserve">is standard practice in developing programmatic interventions of this kind, although not routinely implemented. </w:t>
      </w:r>
      <w:r w:rsidRPr="00B56A06">
        <w:t>T</w:t>
      </w:r>
      <w:r w:rsidRPr="00504E64">
        <w:t xml:space="preserve">here has been progress in this regard </w:t>
      </w:r>
      <w:r w:rsidRPr="00504E64" w:rsidDel="009274A6">
        <w:t xml:space="preserve">during </w:t>
      </w:r>
      <w:r w:rsidRPr="00504E64">
        <w:t xml:space="preserve">phase 1, in terms of developing a portfolio-level </w:t>
      </w:r>
      <w:r>
        <w:t>ToC</w:t>
      </w:r>
      <w:r w:rsidRPr="00504E64">
        <w:t xml:space="preserve"> and a core set of indicators</w:t>
      </w:r>
      <w:r>
        <w:t xml:space="preserve">. </w:t>
      </w:r>
      <w:r w:rsidRPr="00EA39D1">
        <w:t>Note</w:t>
      </w:r>
      <w:r>
        <w:t xml:space="preserve"> the following, r</w:t>
      </w:r>
      <w:r w:rsidRPr="002A3A5D">
        <w:t>elated to establishing clear expectations:</w:t>
      </w:r>
    </w:p>
    <w:bookmarkEnd w:id="57"/>
    <w:p w14:paraId="63DEDDDC" w14:textId="77777777" w:rsidR="00444B77" w:rsidRPr="002A3A5D" w:rsidRDefault="00444B77" w:rsidP="00444B77">
      <w:pPr>
        <w:pStyle w:val="ItadBullets"/>
      </w:pPr>
      <w:r w:rsidRPr="002A3A5D">
        <w:rPr>
          <w:rFonts w:eastAsia="Calibri"/>
        </w:rPr>
        <w:t xml:space="preserve">Establishing goals at a strategic level will help manage the risk of </w:t>
      </w:r>
      <w:r w:rsidRPr="002A3A5D">
        <w:t xml:space="preserve">rigidly maintaining focus on operational plans at the cost of strategic adaptation. The extent to which DHSC systems and culture </w:t>
      </w:r>
      <w:r w:rsidRPr="002A3A5D">
        <w:rPr>
          <w:noProof/>
        </w:rPr>
        <w:t>allow</w:t>
      </w:r>
      <w:r w:rsidRPr="002A3A5D">
        <w:t xml:space="preserve"> for this kind of adaptation needs careful consideration during </w:t>
      </w:r>
      <w:r>
        <w:rPr>
          <w:noProof/>
        </w:rPr>
        <w:t>phase 2</w:t>
      </w:r>
      <w:r w:rsidRPr="002A3A5D">
        <w:t>.</w:t>
      </w:r>
    </w:p>
    <w:p w14:paraId="77F22120" w14:textId="77777777" w:rsidR="00444B77" w:rsidRPr="002A3A5D" w:rsidRDefault="00444B77" w:rsidP="00444B77">
      <w:pPr>
        <w:pStyle w:val="ItadBullets"/>
      </w:pPr>
      <w:r w:rsidRPr="002A3A5D">
        <w:t xml:space="preserve">Establishing expectations needs to be done with country counterparts. The </w:t>
      </w:r>
      <w:r w:rsidRPr="002A3A5D">
        <w:rPr>
          <w:rFonts w:eastAsia="Calibri"/>
        </w:rPr>
        <w:t>country investment strategy process</w:t>
      </w:r>
      <w:r w:rsidRPr="002A3A5D">
        <w:t xml:space="preserve"> provides a good opportunity to do this. However, given expectations for how </w:t>
      </w:r>
      <w:r>
        <w:rPr>
          <w:noProof/>
        </w:rPr>
        <w:t>phase 2</w:t>
      </w:r>
      <w:r w:rsidRPr="002A3A5D">
        <w:t xml:space="preserve"> will shift, there is a risk that </w:t>
      </w:r>
      <w:r w:rsidRPr="002A3A5D">
        <w:rPr>
          <w:rFonts w:eastAsia="Calibri"/>
        </w:rPr>
        <w:t>country investment strategy processes</w:t>
      </w:r>
      <w:r w:rsidRPr="002A3A5D">
        <w:t xml:space="preserve"> are overloaded. In this scenario </w:t>
      </w:r>
      <w:r>
        <w:t>‘</w:t>
      </w:r>
      <w:r w:rsidRPr="002A3A5D">
        <w:t>delivering</w:t>
      </w:r>
      <w:r>
        <w:t>’</w:t>
      </w:r>
      <w:r w:rsidRPr="002A3A5D">
        <w:t xml:space="preserve"> key strategic shifts will be more challenging and so the importance of establishing clear, shared expectations cannot be overstated.</w:t>
      </w:r>
    </w:p>
    <w:p w14:paraId="1EEDD185" w14:textId="77777777" w:rsidR="00444B77" w:rsidRPr="002A3A5D" w:rsidRDefault="00444B77" w:rsidP="00444B77">
      <w:pPr>
        <w:pStyle w:val="ItadBullets"/>
      </w:pPr>
      <w:r>
        <w:t>D</w:t>
      </w:r>
      <w:r w:rsidRPr="00981369">
        <w:t>efin</w:t>
      </w:r>
      <w:r>
        <w:t>ing</w:t>
      </w:r>
      <w:r w:rsidRPr="00981369">
        <w:t xml:space="preserve"> success for phase 2 in ambitious but realistic terms</w:t>
      </w:r>
      <w:r>
        <w:t xml:space="preserve">. This </w:t>
      </w:r>
      <w:r w:rsidRPr="00981369">
        <w:t xml:space="preserve">will be essential </w:t>
      </w:r>
      <w:r>
        <w:t xml:space="preserve">because </w:t>
      </w:r>
      <w:r>
        <w:rPr>
          <w:noProof/>
        </w:rPr>
        <w:t>phase 2</w:t>
      </w:r>
      <w:r w:rsidRPr="002A3A5D">
        <w:t xml:space="preserve"> is short, and tackling AMR requires a long-term response</w:t>
      </w:r>
      <w:r w:rsidRPr="002A3A5D">
        <w:rPr>
          <w:noProof/>
        </w:rPr>
        <w:t>.</w:t>
      </w:r>
      <w:r w:rsidRPr="002A3A5D">
        <w:t xml:space="preserve"> </w:t>
      </w:r>
      <w:r>
        <w:t>E</w:t>
      </w:r>
      <w:r w:rsidRPr="002A3A5D">
        <w:t xml:space="preserve">xperience from </w:t>
      </w:r>
      <w:r>
        <w:rPr>
          <w:noProof/>
        </w:rPr>
        <w:t>phase 1</w:t>
      </w:r>
      <w:r w:rsidRPr="002A3A5D">
        <w:t xml:space="preserve"> provides a clear basis for calibrating ambition appropriately.</w:t>
      </w:r>
    </w:p>
    <w:p w14:paraId="248BAFC3" w14:textId="77777777" w:rsidR="00444B77" w:rsidRPr="009B265B" w:rsidRDefault="00444B77" w:rsidP="00444B77">
      <w:pPr>
        <w:pStyle w:val="ItadH2"/>
        <w:rPr>
          <w:noProof/>
        </w:rPr>
      </w:pPr>
      <w:bookmarkStart w:id="58" w:name="_Toc144049337"/>
      <w:bookmarkStart w:id="59" w:name="_Toc144715797"/>
      <w:r>
        <w:rPr>
          <w:noProof/>
        </w:rPr>
        <w:t>Recommendations</w:t>
      </w:r>
      <w:bookmarkEnd w:id="58"/>
      <w:bookmarkEnd w:id="59"/>
    </w:p>
    <w:p w14:paraId="1DE29A84" w14:textId="77777777" w:rsidR="00444B77" w:rsidRDefault="00444B77" w:rsidP="00444B77">
      <w:pPr>
        <w:pStyle w:val="ItadNormalText"/>
        <w:rPr>
          <w:shd w:val="clear" w:color="auto" w:fill="FFFFFF"/>
        </w:rPr>
      </w:pPr>
      <w:r w:rsidRPr="00200C19">
        <w:rPr>
          <w:shd w:val="clear" w:color="auto" w:fill="FFFFFF"/>
        </w:rPr>
        <w:t>The recommendations presented below follow the findings and conclusions of the evaluation team</w:t>
      </w:r>
      <w:r>
        <w:rPr>
          <w:shd w:val="clear" w:color="auto" w:fill="FFFFFF"/>
        </w:rPr>
        <w:t xml:space="preserve">, as set out in </w:t>
      </w:r>
      <w:r w:rsidRPr="002E0CB4">
        <w:rPr>
          <w:rFonts w:cstheme="minorHAnsi"/>
          <w:shd w:val="clear" w:color="auto" w:fill="FFFFFF"/>
        </w:rPr>
        <w:t xml:space="preserve">Annex </w:t>
      </w:r>
      <w:r>
        <w:rPr>
          <w:shd w:val="clear" w:color="auto" w:fill="FFFFFF"/>
        </w:rPr>
        <w:t>21</w:t>
      </w:r>
      <w:r w:rsidRPr="00200C19">
        <w:rPr>
          <w:shd w:val="clear" w:color="auto" w:fill="FFFFFF"/>
        </w:rPr>
        <w:t xml:space="preserve">. Under each, more detailed recommendations on their operationalisation can be found in section </w:t>
      </w:r>
      <w:r>
        <w:rPr>
          <w:shd w:val="clear" w:color="auto" w:fill="FFFFFF"/>
        </w:rPr>
        <w:fldChar w:fldCharType="begin"/>
      </w:r>
      <w:r>
        <w:rPr>
          <w:shd w:val="clear" w:color="auto" w:fill="FFFFFF"/>
        </w:rPr>
        <w:instrText xml:space="preserve"> REF _Ref129081560 \r \h </w:instrText>
      </w:r>
      <w:r>
        <w:rPr>
          <w:shd w:val="clear" w:color="auto" w:fill="FFFFFF"/>
        </w:rPr>
      </w:r>
      <w:r>
        <w:rPr>
          <w:shd w:val="clear" w:color="auto" w:fill="FFFFFF"/>
        </w:rPr>
        <w:fldChar w:fldCharType="separate"/>
      </w:r>
      <w:r>
        <w:rPr>
          <w:shd w:val="clear" w:color="auto" w:fill="FFFFFF"/>
        </w:rPr>
        <w:t>4</w:t>
      </w:r>
      <w:r>
        <w:rPr>
          <w:shd w:val="clear" w:color="auto" w:fill="FFFFFF"/>
        </w:rPr>
        <w:fldChar w:fldCharType="end"/>
      </w:r>
      <w:r w:rsidRPr="00200C19">
        <w:rPr>
          <w:shd w:val="clear" w:color="auto" w:fill="FFFFFF"/>
        </w:rPr>
        <w:t xml:space="preserve">. They are of equal priority and should be implemented as a </w:t>
      </w:r>
      <w:r w:rsidRPr="00200C19">
        <w:t>package</w:t>
      </w:r>
      <w:r w:rsidRPr="00200C19">
        <w:rPr>
          <w:shd w:val="clear" w:color="auto" w:fill="FFFFFF"/>
        </w:rPr>
        <w:t xml:space="preserve"> for the best results.</w:t>
      </w:r>
    </w:p>
    <w:p w14:paraId="58D3D4B2" w14:textId="77777777" w:rsidR="005E5A56" w:rsidRDefault="005E5A56" w:rsidP="00444B77">
      <w:pPr>
        <w:pStyle w:val="ItadNormalText"/>
        <w:rPr>
          <w:shd w:val="clear" w:color="auto" w:fill="FFFFFF"/>
        </w:rPr>
      </w:pPr>
    </w:p>
    <w:p w14:paraId="235DB23D" w14:textId="77777777" w:rsidR="005E5A56" w:rsidRDefault="005E5A56" w:rsidP="00444B77">
      <w:pPr>
        <w:pStyle w:val="ItadNormalText"/>
        <w:rPr>
          <w:shd w:val="clear" w:color="auto" w:fill="FFFFFF"/>
        </w:rPr>
      </w:pPr>
    </w:p>
    <w:p w14:paraId="4809B9C9" w14:textId="77777777" w:rsidR="00444B77" w:rsidRPr="00BC7AD7" w:rsidRDefault="00444B77" w:rsidP="00444B77">
      <w:pPr>
        <w:pStyle w:val="ItadH3"/>
      </w:pPr>
      <w:bookmarkStart w:id="60" w:name="_Toc144715798"/>
      <w:r w:rsidRPr="00CF3D84">
        <w:rPr>
          <w:noProof/>
        </w:rPr>
        <w:lastRenderedPageBreak/>
        <mc:AlternateContent>
          <mc:Choice Requires="wps">
            <w:drawing>
              <wp:anchor distT="0" distB="0" distL="114300" distR="114300" simplePos="0" relativeHeight="251658251" behindDoc="0" locked="0" layoutInCell="1" allowOverlap="1" wp14:anchorId="3F3760B9" wp14:editId="4A867A17">
                <wp:simplePos x="0" y="0"/>
                <wp:positionH relativeFrom="column">
                  <wp:posOffset>-138194</wp:posOffset>
                </wp:positionH>
                <wp:positionV relativeFrom="paragraph">
                  <wp:posOffset>338717</wp:posOffset>
                </wp:positionV>
                <wp:extent cx="565150" cy="749300"/>
                <wp:effectExtent l="0" t="0" r="0" b="0"/>
                <wp:wrapNone/>
                <wp:docPr id="1430730339" name="Rectangle 1430730339"/>
                <wp:cNvGraphicFramePr/>
                <a:graphic xmlns:a="http://schemas.openxmlformats.org/drawingml/2006/main">
                  <a:graphicData uri="http://schemas.microsoft.com/office/word/2010/wordprocessingShape">
                    <wps:wsp>
                      <wps:cNvSpPr/>
                      <wps:spPr>
                        <a:xfrm>
                          <a:off x="0" y="0"/>
                          <a:ext cx="565150" cy="7493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D85C9E"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760B9" id="Rectangle 1430730339" o:spid="_x0000_s1027" style="position:absolute;margin-left:-10.9pt;margin-top:26.65pt;width:44.5pt;height:5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" filled="f" stroked="f" strokeweight="1pt">
                <v:textbox>
                  <w:txbxContent>
                    <w:p w14:paraId="57D85C9E"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1</w:t>
                      </w:r>
                    </w:p>
                  </w:txbxContent>
                </v:textbox>
              </v:rect>
            </w:pict>
          </mc:Fallback>
        </mc:AlternateContent>
      </w:r>
      <w:r w:rsidRPr="00CF3D84">
        <w:t>Five recommendations</w:t>
      </w:r>
      <w:r>
        <w:t>:</w:t>
      </w:r>
      <w:bookmarkEnd w:id="60"/>
    </w:p>
    <w:tbl>
      <w:tblPr>
        <w:tblStyle w:val="TableGrid"/>
        <w:tblW w:w="0" w:type="auto"/>
        <w:tblBorders>
          <w:top w:val="none" w:sz="0" w:space="0" w:color="auto"/>
          <w:left w:val="none" w:sz="0" w:space="0" w:color="auto"/>
          <w:bottom w:val="none" w:sz="0" w:space="0" w:color="auto"/>
          <w:right w:val="none" w:sz="0" w:space="0" w:color="auto"/>
          <w:insideH w:val="single" w:sz="36" w:space="0" w:color="FFFFFF" w:themeColor="background1"/>
          <w:insideV w:val="single" w:sz="24" w:space="0" w:color="FFFFFF" w:themeColor="background1"/>
        </w:tblBorders>
        <w:tblLook w:val="04A0" w:firstRow="1" w:lastRow="0" w:firstColumn="1" w:lastColumn="0" w:noHBand="0" w:noVBand="1"/>
      </w:tblPr>
      <w:tblGrid>
        <w:gridCol w:w="8931"/>
      </w:tblGrid>
      <w:tr w:rsidR="00444B77" w14:paraId="209D0DE7" w14:textId="77777777" w:rsidTr="00CD23DA">
        <w:trPr>
          <w:trHeight w:val="1582"/>
        </w:trPr>
        <w:tc>
          <w:tcPr>
            <w:tcW w:w="8931" w:type="dxa"/>
            <w:shd w:val="clear" w:color="auto" w:fill="DCEAD6" w:themeFill="text2" w:themeFillTint="33"/>
            <w:vAlign w:val="center"/>
          </w:tcPr>
          <w:p w14:paraId="382939D9" w14:textId="77777777" w:rsidR="00444B77" w:rsidRPr="00F0068D" w:rsidRDefault="00444B77" w:rsidP="00CD23DA">
            <w:pPr>
              <w:spacing w:after="120"/>
              <w:ind w:left="567" w:right="227"/>
              <w:textAlignment w:val="baseline"/>
              <w:rPr>
                <w:rFonts w:eastAsia="Times New Roman" w:cs="Calibri"/>
                <w:color w:val="3B3B3C"/>
                <w:lang w:eastAsia="en-GB"/>
              </w:rPr>
            </w:pPr>
            <w:r w:rsidRPr="008343D7">
              <w:rPr>
                <w:rFonts w:eastAsia="Times New Roman" w:cs="Calibri"/>
                <w:b/>
                <w:bCs/>
                <w:color w:val="3B3B3C"/>
                <w:lang w:eastAsia="en-GB"/>
              </w:rPr>
              <w:t xml:space="preserve">The DHSC and the MA should ensure that clear, ambitious, realistic goals for </w:t>
            </w:r>
            <w:r>
              <w:rPr>
                <w:rFonts w:eastAsia="Times New Roman" w:cs="Calibri"/>
                <w:b/>
                <w:bCs/>
                <w:color w:val="3B3B3C"/>
                <w:lang w:eastAsia="en-GB"/>
              </w:rPr>
              <w:t>phase 2</w:t>
            </w:r>
            <w:r w:rsidRPr="008343D7">
              <w:rPr>
                <w:rFonts w:eastAsia="Times New Roman" w:cs="Calibri"/>
                <w:b/>
                <w:bCs/>
                <w:color w:val="3B3B3C"/>
                <w:lang w:eastAsia="en-GB"/>
              </w:rPr>
              <w:t xml:space="preserve"> are in place from the outset, with targets to track progress. These should be established at the country and portfolio levels, based on understanding the current status of AMR surveillance systems and their use as developed during </w:t>
            </w:r>
            <w:r>
              <w:rPr>
                <w:rFonts w:eastAsia="Times New Roman" w:cs="Calibri"/>
                <w:b/>
                <w:bCs/>
                <w:color w:val="3B3B3C"/>
                <w:lang w:eastAsia="en-GB"/>
              </w:rPr>
              <w:t>phase 1.</w:t>
            </w:r>
          </w:p>
        </w:tc>
      </w:tr>
      <w:tr w:rsidR="00444B77" w14:paraId="46D52157" w14:textId="77777777" w:rsidTr="00CD23DA">
        <w:trPr>
          <w:trHeight w:val="1742"/>
        </w:trPr>
        <w:tc>
          <w:tcPr>
            <w:tcW w:w="8931" w:type="dxa"/>
            <w:shd w:val="clear" w:color="auto" w:fill="F2F2F2" w:themeFill="background1" w:themeFillShade="F2"/>
            <w:vAlign w:val="center"/>
          </w:tcPr>
          <w:p w14:paraId="442B291D" w14:textId="77777777" w:rsidR="00444B77" w:rsidRPr="00CE4CD9" w:rsidRDefault="00444B77" w:rsidP="00CD23DA">
            <w:pPr>
              <w:spacing w:after="120"/>
              <w:ind w:left="567" w:right="227"/>
              <w:textAlignment w:val="baseline"/>
              <w:rPr>
                <w:rFonts w:eastAsia="Times New Roman" w:cs="Calibri"/>
                <w:color w:val="3B3B3C"/>
                <w:lang w:eastAsia="en-GB"/>
              </w:rPr>
            </w:pPr>
            <w:r>
              <w:rPr>
                <w:rFonts w:cstheme="minorHAnsi"/>
                <w:b/>
                <w:bCs/>
                <w:noProof/>
                <w:color w:val="3B3B3C"/>
                <w:sz w:val="28"/>
                <w:szCs w:val="28"/>
              </w:rPr>
              <mc:AlternateContent>
                <mc:Choice Requires="wps">
                  <w:drawing>
                    <wp:anchor distT="0" distB="0" distL="114300" distR="114300" simplePos="0" relativeHeight="251658252" behindDoc="0" locked="0" layoutInCell="1" allowOverlap="1" wp14:anchorId="240698E0" wp14:editId="2C239F05">
                      <wp:simplePos x="0" y="0"/>
                      <wp:positionH relativeFrom="column">
                        <wp:posOffset>-213360</wp:posOffset>
                      </wp:positionH>
                      <wp:positionV relativeFrom="paragraph">
                        <wp:posOffset>46355</wp:posOffset>
                      </wp:positionV>
                      <wp:extent cx="565150" cy="749300"/>
                      <wp:effectExtent l="0" t="0" r="0" b="0"/>
                      <wp:wrapNone/>
                      <wp:docPr id="438372043" name="Rectangle 438372043"/>
                      <wp:cNvGraphicFramePr/>
                      <a:graphic xmlns:a="http://schemas.openxmlformats.org/drawingml/2006/main">
                        <a:graphicData uri="http://schemas.microsoft.com/office/word/2010/wordprocessingShape">
                          <wps:wsp>
                            <wps:cNvSpPr/>
                            <wps:spPr>
                              <a:xfrm>
                                <a:off x="0" y="0"/>
                                <a:ext cx="565150" cy="7493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B576E2"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0698E0" id="Rectangle 438372043" o:spid="_x0000_s1028" style="position:absolute;left:0;text-align:left;margin-left:-16.8pt;margin-top:3.65pt;width:44.5pt;height:59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" filled="f" stroked="f" strokeweight="1pt">
                      <v:textbox>
                        <w:txbxContent>
                          <w:p w14:paraId="3CB576E2"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2</w:t>
                            </w:r>
                          </w:p>
                        </w:txbxContent>
                      </v:textbox>
                    </v:rect>
                  </w:pict>
                </mc:Fallback>
              </mc:AlternateContent>
            </w:r>
            <w:r w:rsidRPr="008343D7">
              <w:rPr>
                <w:rFonts w:eastAsia="Times New Roman" w:cs="Calibri"/>
                <w:b/>
                <w:bCs/>
                <w:color w:val="3B3B3C"/>
                <w:lang w:eastAsia="en-GB"/>
              </w:rPr>
              <w:t>The DHSC and MA should ensure systems and processes for establishing expectations and tracking progress are proportionate, timely, and sufficiently flexible to deal with uncertainty and the need for strategic adaptation. These must strike the right balance between strategic reflection and accountability and avoid focusing too heavily on tracking the implementation of inputs and activities</w:t>
            </w:r>
            <w:r>
              <w:rPr>
                <w:rFonts w:eastAsia="Times New Roman" w:cs="Calibri"/>
                <w:b/>
                <w:bCs/>
                <w:color w:val="3B3B3C"/>
                <w:lang w:eastAsia="en-GB"/>
              </w:rPr>
              <w:t>.</w:t>
            </w:r>
          </w:p>
        </w:tc>
      </w:tr>
      <w:tr w:rsidR="00444B77" w14:paraId="609ACAB5" w14:textId="77777777" w:rsidTr="00CD23DA">
        <w:trPr>
          <w:trHeight w:val="619"/>
        </w:trPr>
        <w:tc>
          <w:tcPr>
            <w:tcW w:w="8931" w:type="dxa"/>
            <w:shd w:val="clear" w:color="auto" w:fill="DCEAD6" w:themeFill="text2" w:themeFillTint="33"/>
            <w:vAlign w:val="center"/>
          </w:tcPr>
          <w:p w14:paraId="796CDE58" w14:textId="77777777" w:rsidR="00444B77" w:rsidRPr="00526DC5" w:rsidRDefault="00444B77" w:rsidP="00CD23DA">
            <w:pPr>
              <w:spacing w:after="120"/>
              <w:ind w:left="567" w:right="227"/>
              <w:rPr>
                <w:rFonts w:eastAsia="Times New Roman" w:cs="Calibri"/>
                <w:color w:val="3B3B3C"/>
                <w:lang w:eastAsia="en-GB"/>
              </w:rPr>
            </w:pPr>
            <w:r>
              <w:rPr>
                <w:rFonts w:cstheme="minorHAnsi"/>
                <w:b/>
                <w:bCs/>
                <w:noProof/>
                <w:color w:val="3B3B3C"/>
                <w:sz w:val="28"/>
                <w:szCs w:val="28"/>
              </w:rPr>
              <mc:AlternateContent>
                <mc:Choice Requires="wps">
                  <w:drawing>
                    <wp:anchor distT="0" distB="0" distL="114300" distR="114300" simplePos="0" relativeHeight="251658253" behindDoc="0" locked="0" layoutInCell="1" allowOverlap="1" wp14:anchorId="6D984DE4" wp14:editId="06F1242F">
                      <wp:simplePos x="0" y="0"/>
                      <wp:positionH relativeFrom="column">
                        <wp:posOffset>-214630</wp:posOffset>
                      </wp:positionH>
                      <wp:positionV relativeFrom="paragraph">
                        <wp:posOffset>68580</wp:posOffset>
                      </wp:positionV>
                      <wp:extent cx="565150" cy="749300"/>
                      <wp:effectExtent l="0" t="0" r="0" b="0"/>
                      <wp:wrapNone/>
                      <wp:docPr id="1993497938" name="Rectangle 1993497938"/>
                      <wp:cNvGraphicFramePr/>
                      <a:graphic xmlns:a="http://schemas.openxmlformats.org/drawingml/2006/main">
                        <a:graphicData uri="http://schemas.microsoft.com/office/word/2010/wordprocessingShape">
                          <wps:wsp>
                            <wps:cNvSpPr/>
                            <wps:spPr>
                              <a:xfrm>
                                <a:off x="0" y="0"/>
                                <a:ext cx="565150" cy="7493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300D1F"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984DE4" id="Rectangle 1993497938" o:spid="_x0000_s1029" style="position:absolute;left:0;text-align:left;margin-left:-16.9pt;margin-top:5.4pt;width:44.5pt;height:59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" filled="f" stroked="f" strokeweight="1pt">
                      <v:textbox>
                        <w:txbxContent>
                          <w:p w14:paraId="17300D1F"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3</w:t>
                            </w:r>
                          </w:p>
                        </w:txbxContent>
                      </v:textbox>
                    </v:rect>
                  </w:pict>
                </mc:Fallback>
              </mc:AlternateContent>
            </w:r>
            <w:r w:rsidRPr="008343D7">
              <w:rPr>
                <w:rFonts w:eastAsia="Calibri"/>
                <w:b/>
                <w:bCs/>
                <w:color w:val="3B3B3C"/>
              </w:rPr>
              <w:t>The process of establishing goals at the country level should be focused on understanding the priorities and needs of key decision</w:t>
            </w:r>
            <w:r>
              <w:rPr>
                <w:rFonts w:eastAsia="Calibri"/>
                <w:b/>
                <w:bCs/>
                <w:color w:val="3B3B3C"/>
              </w:rPr>
              <w:t>-</w:t>
            </w:r>
            <w:r w:rsidRPr="008343D7">
              <w:rPr>
                <w:rFonts w:eastAsia="Calibri"/>
                <w:b/>
                <w:bCs/>
                <w:color w:val="3B3B3C"/>
              </w:rPr>
              <w:t xml:space="preserve">makers on AMR, recognising </w:t>
            </w:r>
            <w:r w:rsidRPr="00C637BD">
              <w:rPr>
                <w:rFonts w:eastAsia="Calibri"/>
                <w:b/>
                <w:bCs/>
                <w:iCs/>
                <w:color w:val="3B3B3C"/>
              </w:rPr>
              <w:t>inter alia</w:t>
            </w:r>
            <w:r w:rsidRPr="008343D7">
              <w:rPr>
                <w:rFonts w:eastAsia="Calibri"/>
                <w:b/>
                <w:bCs/>
                <w:color w:val="3B3B3C"/>
              </w:rPr>
              <w:t xml:space="preserve"> that: </w:t>
            </w:r>
            <w:r>
              <w:rPr>
                <w:rFonts w:eastAsia="Calibri"/>
                <w:b/>
                <w:bCs/>
                <w:color w:val="3B3B3C"/>
              </w:rPr>
              <w:t>(</w:t>
            </w:r>
            <w:r w:rsidRPr="008343D7">
              <w:rPr>
                <w:rFonts w:eastAsia="Calibri"/>
                <w:b/>
                <w:bCs/>
                <w:color w:val="3B3B3C"/>
              </w:rPr>
              <w:t xml:space="preserve">a) AMR action will take place through multiple policy processes and that differentiation between HH and AH is of fundamental importance; </w:t>
            </w:r>
            <w:r>
              <w:rPr>
                <w:rFonts w:eastAsia="Calibri"/>
                <w:b/>
                <w:bCs/>
                <w:color w:val="3B3B3C"/>
              </w:rPr>
              <w:t>(</w:t>
            </w:r>
            <w:r w:rsidRPr="008343D7">
              <w:rPr>
                <w:rFonts w:eastAsia="Calibri"/>
                <w:b/>
                <w:bCs/>
                <w:color w:val="3B3B3C"/>
              </w:rPr>
              <w:t>b) that achieving higher-level goals requires action by other actors and therefore effective collaboration with key stakeholder groups</w:t>
            </w:r>
            <w:r>
              <w:rPr>
                <w:rFonts w:eastAsia="Calibri"/>
                <w:b/>
                <w:bCs/>
                <w:color w:val="3B3B3C"/>
              </w:rPr>
              <w:t>.</w:t>
            </w:r>
          </w:p>
        </w:tc>
      </w:tr>
      <w:tr w:rsidR="00444B77" w14:paraId="3E49A7E4" w14:textId="77777777" w:rsidTr="00CD23DA">
        <w:trPr>
          <w:trHeight w:val="1501"/>
        </w:trPr>
        <w:tc>
          <w:tcPr>
            <w:tcW w:w="8931" w:type="dxa"/>
            <w:shd w:val="clear" w:color="auto" w:fill="F2F2F2" w:themeFill="background1" w:themeFillShade="F2"/>
            <w:vAlign w:val="center"/>
          </w:tcPr>
          <w:p w14:paraId="2D5F5B98" w14:textId="77777777" w:rsidR="00444B77" w:rsidRPr="00CE4CD9" w:rsidRDefault="00444B77" w:rsidP="00CD23DA">
            <w:pPr>
              <w:spacing w:after="120"/>
              <w:ind w:left="567" w:right="227"/>
              <w:textAlignment w:val="baseline"/>
              <w:rPr>
                <w:rFonts w:eastAsia="Times New Roman" w:cs="Calibri"/>
                <w:color w:val="3B3B3C"/>
                <w:lang w:eastAsia="en-GB"/>
              </w:rPr>
            </w:pPr>
            <w:r>
              <w:rPr>
                <w:rFonts w:cstheme="minorHAnsi"/>
                <w:b/>
                <w:bCs/>
                <w:noProof/>
                <w:color w:val="3B3B3C"/>
                <w:sz w:val="28"/>
                <w:szCs w:val="28"/>
              </w:rPr>
              <mc:AlternateContent>
                <mc:Choice Requires="wps">
                  <w:drawing>
                    <wp:anchor distT="0" distB="0" distL="114300" distR="114300" simplePos="0" relativeHeight="251658254" behindDoc="0" locked="0" layoutInCell="1" allowOverlap="1" wp14:anchorId="6C05D864" wp14:editId="374B72CF">
                      <wp:simplePos x="0" y="0"/>
                      <wp:positionH relativeFrom="column">
                        <wp:posOffset>-207010</wp:posOffset>
                      </wp:positionH>
                      <wp:positionV relativeFrom="paragraph">
                        <wp:posOffset>36830</wp:posOffset>
                      </wp:positionV>
                      <wp:extent cx="565150" cy="749300"/>
                      <wp:effectExtent l="0" t="0" r="0" b="0"/>
                      <wp:wrapNone/>
                      <wp:docPr id="252014961" name="Rectangle 252014961"/>
                      <wp:cNvGraphicFramePr/>
                      <a:graphic xmlns:a="http://schemas.openxmlformats.org/drawingml/2006/main">
                        <a:graphicData uri="http://schemas.microsoft.com/office/word/2010/wordprocessingShape">
                          <wps:wsp>
                            <wps:cNvSpPr/>
                            <wps:spPr>
                              <a:xfrm>
                                <a:off x="0" y="0"/>
                                <a:ext cx="565150" cy="7493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34F62C"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05D864" id="Rectangle 252014961" o:spid="_x0000_s1030" style="position:absolute;left:0;text-align:left;margin-left:-16.3pt;margin-top:2.9pt;width:44.5pt;height:59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" filled="f" stroked="f" strokeweight="1pt">
                      <v:textbox>
                        <w:txbxContent>
                          <w:p w14:paraId="6734F62C" w14:textId="77777777" w:rsidR="00444B77" w:rsidRPr="00112655"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112655">
                              <w:rPr>
                                <w:i/>
                                <w:iCs/>
                                <w:color w:val="588B46" w:themeColor="text2"/>
                                <w:sz w:val="84"/>
                                <w:szCs w:val="84"/>
                                <w14:shadow w14:blurRad="50800" w14:dist="38100" w14:dir="2700000" w14:sx="100000" w14:sy="100000" w14:kx="0" w14:ky="0" w14:algn="tl">
                                  <w14:srgbClr w14:val="000000">
                                    <w14:alpha w14:val="60000"/>
                                  </w14:srgbClr>
                                </w14:shadow>
                              </w:rPr>
                              <w:t>4</w:t>
                            </w:r>
                          </w:p>
                        </w:txbxContent>
                      </v:textbox>
                    </v:rect>
                  </w:pict>
                </mc:Fallback>
              </mc:AlternateContent>
            </w:r>
            <w:r w:rsidRPr="008343D7">
              <w:rPr>
                <w:rFonts w:eastAsia="Times New Roman" w:cs="Calibri"/>
                <w:b/>
                <w:bCs/>
                <w:color w:val="3B3B3C"/>
                <w:lang w:eastAsia="en-GB"/>
              </w:rPr>
              <w:t>The Fleming Fund should make adaptations to or emphas</w:t>
            </w:r>
            <w:r>
              <w:rPr>
                <w:rFonts w:eastAsia="Times New Roman" w:cs="Calibri"/>
                <w:b/>
                <w:bCs/>
                <w:color w:val="3B3B3C"/>
                <w:lang w:eastAsia="en-GB"/>
              </w:rPr>
              <w:t>ise specific aspects of</w:t>
            </w:r>
            <w:r w:rsidRPr="008343D7">
              <w:rPr>
                <w:rFonts w:eastAsia="Times New Roman" w:cs="Calibri"/>
                <w:b/>
                <w:bCs/>
                <w:color w:val="3B3B3C"/>
                <w:lang w:eastAsia="en-GB"/>
              </w:rPr>
              <w:t xml:space="preserve"> its technical approach for </w:t>
            </w:r>
            <w:r>
              <w:rPr>
                <w:rFonts w:eastAsia="Times New Roman" w:cs="Calibri"/>
                <w:b/>
                <w:bCs/>
                <w:color w:val="3B3B3C"/>
                <w:lang w:eastAsia="en-GB"/>
              </w:rPr>
              <w:t>phase 2</w:t>
            </w:r>
            <w:r w:rsidRPr="008343D7">
              <w:rPr>
                <w:rFonts w:eastAsia="Times New Roman" w:cs="Calibri"/>
                <w:b/>
                <w:bCs/>
                <w:color w:val="3B3B3C"/>
                <w:lang w:eastAsia="en-GB"/>
              </w:rPr>
              <w:t xml:space="preserve">, that are supported by experience from </w:t>
            </w:r>
            <w:r>
              <w:rPr>
                <w:rFonts w:eastAsia="Times New Roman" w:cs="Calibri"/>
                <w:b/>
                <w:bCs/>
                <w:color w:val="3B3B3C"/>
                <w:lang w:eastAsia="en-GB"/>
              </w:rPr>
              <w:t>phase 1</w:t>
            </w:r>
            <w:r w:rsidRPr="008343D7">
              <w:rPr>
                <w:rFonts w:eastAsia="Times New Roman" w:cs="Calibri"/>
                <w:b/>
                <w:bCs/>
                <w:color w:val="3B3B3C"/>
                <w:lang w:eastAsia="en-GB"/>
              </w:rPr>
              <w:t>. These should include</w:t>
            </w:r>
            <w:r>
              <w:rPr>
                <w:rFonts w:eastAsia="Times New Roman" w:cs="Calibri"/>
                <w:b/>
                <w:bCs/>
                <w:color w:val="3B3B3C"/>
                <w:lang w:eastAsia="en-GB"/>
              </w:rPr>
              <w:t xml:space="preserve"> </w:t>
            </w:r>
            <w:r w:rsidRPr="008343D7">
              <w:rPr>
                <w:rFonts w:eastAsia="Times New Roman" w:cs="Calibri"/>
                <w:b/>
                <w:bCs/>
                <w:color w:val="3B3B3C"/>
                <w:lang w:eastAsia="en-GB"/>
              </w:rPr>
              <w:t>focusing on AMU and other data sources, identifying informal approaches to One Health multisector collaboration, and maximising the prospects for sustaining laboratory functions</w:t>
            </w:r>
            <w:r>
              <w:rPr>
                <w:rFonts w:eastAsia="Times New Roman" w:cs="Calibri"/>
                <w:b/>
                <w:bCs/>
                <w:color w:val="3B3B3C"/>
                <w:lang w:eastAsia="en-GB"/>
              </w:rPr>
              <w:t>.</w:t>
            </w:r>
          </w:p>
        </w:tc>
      </w:tr>
      <w:tr w:rsidR="00444B77" w14:paraId="56E0C591" w14:textId="77777777" w:rsidTr="00CD23DA">
        <w:trPr>
          <w:trHeight w:val="1525"/>
        </w:trPr>
        <w:tc>
          <w:tcPr>
            <w:tcW w:w="8931" w:type="dxa"/>
            <w:shd w:val="clear" w:color="auto" w:fill="DCEAD6" w:themeFill="text2" w:themeFillTint="33"/>
            <w:vAlign w:val="center"/>
          </w:tcPr>
          <w:p w14:paraId="2ABAAF38" w14:textId="77777777" w:rsidR="00444B77" w:rsidRPr="00484408" w:rsidRDefault="00444B77" w:rsidP="00CD23DA">
            <w:pPr>
              <w:tabs>
                <w:tab w:val="left" w:pos="1418"/>
              </w:tabs>
              <w:spacing w:before="120" w:after="120"/>
              <w:ind w:left="567" w:right="227"/>
              <w:textAlignment w:val="baseline"/>
              <w:rPr>
                <w:rFonts w:eastAsia="Times New Roman" w:cs="Calibri"/>
                <w:color w:val="3B3B3C"/>
                <w:lang w:eastAsia="en-GB"/>
              </w:rPr>
            </w:pPr>
            <w:r>
              <w:rPr>
                <w:rFonts w:cstheme="minorHAnsi"/>
                <w:b/>
                <w:bCs/>
                <w:noProof/>
                <w:color w:val="3B3B3C"/>
                <w:sz w:val="28"/>
                <w:szCs w:val="28"/>
              </w:rPr>
              <mc:AlternateContent>
                <mc:Choice Requires="wps">
                  <w:drawing>
                    <wp:anchor distT="0" distB="0" distL="114300" distR="114300" simplePos="0" relativeHeight="251658255" behindDoc="0" locked="0" layoutInCell="1" allowOverlap="1" wp14:anchorId="64803A0D" wp14:editId="263FF02C">
                      <wp:simplePos x="0" y="0"/>
                      <wp:positionH relativeFrom="column">
                        <wp:posOffset>-242570</wp:posOffset>
                      </wp:positionH>
                      <wp:positionV relativeFrom="paragraph">
                        <wp:posOffset>-14605</wp:posOffset>
                      </wp:positionV>
                      <wp:extent cx="565150" cy="749300"/>
                      <wp:effectExtent l="0" t="0" r="0" b="0"/>
                      <wp:wrapNone/>
                      <wp:docPr id="2032691115" name="Rectangle 2032691115"/>
                      <wp:cNvGraphicFramePr/>
                      <a:graphic xmlns:a="http://schemas.openxmlformats.org/drawingml/2006/main">
                        <a:graphicData uri="http://schemas.microsoft.com/office/word/2010/wordprocessingShape">
                          <wps:wsp>
                            <wps:cNvSpPr/>
                            <wps:spPr>
                              <a:xfrm>
                                <a:off x="0" y="0"/>
                                <a:ext cx="565150" cy="7493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AE06E0" w14:textId="77777777" w:rsidR="00444B77" w:rsidRPr="00981369"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981369">
                                    <w:rPr>
                                      <w:i/>
                                      <w:iCs/>
                                      <w:color w:val="588B46" w:themeColor="text2"/>
                                      <w:sz w:val="84"/>
                                      <w:szCs w:val="84"/>
                                      <w14:shadow w14:blurRad="50800" w14:dist="38100" w14:dir="2700000" w14:sx="100000" w14:sy="100000" w14:kx="0" w14:ky="0" w14:algn="tl">
                                        <w14:srgbClr w14:val="000000">
                                          <w14:alpha w14:val="60000"/>
                                        </w14:srgbClr>
                                      </w14:shadow>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803A0D" id="Rectangle 2032691115" o:spid="_x0000_s1031" style="position:absolute;left:0;text-align:left;margin-left:-19.1pt;margin-top:-1.15pt;width:44.5pt;height:59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" filled="f" stroked="f" strokeweight="1pt">
                      <v:textbox>
                        <w:txbxContent>
                          <w:p w14:paraId="02AE06E0" w14:textId="77777777" w:rsidR="00444B77" w:rsidRPr="00981369" w:rsidRDefault="00444B77" w:rsidP="00444B77">
                            <w:pPr>
                              <w:jc w:val="center"/>
                              <w:rPr>
                                <w:i/>
                                <w:iCs/>
                                <w:color w:val="588B46" w:themeColor="text2"/>
                                <w:sz w:val="84"/>
                                <w:szCs w:val="84"/>
                                <w14:shadow w14:blurRad="50800" w14:dist="38100" w14:dir="2700000" w14:sx="100000" w14:sy="100000" w14:kx="0" w14:ky="0" w14:algn="tl">
                                  <w14:srgbClr w14:val="000000">
                                    <w14:alpha w14:val="60000"/>
                                  </w14:srgbClr>
                                </w14:shadow>
                              </w:rPr>
                            </w:pPr>
                            <w:r w:rsidRPr="00981369">
                              <w:rPr>
                                <w:i/>
                                <w:iCs/>
                                <w:color w:val="588B46" w:themeColor="text2"/>
                                <w:sz w:val="84"/>
                                <w:szCs w:val="84"/>
                                <w14:shadow w14:blurRad="50800" w14:dist="38100" w14:dir="2700000" w14:sx="100000" w14:sy="100000" w14:kx="0" w14:ky="0" w14:algn="tl">
                                  <w14:srgbClr w14:val="000000">
                                    <w14:alpha w14:val="60000"/>
                                  </w14:srgbClr>
                                </w14:shadow>
                              </w:rPr>
                              <w:t>5</w:t>
                            </w:r>
                          </w:p>
                        </w:txbxContent>
                      </v:textbox>
                    </v:rect>
                  </w:pict>
                </mc:Fallback>
              </mc:AlternateContent>
            </w:r>
            <w:r w:rsidRPr="008343D7">
              <w:rPr>
                <w:rFonts w:eastAsia="Times New Roman" w:cs="Calibri"/>
                <w:b/>
                <w:bCs/>
                <w:color w:val="3B3B3C"/>
                <w:lang w:eastAsia="en-GB"/>
              </w:rPr>
              <w:t xml:space="preserve">The Fleming Fund should place greater emphasis on internal and external coherence and coordination from the outset of </w:t>
            </w:r>
            <w:r>
              <w:rPr>
                <w:rFonts w:eastAsia="Times New Roman" w:cs="Calibri"/>
                <w:b/>
                <w:bCs/>
                <w:color w:val="3B3B3C"/>
                <w:lang w:eastAsia="en-GB"/>
              </w:rPr>
              <w:t>phase 2</w:t>
            </w:r>
            <w:r w:rsidRPr="008343D7">
              <w:rPr>
                <w:rFonts w:eastAsia="Times New Roman" w:cs="Calibri"/>
                <w:b/>
                <w:bCs/>
                <w:color w:val="3B3B3C"/>
                <w:lang w:eastAsia="en-GB"/>
              </w:rPr>
              <w:t>, including strengthening AMRCCs and NAPs to play this role and their linkages to institutional homes</w:t>
            </w:r>
            <w:r>
              <w:rPr>
                <w:rFonts w:eastAsia="Times New Roman" w:cs="Calibri"/>
                <w:b/>
                <w:bCs/>
                <w:color w:val="3B3B3C"/>
                <w:lang w:eastAsia="en-GB"/>
              </w:rPr>
              <w:t>.</w:t>
            </w:r>
          </w:p>
        </w:tc>
      </w:tr>
    </w:tbl>
    <w:p w14:paraId="3BB6C8EA" w14:textId="683B2A72" w:rsidR="00CB229B" w:rsidRPr="007E5774" w:rsidRDefault="00CB229B" w:rsidP="00D248E0">
      <w:pPr>
        <w:pStyle w:val="ItadH2"/>
        <w:rPr>
          <w:noProof/>
          <w:lang w:eastAsia="en-GB"/>
        </w:rPr>
      </w:pPr>
      <w:bookmarkStart w:id="61" w:name="_Toc144049339"/>
      <w:bookmarkStart w:id="62" w:name="_Toc144715799"/>
      <w:bookmarkStart w:id="63" w:name="_Hlk136433409"/>
      <w:r w:rsidRPr="009B265B">
        <w:rPr>
          <w:noProof/>
          <w:lang w:eastAsia="en-GB"/>
        </w:rPr>
        <w:t>Evaluation scope and methodology</w:t>
      </w:r>
      <w:bookmarkEnd w:id="61"/>
      <w:bookmarkEnd w:id="62"/>
    </w:p>
    <w:p w14:paraId="6E468941" w14:textId="7E91CAD3" w:rsidR="00CB229B" w:rsidRDefault="00CB229B" w:rsidP="00CB229B">
      <w:pPr>
        <w:pStyle w:val="ItadNormalText"/>
      </w:pPr>
      <w:r>
        <w:t xml:space="preserve">As noted above, </w:t>
      </w:r>
      <w:r w:rsidR="00D26F80">
        <w:t xml:space="preserve">the </w:t>
      </w:r>
      <w:r w:rsidRPr="007E5774">
        <w:t>DHSC commissioned Itad in 2016 to provide an independent evaluation function for the Fleming Fund grants programme</w:t>
      </w:r>
      <w:r w:rsidR="00B30736">
        <w:t xml:space="preserve"> – </w:t>
      </w:r>
      <w:r w:rsidRPr="007E5774">
        <w:t>focusing on workstream</w:t>
      </w:r>
      <w:r w:rsidR="00B26A64">
        <w:t>s</w:t>
      </w:r>
      <w:r w:rsidRPr="007E5774">
        <w:t xml:space="preserve"> 3 </w:t>
      </w:r>
      <w:r>
        <w:t xml:space="preserve">(portfolio of One Health country and regional projects) </w:t>
      </w:r>
      <w:r w:rsidRPr="007E5774">
        <w:t>and 4</w:t>
      </w:r>
      <w:r>
        <w:t xml:space="preserve"> (Fleming Fellows) (see </w:t>
      </w:r>
      <w:r>
        <w:fldChar w:fldCharType="begin"/>
      </w:r>
      <w:r>
        <w:instrText xml:space="preserve"> REF _Ref118193813 \h </w:instrText>
      </w:r>
      <w:r>
        <w:fldChar w:fldCharType="separate"/>
      </w:r>
      <w:r>
        <w:t xml:space="preserve">Figure </w:t>
      </w:r>
      <w:r>
        <w:rPr>
          <w:noProof/>
        </w:rPr>
        <w:t>2</w:t>
      </w:r>
      <w:r>
        <w:fldChar w:fldCharType="end"/>
      </w:r>
      <w:r>
        <w:t>)</w:t>
      </w:r>
      <w:r w:rsidRPr="007E5774">
        <w:t>.</w:t>
      </w:r>
      <w:r>
        <w:rPr>
          <w:rStyle w:val="FootnoteReference"/>
        </w:rPr>
        <w:footnoteReference w:id="18"/>
      </w:r>
      <w:r w:rsidRPr="007E5774">
        <w:t xml:space="preserve"> </w:t>
      </w:r>
      <w:r>
        <w:t>The evaluation has been undertaken by a multidisciplinary team as described in Vol. II, Annex 14</w:t>
      </w:r>
      <w:r w:rsidR="00B91F7E">
        <w:t xml:space="preserve"> (Figure 26 and Table 4</w:t>
      </w:r>
      <w:r w:rsidR="00CA5A28">
        <w:t>6</w:t>
      </w:r>
      <w:r w:rsidR="00B91F7E">
        <w:t>)</w:t>
      </w:r>
      <w:r>
        <w:t xml:space="preserve">. </w:t>
      </w:r>
      <w:r w:rsidRPr="007E5774">
        <w:t xml:space="preserve">As agreed, we have not evaluated the performance </w:t>
      </w:r>
      <w:r>
        <w:t>of</w:t>
      </w:r>
      <w:r w:rsidRPr="007E5774">
        <w:t xml:space="preserve"> individual grants within these two workstreams. Rather, the focus of the evaluation has been on how far the outputs of the grants developed and managed through the MA have, or are likely</w:t>
      </w:r>
      <w:r>
        <w:t xml:space="preserve"> to have</w:t>
      </w:r>
      <w:r w:rsidRPr="007E5774">
        <w:t>, contribute</w:t>
      </w:r>
      <w:r>
        <w:t>d</w:t>
      </w:r>
      <w:r w:rsidRPr="007E5774">
        <w:t xml:space="preserve"> to the outcomes and impact identified by</w:t>
      </w:r>
      <w:r>
        <w:t xml:space="preserve"> the</w:t>
      </w:r>
      <w:r w:rsidRPr="007E5774">
        <w:t xml:space="preserve"> DHSC.</w:t>
      </w:r>
    </w:p>
    <w:p w14:paraId="230C710F" w14:textId="5F10148A" w:rsidR="00CB229B" w:rsidRPr="007E5774" w:rsidRDefault="00CB229B" w:rsidP="00CB229B">
      <w:pPr>
        <w:pStyle w:val="ItadNormalText"/>
      </w:pPr>
      <w:bookmarkStart w:id="64" w:name="_Hlk136433438"/>
      <w:bookmarkEnd w:id="63"/>
      <w:r w:rsidRPr="007E5774">
        <w:t xml:space="preserve">Previous evaluation outputs were focused on </w:t>
      </w:r>
      <w:r>
        <w:t xml:space="preserve">and timed to ensure the utility of evaluation processes, e.g. through </w:t>
      </w:r>
      <w:r w:rsidRPr="007E5774">
        <w:t xml:space="preserve">supporting adaptation </w:t>
      </w:r>
      <w:r>
        <w:t xml:space="preserve">by </w:t>
      </w:r>
      <w:r w:rsidRPr="007E5774">
        <w:t xml:space="preserve">the Fleming Fund based on emerging evidence from </w:t>
      </w:r>
      <w:r w:rsidRPr="00E255FB">
        <w:t xml:space="preserve">implementation (see </w:t>
      </w:r>
      <w:r>
        <w:t>Vol. I</w:t>
      </w:r>
      <w:r w:rsidRPr="00E255FB">
        <w:t>I, Annex 23 for summary examples of where this has happened).</w:t>
      </w:r>
      <w:r w:rsidRPr="00E255FB" w:rsidDel="00100E81">
        <w:t xml:space="preserve"> </w:t>
      </w:r>
      <w:r w:rsidRPr="00E255FB">
        <w:t>The</w:t>
      </w:r>
      <w:r>
        <w:t xml:space="preserve"> purpose of this report is to provide </w:t>
      </w:r>
      <w:r w:rsidRPr="007E5774">
        <w:t xml:space="preserve">an independent summative judgement of </w:t>
      </w:r>
      <w:r w:rsidRPr="007E5774" w:rsidDel="00052E3D">
        <w:t xml:space="preserve">the </w:t>
      </w:r>
      <w:r>
        <w:t>Fleming Fund</w:t>
      </w:r>
      <w:r w:rsidR="00AA6A7B">
        <w:t>’</w:t>
      </w:r>
      <w:r w:rsidRPr="007E5774">
        <w:t xml:space="preserve">s </w:t>
      </w:r>
      <w:r w:rsidRPr="007E5774">
        <w:lastRenderedPageBreak/>
        <w:t xml:space="preserve">results </w:t>
      </w:r>
      <w:r>
        <w:t xml:space="preserve">for accountability purposes </w:t>
      </w:r>
      <w:r w:rsidRPr="007E5774">
        <w:t xml:space="preserve">using six </w:t>
      </w:r>
      <w:r w:rsidR="007832E3">
        <w:t>EQs</w:t>
      </w:r>
      <w:r w:rsidRPr="00EF6FDA">
        <w:rPr>
          <w:vertAlign w:val="superscript"/>
        </w:rPr>
        <w:footnoteReference w:id="19"/>
      </w:r>
      <w:r w:rsidR="0053538F">
        <w:t>(</w:t>
      </w:r>
      <w:r w:rsidR="0053538F">
        <w:fldChar w:fldCharType="begin"/>
      </w:r>
      <w:r w:rsidR="0053538F">
        <w:instrText xml:space="preserve"> REF _Ref144030357 \h </w:instrText>
      </w:r>
      <w:r w:rsidR="0053538F">
        <w:fldChar w:fldCharType="separate"/>
      </w:r>
      <w:r w:rsidR="0053538F">
        <w:t xml:space="preserve">Figure </w:t>
      </w:r>
      <w:r w:rsidR="0053538F">
        <w:rPr>
          <w:noProof/>
        </w:rPr>
        <w:t>8</w:t>
      </w:r>
      <w:r w:rsidR="0053538F">
        <w:fldChar w:fldCharType="end"/>
      </w:r>
      <w:r w:rsidR="0053538F">
        <w:t>)</w:t>
      </w:r>
      <w:r w:rsidRPr="007E5774">
        <w:t xml:space="preserve"> </w:t>
      </w:r>
      <w:r>
        <w:t>that</w:t>
      </w:r>
      <w:r w:rsidRPr="007E5774">
        <w:t xml:space="preserve"> reflect DHSC</w:t>
      </w:r>
      <w:r w:rsidR="00AA6A7B">
        <w:t>’</w:t>
      </w:r>
      <w:r w:rsidRPr="007E5774">
        <w:t xml:space="preserve">s priorities. Our focus is on </w:t>
      </w:r>
      <w:r>
        <w:t xml:space="preserve">the </w:t>
      </w:r>
      <w:r w:rsidRPr="007E5774">
        <w:t>country- as opposed to regional</w:t>
      </w:r>
      <w:r>
        <w:t>-</w:t>
      </w:r>
      <w:r w:rsidRPr="007E5774">
        <w:t xml:space="preserve"> or global-level results across </w:t>
      </w:r>
      <w:r>
        <w:t xml:space="preserve">the </w:t>
      </w:r>
      <w:r w:rsidRPr="007E5774">
        <w:t xml:space="preserve">human, </w:t>
      </w:r>
      <w:r w:rsidRPr="007E5774" w:rsidDel="00585E7D">
        <w:t>animal</w:t>
      </w:r>
      <w:r w:rsidRPr="007E5774">
        <w:t>, and environment sectors.</w:t>
      </w:r>
      <w:r>
        <w:t xml:space="preserve"> Our primary target audience is senior management within DHSC and His Majesty</w:t>
      </w:r>
      <w:r w:rsidR="00AA6A7B">
        <w:t>’</w:t>
      </w:r>
      <w:r>
        <w:t xml:space="preserve">s Treasury (HMT), as well as the MA and other donors and </w:t>
      </w:r>
      <w:r w:rsidR="002944F0">
        <w:t>DPs</w:t>
      </w:r>
      <w:r>
        <w:t>.</w:t>
      </w:r>
    </w:p>
    <w:p w14:paraId="2F5A1C66" w14:textId="504E7607" w:rsidR="00CB229B" w:rsidRPr="007E5774" w:rsidRDefault="00CB229B" w:rsidP="00CB229B">
      <w:pPr>
        <w:pStyle w:val="ItadNormalText"/>
      </w:pPr>
      <w:r w:rsidRPr="007E5774">
        <w:t xml:space="preserve">The timing of the evaluation </w:t>
      </w:r>
      <w:r w:rsidR="00B00A92" w:rsidRPr="007E5774" w:rsidDel="00585E7D">
        <w:t>was set</w:t>
      </w:r>
      <w:r w:rsidRPr="007E5774">
        <w:t xml:space="preserve"> at the request of </w:t>
      </w:r>
      <w:r w:rsidR="00B00A92">
        <w:t xml:space="preserve">the </w:t>
      </w:r>
      <w:r w:rsidRPr="007E5774">
        <w:t xml:space="preserve">DHSC, to </w:t>
      </w:r>
      <w:r>
        <w:t xml:space="preserve">maximise utility through </w:t>
      </w:r>
      <w:r w:rsidRPr="007E5774">
        <w:t>feed</w:t>
      </w:r>
      <w:r>
        <w:t>ing</w:t>
      </w:r>
      <w:r w:rsidRPr="007E5774">
        <w:t xml:space="preserve"> into detailed planning of the second phase of the Fleming Fund, starting in April 2023. One consequence </w:t>
      </w:r>
      <w:r w:rsidRPr="00953C34">
        <w:rPr>
          <w:rStyle w:val="cf01"/>
          <w:rFonts w:asciiTheme="minorHAnsi" w:hAnsiTheme="minorHAnsi" w:cstheme="minorHAnsi"/>
          <w:sz w:val="22"/>
          <w:szCs w:val="22"/>
        </w:rPr>
        <w:t xml:space="preserve">was having a July 2022 data collection cut-off point, which </w:t>
      </w:r>
      <w:r w:rsidR="00B00A92">
        <w:rPr>
          <w:rStyle w:val="cf01"/>
          <w:rFonts w:asciiTheme="minorHAnsi" w:hAnsiTheme="minorHAnsi" w:cstheme="minorHAnsi"/>
          <w:sz w:val="22"/>
          <w:szCs w:val="22"/>
        </w:rPr>
        <w:t>wa</w:t>
      </w:r>
      <w:r w:rsidRPr="00953C34">
        <w:rPr>
          <w:rStyle w:val="cf01"/>
          <w:rFonts w:asciiTheme="minorHAnsi" w:hAnsiTheme="minorHAnsi" w:cstheme="minorHAnsi"/>
          <w:sz w:val="22"/>
          <w:szCs w:val="22"/>
        </w:rPr>
        <w:t xml:space="preserve">s nine months before </w:t>
      </w:r>
      <w:r w:rsidR="00B00A92">
        <w:rPr>
          <w:rStyle w:val="cf01"/>
          <w:rFonts w:asciiTheme="minorHAnsi" w:hAnsiTheme="minorHAnsi" w:cstheme="minorHAnsi"/>
          <w:sz w:val="22"/>
          <w:szCs w:val="22"/>
        </w:rPr>
        <w:t xml:space="preserve">the end of </w:t>
      </w:r>
      <w:r w:rsidRPr="00953C34">
        <w:rPr>
          <w:rStyle w:val="cf01"/>
          <w:rFonts w:asciiTheme="minorHAnsi" w:hAnsiTheme="minorHAnsi" w:cstheme="minorHAnsi"/>
          <w:sz w:val="22"/>
          <w:szCs w:val="22"/>
        </w:rPr>
        <w:t xml:space="preserve">phase 1 </w:t>
      </w:r>
      <w:r>
        <w:rPr>
          <w:rStyle w:val="cf01"/>
          <w:rFonts w:asciiTheme="minorHAnsi" w:hAnsiTheme="minorHAnsi" w:cstheme="minorHAnsi"/>
          <w:sz w:val="22"/>
          <w:szCs w:val="22"/>
        </w:rPr>
        <w:t>implementation</w:t>
      </w:r>
      <w:r w:rsidRPr="007E5774">
        <w:t xml:space="preserve">. </w:t>
      </w:r>
      <w:r w:rsidRPr="00953C34">
        <w:rPr>
          <w:rStyle w:val="cf01"/>
          <w:rFonts w:asciiTheme="minorHAnsi" w:hAnsiTheme="minorHAnsi" w:cstheme="minorHAnsi"/>
          <w:sz w:val="22"/>
          <w:szCs w:val="22"/>
        </w:rPr>
        <w:t>We recognise that further implementation and progress, not reflected in this report but in the MA</w:t>
      </w:r>
      <w:r w:rsidR="00AA6A7B">
        <w:rPr>
          <w:rStyle w:val="cf01"/>
          <w:rFonts w:asciiTheme="minorHAnsi" w:hAnsiTheme="minorHAnsi" w:cstheme="minorHAnsi"/>
          <w:sz w:val="22"/>
          <w:szCs w:val="22"/>
        </w:rPr>
        <w:t>’</w:t>
      </w:r>
      <w:r w:rsidRPr="00953C34">
        <w:rPr>
          <w:rStyle w:val="cf01"/>
          <w:rFonts w:asciiTheme="minorHAnsi" w:hAnsiTheme="minorHAnsi" w:cstheme="minorHAnsi"/>
          <w:sz w:val="22"/>
          <w:szCs w:val="22"/>
        </w:rPr>
        <w:t>s reporting, is likely to have occurred</w:t>
      </w:r>
      <w:r w:rsidRPr="00953C34" w:rsidDel="00953C34">
        <w:rPr>
          <w:rFonts w:asciiTheme="minorHAnsi" w:hAnsiTheme="minorHAnsi" w:cstheme="minorHAnsi"/>
        </w:rPr>
        <w:t xml:space="preserve"> </w:t>
      </w:r>
      <w:r w:rsidR="00B00A92">
        <w:t>following the completion of</w:t>
      </w:r>
      <w:r w:rsidRPr="007E5774">
        <w:t xml:space="preserve"> our data collection.</w:t>
      </w:r>
    </w:p>
    <w:p w14:paraId="3E761C9A" w14:textId="244BDD04" w:rsidR="0057770E" w:rsidRDefault="00CB229B" w:rsidP="00390962">
      <w:pPr>
        <w:pStyle w:val="ItadNormalText"/>
        <w:rPr>
          <w:rFonts w:asciiTheme="minorHAnsi" w:hAnsiTheme="minorHAnsi" w:cstheme="minorHAnsi"/>
          <w:sz w:val="21"/>
          <w:szCs w:val="21"/>
        </w:rPr>
        <w:sectPr w:rsidR="0057770E" w:rsidSect="00AA6A7B">
          <w:headerReference w:type="default" r:id="rId17"/>
          <w:headerReference w:type="first" r:id="rId18"/>
          <w:pgSz w:w="11900" w:h="16840" w:code="9"/>
          <w:pgMar w:top="1440" w:right="1440" w:bottom="1440" w:left="1440" w:header="720" w:footer="680" w:gutter="0"/>
          <w:cols w:space="720"/>
          <w:docGrid w:linePitch="360"/>
        </w:sectPr>
      </w:pPr>
      <w:bookmarkStart w:id="65" w:name="_Hlk136433535"/>
      <w:bookmarkEnd w:id="64"/>
      <w:r w:rsidRPr="007E5774">
        <w:t xml:space="preserve">To address the EQs we have collected data in 16 case study countries, resulting in </w:t>
      </w:r>
      <w:r>
        <w:t xml:space="preserve">the </w:t>
      </w:r>
      <w:r w:rsidRPr="007E5774">
        <w:t>review of more than 1</w:t>
      </w:r>
      <w:r>
        <w:t>,</w:t>
      </w:r>
      <w:r w:rsidRPr="007E5774">
        <w:t xml:space="preserve">900 documents and </w:t>
      </w:r>
      <w:r>
        <w:t xml:space="preserve">the </w:t>
      </w:r>
      <w:r w:rsidRPr="007E5774">
        <w:t xml:space="preserve">completion of more than 400 KIIs over the period September 2021 to July 2022. </w:t>
      </w:r>
      <w:r w:rsidR="00866830">
        <w:t xml:space="preserve">Grants </w:t>
      </w:r>
      <w:r w:rsidR="009A24F4">
        <w:t xml:space="preserve">included in our assessment as operating in our </w:t>
      </w:r>
      <w:r w:rsidR="00B32A79">
        <w:t>16 sample countries are listed in Vol</w:t>
      </w:r>
      <w:r w:rsidR="00C40B3E">
        <w:t>.</w:t>
      </w:r>
      <w:r w:rsidR="00B32A79">
        <w:t xml:space="preserve"> II, Annex 25. </w:t>
      </w:r>
      <w:r w:rsidRPr="007E5774">
        <w:t>We do not believe that evidence from the remaining seven countries would significantly alter our conclusions and recommendations. A range of analytical methods including contribution analysis, benchmarking against broader evidence and experience</w:t>
      </w:r>
      <w:r>
        <w:t>,</w:t>
      </w:r>
      <w:r w:rsidRPr="007E5774">
        <w:t xml:space="preserve"> and triangulation were used in analysing the evidence and developing our conclusions.</w:t>
      </w:r>
      <w:bookmarkEnd w:id="23"/>
      <w:bookmarkEnd w:id="65"/>
    </w:p>
    <w:p w14:paraId="0C74DF5C" w14:textId="552424CB" w:rsidR="00012EE7" w:rsidRPr="0089268F" w:rsidRDefault="00012EE7" w:rsidP="002E67FF">
      <w:pPr>
        <w:pStyle w:val="ItadH1Numbered"/>
        <w:rPr>
          <w:rFonts w:asciiTheme="majorHAnsi" w:hAnsiTheme="majorHAnsi"/>
        </w:rPr>
      </w:pPr>
      <w:bookmarkStart w:id="66" w:name="_Ref118234371"/>
      <w:bookmarkStart w:id="67" w:name="_Toc118796332"/>
      <w:bookmarkStart w:id="68" w:name="_Toc144715800"/>
      <w:r w:rsidRPr="002E67FF">
        <w:lastRenderedPageBreak/>
        <w:t>Introduction</w:t>
      </w:r>
      <w:bookmarkEnd w:id="66"/>
      <w:bookmarkEnd w:id="67"/>
      <w:bookmarkEnd w:id="68"/>
    </w:p>
    <w:p w14:paraId="7AA98357" w14:textId="2AC80892" w:rsidR="00012EE7" w:rsidRPr="00711909" w:rsidRDefault="00012EE7" w:rsidP="00012EE7">
      <w:pPr>
        <w:pStyle w:val="ItadNormalText"/>
        <w:rPr>
          <w:rFonts w:eastAsia="Times New Roman"/>
        </w:rPr>
      </w:pPr>
      <w:bookmarkStart w:id="69" w:name="_Hlk129084870"/>
      <w:r w:rsidRPr="000E7A0A">
        <w:t>This report provides a summative judgement on the results achieved by the Fleming Fund grants programme during its first phase of operation</w:t>
      </w:r>
      <w:r w:rsidR="00693C9D" w:rsidRPr="000E7A0A">
        <w:t xml:space="preserve"> (phase 1)</w:t>
      </w:r>
      <w:r w:rsidR="00523D9F" w:rsidRPr="000E7A0A">
        <w:t>; a second phase of the Fleming Fund</w:t>
      </w:r>
      <w:r w:rsidR="00AA2F7A" w:rsidRPr="000E7A0A">
        <w:t>,</w:t>
      </w:r>
      <w:r w:rsidR="00523D9F" w:rsidRPr="000E7A0A">
        <w:t xml:space="preserve"> with £193.5 million investment over a three-year period (FY2023/24 to 2025/26) was approved in late 2021</w:t>
      </w:r>
      <w:r w:rsidRPr="000E7A0A">
        <w:t>.</w:t>
      </w:r>
      <w:r w:rsidR="00AA2F7A" w:rsidRPr="000E7A0A">
        <w:rPr>
          <w:rStyle w:val="FootnoteReference"/>
        </w:rPr>
        <w:footnoteReference w:id="20"/>
      </w:r>
      <w:r w:rsidRPr="000E7A0A" w:rsidDel="00B6496A">
        <w:t xml:space="preserve"> </w:t>
      </w:r>
      <w:r w:rsidR="0067364F" w:rsidRPr="000E7A0A">
        <w:t>The report</w:t>
      </w:r>
      <w:r w:rsidRPr="000E7A0A">
        <w:t xml:space="preserve"> has been produced by Itad, the independent evaluation supplier for the Fleming Fund.</w:t>
      </w:r>
      <w:r w:rsidRPr="000E7A0A" w:rsidDel="00B6496A">
        <w:t xml:space="preserve"> </w:t>
      </w:r>
      <w:r w:rsidRPr="000E7A0A">
        <w:t>In this section, we provide an overview of the Fleming Fund (</w:t>
      </w:r>
      <w:r w:rsidR="00EB5C1C" w:rsidRPr="000E7A0A">
        <w:fldChar w:fldCharType="begin"/>
      </w:r>
      <w:r w:rsidR="00EB5C1C" w:rsidRPr="000E7A0A">
        <w:instrText xml:space="preserve"> REF _Ref129082984 \r \h </w:instrText>
      </w:r>
      <w:r w:rsidR="0057770E" w:rsidRPr="000E7A0A">
        <w:instrText xml:space="preserve"> \* MERGEFORMAT </w:instrText>
      </w:r>
      <w:r w:rsidR="00EB5C1C" w:rsidRPr="000E7A0A">
        <w:fldChar w:fldCharType="separate"/>
      </w:r>
      <w:r w:rsidR="00EB5C1C" w:rsidRPr="000E7A0A">
        <w:t>1.1</w:t>
      </w:r>
      <w:r w:rsidR="00EB5C1C" w:rsidRPr="000E7A0A">
        <w:fldChar w:fldCharType="end"/>
      </w:r>
      <w:r w:rsidRPr="000E7A0A">
        <w:t>) and the evaluation methodology (</w:t>
      </w:r>
      <w:r w:rsidR="002F223F" w:rsidRPr="000E7A0A">
        <w:fldChar w:fldCharType="begin"/>
      </w:r>
      <w:r w:rsidR="002F223F" w:rsidRPr="000E7A0A">
        <w:instrText xml:space="preserve"> REF _Ref121387401 \r \h </w:instrText>
      </w:r>
      <w:r w:rsidR="0057770E" w:rsidRPr="000E7A0A">
        <w:instrText xml:space="preserve"> \* MERGEFORMAT </w:instrText>
      </w:r>
      <w:r w:rsidR="002F223F" w:rsidRPr="000E7A0A">
        <w:fldChar w:fldCharType="separate"/>
      </w:r>
      <w:r w:rsidR="007D5B61">
        <w:t>1.4</w:t>
      </w:r>
      <w:r w:rsidR="002F223F" w:rsidRPr="000E7A0A">
        <w:fldChar w:fldCharType="end"/>
      </w:r>
      <w:r w:rsidRPr="000E7A0A">
        <w:t xml:space="preserve">). In section </w:t>
      </w:r>
      <w:r w:rsidRPr="000E7A0A">
        <w:fldChar w:fldCharType="begin"/>
      </w:r>
      <w:r w:rsidRPr="000E7A0A">
        <w:instrText xml:space="preserve"> REF _Ref118234381 \r \h  \* MERGEFORMAT </w:instrText>
      </w:r>
      <w:r w:rsidRPr="000E7A0A">
        <w:fldChar w:fldCharType="separate"/>
      </w:r>
      <w:r w:rsidR="00CA1256" w:rsidRPr="000E7A0A">
        <w:t>2</w:t>
      </w:r>
      <w:r w:rsidRPr="000E7A0A">
        <w:fldChar w:fldCharType="end"/>
      </w:r>
      <w:r w:rsidRPr="000E7A0A">
        <w:t xml:space="preserve"> we present findings for six </w:t>
      </w:r>
      <w:r w:rsidR="007832E3" w:rsidRPr="000E7A0A">
        <w:t>evaluation questions (EQs)</w:t>
      </w:r>
      <w:r w:rsidRPr="000E7A0A">
        <w:t xml:space="preserve"> (</w:t>
      </w:r>
      <w:r>
        <w:fldChar w:fldCharType="begin"/>
      </w:r>
      <w:r>
        <w:instrText>REF _Ref118207093 \h  \* MERGEFORMAT</w:instrText>
      </w:r>
      <w:r w:rsidR="00B33BBD">
        <w:fldChar w:fldCharType="separate"/>
      </w:r>
      <w:r>
        <w:fldChar w:fldCharType="end"/>
      </w:r>
      <w:r w:rsidRPr="000E7A0A">
        <w:t>)</w:t>
      </w:r>
      <w:r w:rsidRPr="000E7A0A">
        <w:rPr>
          <w:rStyle w:val="FootnoteReference"/>
        </w:rPr>
        <w:footnoteReference w:id="21"/>
      </w:r>
      <w:r w:rsidRPr="000E7A0A">
        <w:t xml:space="preserve"> that have framed </w:t>
      </w:r>
      <w:r w:rsidR="004F5ACF" w:rsidRPr="000E7A0A">
        <w:t xml:space="preserve">the </w:t>
      </w:r>
      <w:r w:rsidRPr="000E7A0A">
        <w:t xml:space="preserve">data collection and analysis, focused on three main areas of interest strengthening systems to produce quality data on </w:t>
      </w:r>
      <w:r w:rsidR="00EB20DD">
        <w:t>antimicrobial resistance (</w:t>
      </w:r>
      <w:r w:rsidRPr="000E7A0A">
        <w:t>AMR</w:t>
      </w:r>
      <w:r w:rsidR="00EB20DD">
        <w:t>)</w:t>
      </w:r>
      <w:r w:rsidRPr="000E7A0A">
        <w:t xml:space="preserve"> (</w:t>
      </w:r>
      <w:r w:rsidR="008A5F69" w:rsidRPr="000E7A0A">
        <w:fldChar w:fldCharType="begin"/>
      </w:r>
      <w:r w:rsidR="008A5F69" w:rsidRPr="000E7A0A">
        <w:instrText xml:space="preserve"> REF _Ref129083393 \r \h </w:instrText>
      </w:r>
      <w:r w:rsidR="0057770E" w:rsidRPr="000E7A0A">
        <w:instrText xml:space="preserve"> \* MERGEFORMAT </w:instrText>
      </w:r>
      <w:r w:rsidR="008A5F69" w:rsidRPr="000E7A0A">
        <w:fldChar w:fldCharType="separate"/>
      </w:r>
      <w:r w:rsidR="007D5B61">
        <w:t>2.1</w:t>
      </w:r>
      <w:r w:rsidR="008A5F69" w:rsidRPr="000E7A0A">
        <w:fldChar w:fldCharType="end"/>
      </w:r>
      <w:r w:rsidRPr="000E7A0A">
        <w:t>), use of data for AMR surveillance (</w:t>
      </w:r>
      <w:r w:rsidR="008A5F69" w:rsidRPr="000E7A0A">
        <w:fldChar w:fldCharType="begin"/>
      </w:r>
      <w:r w:rsidR="008A5F69" w:rsidRPr="000E7A0A">
        <w:instrText xml:space="preserve"> REF _Ref129083432 \r \h </w:instrText>
      </w:r>
      <w:r w:rsidR="0057770E" w:rsidRPr="000E7A0A">
        <w:instrText xml:space="preserve"> \* MERGEFORMAT </w:instrText>
      </w:r>
      <w:r w:rsidR="008A5F69" w:rsidRPr="000E7A0A">
        <w:fldChar w:fldCharType="separate"/>
      </w:r>
      <w:r w:rsidR="008A5F69" w:rsidRPr="000E7A0A">
        <w:t>2.2</w:t>
      </w:r>
      <w:r w:rsidR="008A5F69" w:rsidRPr="000E7A0A">
        <w:fldChar w:fldCharType="end"/>
      </w:r>
      <w:r w:rsidRPr="000E7A0A">
        <w:t>) and findings on how the Fleming Fund</w:t>
      </w:r>
      <w:r w:rsidRPr="00082C2A">
        <w:t xml:space="preserve"> has been designed and delivered (</w:t>
      </w:r>
      <w:r w:rsidR="008A5F69">
        <w:fldChar w:fldCharType="begin"/>
      </w:r>
      <w:r w:rsidR="008A5F69">
        <w:instrText xml:space="preserve"> REF _Ref129083757 \r \h </w:instrText>
      </w:r>
      <w:r w:rsidR="008A5F69">
        <w:fldChar w:fldCharType="separate"/>
      </w:r>
      <w:r w:rsidR="008A5F69">
        <w:t>2.3</w:t>
      </w:r>
      <w:r w:rsidR="008A5F69">
        <w:fldChar w:fldCharType="end"/>
      </w:r>
      <w:r w:rsidRPr="00082C2A">
        <w:t xml:space="preserve">). Based on these findings, we present conclusions and recommendations in sections </w:t>
      </w:r>
      <w:r w:rsidR="008A5F69">
        <w:fldChar w:fldCharType="begin"/>
      </w:r>
      <w:r w:rsidR="008A5F69">
        <w:instrText xml:space="preserve"> REF _Ref129083782 \r \h </w:instrText>
      </w:r>
      <w:r w:rsidR="008A5F69">
        <w:fldChar w:fldCharType="separate"/>
      </w:r>
      <w:r w:rsidR="008A5F69">
        <w:t>3</w:t>
      </w:r>
      <w:r w:rsidR="008A5F69">
        <w:fldChar w:fldCharType="end"/>
      </w:r>
      <w:r w:rsidRPr="00082C2A">
        <w:t xml:space="preserve"> and </w:t>
      </w:r>
      <w:r w:rsidR="008A5F69">
        <w:fldChar w:fldCharType="begin"/>
      </w:r>
      <w:r w:rsidR="008A5F69">
        <w:instrText xml:space="preserve"> REF _Ref129081560 \r \h </w:instrText>
      </w:r>
      <w:r w:rsidR="008A5F69">
        <w:fldChar w:fldCharType="separate"/>
      </w:r>
      <w:r w:rsidR="008A5F69">
        <w:t>4</w:t>
      </w:r>
      <w:r w:rsidR="008A5F69">
        <w:fldChar w:fldCharType="end"/>
      </w:r>
      <w:r w:rsidRPr="00082C2A">
        <w:t xml:space="preserve"> respectively.</w:t>
      </w:r>
      <w:bookmarkStart w:id="70" w:name="_Ref118236130"/>
      <w:bookmarkStart w:id="71" w:name="_Ref118726245"/>
      <w:bookmarkStart w:id="72" w:name="_Ref118726280"/>
      <w:bookmarkStart w:id="73" w:name="_Ref118726291"/>
    </w:p>
    <w:p w14:paraId="5420A647" w14:textId="193D0539" w:rsidR="00012EE7" w:rsidRDefault="00630735" w:rsidP="00E55ABA">
      <w:pPr>
        <w:pStyle w:val="ItadH2Numbered"/>
        <w:rPr>
          <w:lang w:eastAsia="en-GB"/>
        </w:rPr>
      </w:pPr>
      <w:bookmarkStart w:id="74" w:name="_Toc118796333"/>
      <w:bookmarkStart w:id="75" w:name="_Ref121387351"/>
      <w:bookmarkStart w:id="76" w:name="_Ref129082984"/>
      <w:bookmarkStart w:id="77" w:name="_Ref129164610"/>
      <w:bookmarkStart w:id="78" w:name="_Toc144715801"/>
      <w:bookmarkEnd w:id="69"/>
      <w:r>
        <w:rPr>
          <w:noProof/>
        </w:rPr>
        <w:drawing>
          <wp:anchor distT="0" distB="0" distL="114300" distR="114300" simplePos="0" relativeHeight="251658250" behindDoc="0" locked="0" layoutInCell="1" allowOverlap="1" wp14:anchorId="789E6CC9" wp14:editId="4FD79297">
            <wp:simplePos x="0" y="0"/>
            <wp:positionH relativeFrom="column">
              <wp:posOffset>2619375</wp:posOffset>
            </wp:positionH>
            <wp:positionV relativeFrom="paragraph">
              <wp:posOffset>88900</wp:posOffset>
            </wp:positionV>
            <wp:extent cx="3778250" cy="2948305"/>
            <wp:effectExtent l="0" t="0" r="0" b="4445"/>
            <wp:wrapSquare wrapText="bothSides"/>
            <wp:docPr id="537767955" name="Picture 537767955" descr="A diagram of a pyram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67955" name="Picture 537767955" descr="A diagram of a pyramid&#10;&#10;Description automatically generated"/>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8250" cy="2948305"/>
                    </a:xfrm>
                    <a:prstGeom prst="rect">
                      <a:avLst/>
                    </a:prstGeom>
                    <a:noFill/>
                    <a:ln>
                      <a:noFill/>
                    </a:ln>
                  </pic:spPr>
                </pic:pic>
              </a:graphicData>
            </a:graphic>
            <wp14:sizeRelH relativeFrom="page">
              <wp14:pctWidth>0</wp14:pctWidth>
            </wp14:sizeRelH>
            <wp14:sizeRelV relativeFrom="page">
              <wp14:pctHeight>0</wp14:pctHeight>
            </wp14:sizeRelV>
          </wp:anchor>
        </w:drawing>
      </w:r>
      <w:r w:rsidR="00012EE7" w:rsidRPr="00961DBA">
        <w:t>What</w:t>
      </w:r>
      <w:r w:rsidR="00012EE7" w:rsidRPr="00E87440">
        <w:rPr>
          <w:lang w:eastAsia="en-GB"/>
        </w:rPr>
        <w:t xml:space="preserve"> is the F</w:t>
      </w:r>
      <w:r w:rsidR="00012EE7">
        <w:rPr>
          <w:lang w:eastAsia="en-GB"/>
        </w:rPr>
        <w:t xml:space="preserve">leming </w:t>
      </w:r>
      <w:r w:rsidR="00012EE7" w:rsidRPr="00E87440">
        <w:rPr>
          <w:lang w:eastAsia="en-GB"/>
        </w:rPr>
        <w:t>F</w:t>
      </w:r>
      <w:r w:rsidR="00012EE7">
        <w:rPr>
          <w:lang w:eastAsia="en-GB"/>
        </w:rPr>
        <w:t>und</w:t>
      </w:r>
      <w:bookmarkEnd w:id="70"/>
      <w:bookmarkEnd w:id="71"/>
      <w:bookmarkEnd w:id="72"/>
      <w:bookmarkEnd w:id="73"/>
      <w:bookmarkEnd w:id="74"/>
      <w:bookmarkEnd w:id="75"/>
      <w:bookmarkEnd w:id="76"/>
      <w:bookmarkEnd w:id="77"/>
      <w:bookmarkEnd w:id="78"/>
    </w:p>
    <w:p w14:paraId="0397CD6F" w14:textId="1A84250E" w:rsidR="00012EE7" w:rsidRDefault="00012EE7" w:rsidP="00012EE7">
      <w:pPr>
        <w:pStyle w:val="ItadNormalText"/>
        <w:rPr>
          <w:rFonts w:asciiTheme="minorHAnsi" w:hAnsiTheme="minorHAnsi" w:cstheme="minorBidi"/>
        </w:rPr>
      </w:pPr>
      <w:bookmarkStart w:id="79" w:name="_Hlk129084913"/>
      <w:r w:rsidRPr="00097C02">
        <w:rPr>
          <w:b/>
        </w:rPr>
        <w:t>The UK</w:t>
      </w:r>
      <w:r w:rsidRPr="008225B5">
        <w:rPr>
          <w:b/>
        </w:rPr>
        <w:t xml:space="preserve"> Government established the </w:t>
      </w:r>
      <w:r w:rsidRPr="00454EBB">
        <w:rPr>
          <w:b/>
          <w:bCs/>
        </w:rPr>
        <w:t xml:space="preserve">Fleming Fund to the value of £265 million over an initial </w:t>
      </w:r>
      <w:r w:rsidR="00C325FF">
        <w:rPr>
          <w:b/>
          <w:bCs/>
        </w:rPr>
        <w:t>five</w:t>
      </w:r>
      <w:r w:rsidRPr="00454EBB">
        <w:rPr>
          <w:b/>
          <w:bCs/>
        </w:rPr>
        <w:t>-year period (2016/</w:t>
      </w:r>
      <w:r w:rsidR="001C2659">
        <w:rPr>
          <w:b/>
          <w:bCs/>
        </w:rPr>
        <w:t>20</w:t>
      </w:r>
      <w:r w:rsidRPr="00454EBB">
        <w:rPr>
          <w:b/>
          <w:bCs/>
        </w:rPr>
        <w:t>17</w:t>
      </w:r>
      <w:r w:rsidR="00EB20DD">
        <w:rPr>
          <w:b/>
          <w:bCs/>
        </w:rPr>
        <w:t>–</w:t>
      </w:r>
      <w:r w:rsidRPr="00454EBB">
        <w:rPr>
          <w:b/>
          <w:bCs/>
        </w:rPr>
        <w:t>2020/2021)</w:t>
      </w:r>
      <w:r w:rsidRPr="00454EBB">
        <w:rPr>
          <w:rStyle w:val="FootnoteReference"/>
          <w:b/>
          <w:bCs/>
        </w:rPr>
        <w:footnoteReference w:id="22"/>
      </w:r>
      <w:r w:rsidRPr="008225B5">
        <w:rPr>
          <w:b/>
        </w:rPr>
        <w:t xml:space="preserve"> to </w:t>
      </w:r>
      <w:r w:rsidRPr="00454EBB">
        <w:rPr>
          <w:b/>
          <w:bCs/>
        </w:rPr>
        <w:t>improve laboratory capacity and diagnosis</w:t>
      </w:r>
      <w:r w:rsidR="00EB20DD">
        <w:rPr>
          <w:b/>
          <w:bCs/>
        </w:rPr>
        <w:t>,</w:t>
      </w:r>
      <w:r w:rsidRPr="00454EBB">
        <w:rPr>
          <w:b/>
          <w:bCs/>
        </w:rPr>
        <w:t xml:space="preserve"> as well as data and surveillance of </w:t>
      </w:r>
      <w:r>
        <w:rPr>
          <w:b/>
          <w:bCs/>
        </w:rPr>
        <w:t>AMR</w:t>
      </w:r>
      <w:r w:rsidRPr="00454EBB">
        <w:rPr>
          <w:b/>
          <w:bCs/>
        </w:rPr>
        <w:t xml:space="preserve"> in </w:t>
      </w:r>
      <w:r w:rsidR="00932406">
        <w:rPr>
          <w:b/>
          <w:bCs/>
        </w:rPr>
        <w:t>low</w:t>
      </w:r>
      <w:r w:rsidR="004F0EED">
        <w:rPr>
          <w:b/>
          <w:bCs/>
        </w:rPr>
        <w:t xml:space="preserve"> and middle-income countries (</w:t>
      </w:r>
      <w:r w:rsidR="00B47467">
        <w:rPr>
          <w:b/>
          <w:bCs/>
        </w:rPr>
        <w:t>LMICs</w:t>
      </w:r>
      <w:r w:rsidR="004F0EED">
        <w:rPr>
          <w:b/>
          <w:bCs/>
        </w:rPr>
        <w:t>)</w:t>
      </w:r>
      <w:r w:rsidRPr="00D80080">
        <w:rPr>
          <w:bCs/>
        </w:rPr>
        <w:t xml:space="preserve"> </w:t>
      </w:r>
      <w:r w:rsidRPr="00F50030">
        <w:rPr>
          <w:rFonts w:asciiTheme="minorHAnsi" w:hAnsiTheme="minorHAnsi" w:cstheme="minorBidi"/>
        </w:rPr>
        <w:t>through a One Health approach</w:t>
      </w:r>
      <w:r w:rsidR="00B44A73">
        <w:rPr>
          <w:rFonts w:asciiTheme="minorHAnsi" w:hAnsiTheme="minorHAnsi" w:cstheme="minorBidi"/>
        </w:rPr>
        <w:t>.</w:t>
      </w:r>
      <w:r w:rsidR="003F4A34">
        <w:rPr>
          <w:rStyle w:val="FootnoteReference"/>
        </w:rPr>
        <w:footnoteReference w:id="23"/>
      </w:r>
      <w:r w:rsidR="00B44A73">
        <w:rPr>
          <w:rFonts w:asciiTheme="minorHAnsi" w:hAnsiTheme="minorHAnsi" w:cstheme="minorBidi"/>
        </w:rPr>
        <w:t xml:space="preserve"> </w:t>
      </w:r>
      <w:r w:rsidR="00547933">
        <w:rPr>
          <w:rFonts w:asciiTheme="minorHAnsi" w:hAnsiTheme="minorHAnsi" w:cstheme="minorBidi"/>
        </w:rPr>
        <w:t>This includes</w:t>
      </w:r>
      <w:r w:rsidRPr="00F50030">
        <w:rPr>
          <w:rFonts w:asciiTheme="minorHAnsi" w:hAnsiTheme="minorHAnsi" w:cstheme="minorBidi"/>
        </w:rPr>
        <w:t xml:space="preserve"> building capacity to collect drug resistance data</w:t>
      </w:r>
      <w:r w:rsidR="00B75E59">
        <w:rPr>
          <w:rFonts w:asciiTheme="minorHAnsi" w:hAnsiTheme="minorHAnsi" w:cstheme="minorBidi"/>
        </w:rPr>
        <w:t>,</w:t>
      </w:r>
      <w:r w:rsidR="00B75E59" w:rsidRPr="00F50030">
        <w:rPr>
          <w:rFonts w:asciiTheme="minorHAnsi" w:hAnsiTheme="minorHAnsi" w:cstheme="minorBidi"/>
        </w:rPr>
        <w:t xml:space="preserve"> </w:t>
      </w:r>
      <w:r w:rsidRPr="00F50030">
        <w:rPr>
          <w:rFonts w:asciiTheme="minorHAnsi" w:hAnsiTheme="minorHAnsi" w:cstheme="minorBidi"/>
        </w:rPr>
        <w:t>enabling the sharing of drug resistance data locally, regionally and internationally</w:t>
      </w:r>
      <w:r w:rsidR="00B75E59">
        <w:rPr>
          <w:rFonts w:asciiTheme="minorHAnsi" w:hAnsiTheme="minorHAnsi" w:cstheme="minorBidi"/>
        </w:rPr>
        <w:t>, and</w:t>
      </w:r>
      <w:r w:rsidR="00B75E59" w:rsidRPr="00F50030">
        <w:rPr>
          <w:rFonts w:asciiTheme="minorHAnsi" w:hAnsiTheme="minorHAnsi" w:cstheme="minorBidi"/>
        </w:rPr>
        <w:t xml:space="preserve"> </w:t>
      </w:r>
      <w:r w:rsidRPr="00F50030">
        <w:rPr>
          <w:rFonts w:asciiTheme="minorHAnsi" w:hAnsiTheme="minorHAnsi" w:cstheme="minorBidi"/>
        </w:rPr>
        <w:t>collating data on AMR</w:t>
      </w:r>
      <w:r w:rsidR="00B75E59">
        <w:rPr>
          <w:rFonts w:asciiTheme="minorHAnsi" w:hAnsiTheme="minorHAnsi" w:cstheme="minorBidi"/>
        </w:rPr>
        <w:t>,</w:t>
      </w:r>
      <w:r w:rsidRPr="00F50030">
        <w:rPr>
          <w:rFonts w:asciiTheme="minorHAnsi" w:hAnsiTheme="minorHAnsi" w:cstheme="minorBidi"/>
        </w:rPr>
        <w:t xml:space="preserve"> and encouraging the application of this data to promote the rational use of antimicrobials.</w:t>
      </w:r>
    </w:p>
    <w:p w14:paraId="71324F94" w14:textId="77777777" w:rsidR="00504C24" w:rsidRPr="000D540D" w:rsidRDefault="00504C24" w:rsidP="00504C24">
      <w:pPr>
        <w:pStyle w:val="ItadFigureCap"/>
        <w:jc w:val="right"/>
        <w:rPr>
          <w:rFonts w:eastAsia="Times New Roman"/>
          <w:noProof/>
          <w:color w:val="3B3B3C" w:themeColor="text1"/>
        </w:rPr>
      </w:pPr>
      <w:bookmarkStart w:id="80" w:name="_Ref118193366"/>
      <w:bookmarkStart w:id="81" w:name="_Ref118193358"/>
      <w:bookmarkStart w:id="82" w:name="_Toc118797350"/>
      <w:bookmarkStart w:id="83" w:name="_Toc118809136"/>
      <w:bookmarkStart w:id="84" w:name="_Toc143947438"/>
      <w:bookmarkStart w:id="85" w:name="_Toc144717843"/>
      <w:r>
        <w:t xml:space="preserve">Figure </w:t>
      </w:r>
      <w:r>
        <w:fldChar w:fldCharType="begin"/>
      </w:r>
      <w:r>
        <w:instrText>SEQ Figure \* ARABIC</w:instrText>
      </w:r>
      <w:r>
        <w:fldChar w:fldCharType="separate"/>
      </w:r>
      <w:r>
        <w:rPr>
          <w:noProof/>
        </w:rPr>
        <w:t>1</w:t>
      </w:r>
      <w:r>
        <w:fldChar w:fldCharType="end"/>
      </w:r>
      <w:bookmarkEnd w:id="80"/>
      <w:r>
        <w:t xml:space="preserve">: </w:t>
      </w:r>
      <w:r w:rsidRPr="002C52F0">
        <w:t xml:space="preserve">Pillars </w:t>
      </w:r>
      <w:r>
        <w:t xml:space="preserve">or objectives </w:t>
      </w:r>
      <w:r w:rsidRPr="002C52F0">
        <w:t>of the Global Action Plan on AMR</w:t>
      </w:r>
      <w:bookmarkEnd w:id="81"/>
      <w:bookmarkEnd w:id="82"/>
      <w:bookmarkEnd w:id="83"/>
      <w:bookmarkEnd w:id="84"/>
      <w:bookmarkEnd w:id="85"/>
    </w:p>
    <w:p w14:paraId="71B0D46B" w14:textId="071B9EBA" w:rsidR="00012EE7" w:rsidRPr="00D5056E" w:rsidRDefault="00012EE7" w:rsidP="00012EE7">
      <w:pPr>
        <w:pStyle w:val="ItadNormalText"/>
        <w:keepNext/>
      </w:pPr>
      <w:r w:rsidRPr="0A3BC318">
        <w:rPr>
          <w:rFonts w:asciiTheme="minorHAnsi" w:hAnsiTheme="minorHAnsi" w:cstheme="minorBidi"/>
        </w:rPr>
        <w:t xml:space="preserve">The rationale for the Fleming Fund </w:t>
      </w:r>
      <w:r w:rsidRPr="00C64239">
        <w:t>was</w:t>
      </w:r>
      <w:r w:rsidRPr="0A3BC318">
        <w:rPr>
          <w:rFonts w:asciiTheme="minorHAnsi" w:hAnsiTheme="minorHAnsi" w:cstheme="minorBidi"/>
        </w:rPr>
        <w:t xml:space="preserve"> clear</w:t>
      </w:r>
      <w:r w:rsidR="00C83B22" w:rsidRPr="0A3BC318">
        <w:rPr>
          <w:rFonts w:asciiTheme="minorHAnsi" w:hAnsiTheme="minorHAnsi" w:cstheme="minorBidi"/>
        </w:rPr>
        <w:t>.</w:t>
      </w:r>
      <w:r w:rsidRPr="0A3BC318">
        <w:rPr>
          <w:rFonts w:asciiTheme="minorHAnsi" w:hAnsiTheme="minorHAnsi" w:cstheme="minorBidi"/>
        </w:rPr>
        <w:t xml:space="preserve"> </w:t>
      </w:r>
      <w:r w:rsidR="00C83B22" w:rsidRPr="0A3BC318">
        <w:rPr>
          <w:rFonts w:asciiTheme="minorHAnsi" w:hAnsiTheme="minorHAnsi" w:cstheme="minorBidi"/>
        </w:rPr>
        <w:t>By</w:t>
      </w:r>
      <w:r w:rsidRPr="0A3BC318">
        <w:rPr>
          <w:rFonts w:asciiTheme="minorHAnsi" w:hAnsiTheme="minorHAnsi" w:cstheme="minorBidi"/>
        </w:rPr>
        <w:t xml:space="preserve"> 2050, drug</w:t>
      </w:r>
      <w:r w:rsidR="008449DB" w:rsidRPr="0A3BC318">
        <w:rPr>
          <w:rFonts w:asciiTheme="minorHAnsi" w:hAnsiTheme="minorHAnsi" w:cstheme="minorBidi"/>
        </w:rPr>
        <w:t>-</w:t>
      </w:r>
      <w:r w:rsidRPr="0A3BC318">
        <w:rPr>
          <w:rFonts w:asciiTheme="minorHAnsi" w:hAnsiTheme="minorHAnsi" w:cstheme="minorBidi"/>
        </w:rPr>
        <w:t>resistant infections could kill 10</w:t>
      </w:r>
      <w:r w:rsidR="00C83B22" w:rsidRPr="0A3BC318">
        <w:rPr>
          <w:rFonts w:asciiTheme="minorHAnsi" w:hAnsiTheme="minorHAnsi" w:cstheme="minorBidi"/>
        </w:rPr>
        <w:t xml:space="preserve"> million </w:t>
      </w:r>
      <w:r w:rsidRPr="0A3BC318">
        <w:rPr>
          <w:rFonts w:asciiTheme="minorHAnsi" w:hAnsiTheme="minorHAnsi" w:cstheme="minorBidi"/>
        </w:rPr>
        <w:t>people per year at a potential cost of US$100 trillion in global economic output</w:t>
      </w:r>
      <w:r w:rsidRPr="0A3BC318">
        <w:rPr>
          <w:rFonts w:asciiTheme="minorHAnsi" w:hAnsiTheme="minorHAnsi" w:cstheme="minorBidi"/>
          <w:vertAlign w:val="superscript"/>
        </w:rPr>
        <w:footnoteReference w:id="24"/>
      </w:r>
      <w:r w:rsidR="009E18D1" w:rsidRPr="0A3BC318">
        <w:rPr>
          <w:rFonts w:asciiTheme="minorHAnsi" w:hAnsiTheme="minorHAnsi" w:cstheme="minorBidi"/>
        </w:rPr>
        <w:t xml:space="preserve"> and with significant impact </w:t>
      </w:r>
      <w:r w:rsidR="001D3EC1" w:rsidRPr="0A3BC318">
        <w:rPr>
          <w:rFonts w:asciiTheme="minorHAnsi" w:hAnsiTheme="minorHAnsi" w:cstheme="minorBidi"/>
        </w:rPr>
        <w:t>expected in LMICs</w:t>
      </w:r>
      <w:r w:rsidR="00823721" w:rsidRPr="0A3BC318">
        <w:rPr>
          <w:rFonts w:asciiTheme="minorHAnsi" w:hAnsiTheme="minorHAnsi" w:cstheme="minorBidi"/>
        </w:rPr>
        <w:t>.</w:t>
      </w:r>
      <w:r w:rsidR="00823721">
        <w:rPr>
          <w:rStyle w:val="FootnoteReference"/>
        </w:rPr>
        <w:footnoteReference w:id="25"/>
      </w:r>
      <w:r w:rsidR="00DC1D8D" w:rsidRPr="0A3BC318">
        <w:rPr>
          <w:rFonts w:asciiTheme="minorHAnsi" w:hAnsiTheme="minorHAnsi" w:cstheme="minorBidi"/>
        </w:rPr>
        <w:t xml:space="preserve"> </w:t>
      </w:r>
      <w:r w:rsidR="007A574D" w:rsidRPr="0A3BC318">
        <w:rPr>
          <w:rFonts w:asciiTheme="minorHAnsi" w:hAnsiTheme="minorHAnsi" w:cstheme="minorBidi"/>
        </w:rPr>
        <w:t>T</w:t>
      </w:r>
      <w:r w:rsidRPr="0A3BC318">
        <w:rPr>
          <w:rFonts w:asciiTheme="minorHAnsi" w:hAnsiTheme="minorHAnsi" w:cstheme="minorBidi"/>
        </w:rPr>
        <w:t>he Fleming Fund</w:t>
      </w:r>
      <w:r w:rsidR="00AA6A7B">
        <w:rPr>
          <w:rFonts w:asciiTheme="minorHAnsi" w:hAnsiTheme="minorHAnsi" w:cstheme="minorBidi"/>
        </w:rPr>
        <w:t>’</w:t>
      </w:r>
      <w:r w:rsidRPr="0A3BC318">
        <w:rPr>
          <w:rFonts w:asciiTheme="minorHAnsi" w:hAnsiTheme="minorHAnsi" w:cstheme="minorBidi"/>
        </w:rPr>
        <w:t xml:space="preserve">s specific focus on surveillance was </w:t>
      </w:r>
      <w:r w:rsidR="00AF4FB9" w:rsidRPr="0A3BC318">
        <w:rPr>
          <w:rFonts w:asciiTheme="minorHAnsi" w:hAnsiTheme="minorHAnsi" w:cstheme="minorBidi"/>
        </w:rPr>
        <w:t xml:space="preserve">noted in key </w:t>
      </w:r>
      <w:r w:rsidR="004C4683" w:rsidRPr="0A3BC318">
        <w:rPr>
          <w:rFonts w:asciiTheme="minorHAnsi" w:hAnsiTheme="minorHAnsi" w:cstheme="minorBidi"/>
        </w:rPr>
        <w:t xml:space="preserve">government documentation </w:t>
      </w:r>
      <w:r w:rsidR="002E0F2E" w:rsidRPr="0A3BC318">
        <w:rPr>
          <w:rFonts w:asciiTheme="minorHAnsi" w:hAnsiTheme="minorHAnsi" w:cstheme="minorBidi"/>
        </w:rPr>
        <w:t>from 2015 onwards</w:t>
      </w:r>
      <w:r w:rsidRPr="0A3BC318">
        <w:rPr>
          <w:rFonts w:asciiTheme="minorHAnsi" w:hAnsiTheme="minorHAnsi" w:cstheme="minorBidi"/>
        </w:rPr>
        <w:t>,</w:t>
      </w:r>
      <w:r w:rsidR="00F027A1">
        <w:rPr>
          <w:rStyle w:val="FootnoteReference"/>
        </w:rPr>
        <w:footnoteReference w:id="26"/>
      </w:r>
      <w:r w:rsidR="00D97959" w:rsidRPr="0A3BC318">
        <w:rPr>
          <w:rFonts w:asciiTheme="minorHAnsi" w:hAnsiTheme="minorHAnsi" w:cstheme="minorBidi"/>
        </w:rPr>
        <w:t xml:space="preserve"> </w:t>
      </w:r>
      <w:r w:rsidR="002E0F2E" w:rsidRPr="0A3BC318">
        <w:rPr>
          <w:rFonts w:asciiTheme="minorHAnsi" w:hAnsiTheme="minorHAnsi" w:cstheme="minorBidi"/>
        </w:rPr>
        <w:t xml:space="preserve">and </w:t>
      </w:r>
      <w:r w:rsidRPr="0A3BC318">
        <w:rPr>
          <w:rFonts w:asciiTheme="minorHAnsi" w:hAnsiTheme="minorHAnsi" w:cstheme="minorBidi"/>
        </w:rPr>
        <w:t xml:space="preserve">DHSC </w:t>
      </w:r>
      <w:r w:rsidR="00AB5BCA">
        <w:rPr>
          <w:rFonts w:asciiTheme="minorHAnsi" w:hAnsiTheme="minorHAnsi" w:cstheme="minorBidi"/>
        </w:rPr>
        <w:t>decided to focus on</w:t>
      </w:r>
      <w:r w:rsidRPr="0A3BC318">
        <w:rPr>
          <w:rFonts w:asciiTheme="minorHAnsi" w:hAnsiTheme="minorHAnsi" w:cstheme="minorBidi"/>
        </w:rPr>
        <w:t xml:space="preserve"> lack of data </w:t>
      </w:r>
      <w:r w:rsidR="00AB5BCA">
        <w:rPr>
          <w:rFonts w:asciiTheme="minorHAnsi" w:hAnsiTheme="minorHAnsi" w:cstheme="minorBidi"/>
        </w:rPr>
        <w:t xml:space="preserve">as </w:t>
      </w:r>
      <w:r w:rsidRPr="0A3BC318">
        <w:rPr>
          <w:rFonts w:asciiTheme="minorHAnsi" w:hAnsiTheme="minorHAnsi" w:cstheme="minorBidi"/>
        </w:rPr>
        <w:t xml:space="preserve">a fundamental obstacle to understanding and making the case for action to tackle this </w:t>
      </w:r>
      <w:r w:rsidR="00AA6A7B">
        <w:rPr>
          <w:rFonts w:asciiTheme="minorHAnsi" w:hAnsiTheme="minorHAnsi" w:cstheme="minorBidi"/>
        </w:rPr>
        <w:t>‘</w:t>
      </w:r>
      <w:r w:rsidRPr="0A3BC318">
        <w:rPr>
          <w:rFonts w:asciiTheme="minorHAnsi" w:hAnsiTheme="minorHAnsi" w:cstheme="minorBidi"/>
        </w:rPr>
        <w:t>silent epidemic</w:t>
      </w:r>
      <w:r w:rsidR="00AA6A7B">
        <w:rPr>
          <w:rFonts w:asciiTheme="minorHAnsi" w:hAnsiTheme="minorHAnsi" w:cstheme="minorBidi"/>
        </w:rPr>
        <w:t>’</w:t>
      </w:r>
      <w:r w:rsidRPr="0A3BC318">
        <w:rPr>
          <w:rFonts w:asciiTheme="minorHAnsi" w:hAnsiTheme="minorHAnsi" w:cstheme="minorBidi"/>
        </w:rPr>
        <w:t xml:space="preserve">. This was done in the context of the </w:t>
      </w:r>
      <w:r w:rsidR="00175FC8" w:rsidRPr="0A3BC318">
        <w:rPr>
          <w:rFonts w:asciiTheme="minorHAnsi" w:hAnsiTheme="minorHAnsi" w:cstheme="minorBidi"/>
        </w:rPr>
        <w:t>Global Action Plan (</w:t>
      </w:r>
      <w:r w:rsidR="00330966" w:rsidRPr="0A3BC318">
        <w:rPr>
          <w:rFonts w:asciiTheme="minorHAnsi" w:hAnsiTheme="minorHAnsi" w:cstheme="minorBidi"/>
        </w:rPr>
        <w:t>GAP</w:t>
      </w:r>
      <w:r w:rsidR="00175FC8" w:rsidRPr="0A3BC318">
        <w:rPr>
          <w:rFonts w:asciiTheme="minorHAnsi" w:hAnsiTheme="minorHAnsi" w:cstheme="minorBidi"/>
        </w:rPr>
        <w:t>)</w:t>
      </w:r>
      <w:r w:rsidRPr="0A3BC318">
        <w:rPr>
          <w:rFonts w:asciiTheme="minorHAnsi" w:hAnsiTheme="minorHAnsi" w:cstheme="minorBidi"/>
        </w:rPr>
        <w:t xml:space="preserve"> on AMR (2015) which includes knowledge and evidence</w:t>
      </w:r>
      <w:r w:rsidR="4E72D1C1" w:rsidRPr="0A3BC318">
        <w:rPr>
          <w:rFonts w:asciiTheme="minorHAnsi" w:hAnsiTheme="minorHAnsi" w:cstheme="minorBidi"/>
        </w:rPr>
        <w:t xml:space="preserve"> through surveillance and research</w:t>
      </w:r>
      <w:r w:rsidRPr="0A3BC318">
        <w:rPr>
          <w:rFonts w:asciiTheme="minorHAnsi" w:hAnsiTheme="minorHAnsi" w:cstheme="minorBidi"/>
        </w:rPr>
        <w:t xml:space="preserve"> as one of five key pillars (</w:t>
      </w:r>
      <w:r w:rsidRPr="0A3BC318">
        <w:rPr>
          <w:rFonts w:asciiTheme="minorHAnsi" w:hAnsiTheme="minorHAnsi" w:cstheme="minorBidi"/>
        </w:rPr>
        <w:fldChar w:fldCharType="begin"/>
      </w:r>
      <w:r w:rsidRPr="0A3BC318">
        <w:rPr>
          <w:rFonts w:asciiTheme="minorHAnsi" w:hAnsiTheme="minorHAnsi" w:cstheme="minorBidi"/>
        </w:rPr>
        <w:instrText xml:space="preserve"> REF _Ref118193366 \h </w:instrText>
      </w:r>
      <w:r w:rsidRPr="0A3BC318">
        <w:rPr>
          <w:rFonts w:asciiTheme="minorHAnsi" w:hAnsiTheme="minorHAnsi" w:cstheme="minorBidi"/>
        </w:rPr>
      </w:r>
      <w:r w:rsidRPr="0A3BC318">
        <w:rPr>
          <w:rFonts w:asciiTheme="minorHAnsi" w:hAnsiTheme="minorHAnsi" w:cstheme="minorBidi"/>
        </w:rPr>
        <w:fldChar w:fldCharType="separate"/>
      </w:r>
      <w:r w:rsidR="00CA1256">
        <w:t xml:space="preserve">Figure </w:t>
      </w:r>
      <w:r w:rsidR="00CA1256">
        <w:rPr>
          <w:noProof/>
        </w:rPr>
        <w:t>1</w:t>
      </w:r>
      <w:r w:rsidRPr="0A3BC318">
        <w:rPr>
          <w:rFonts w:asciiTheme="minorHAnsi" w:hAnsiTheme="minorHAnsi" w:cstheme="minorBidi"/>
        </w:rPr>
        <w:fldChar w:fldCharType="end"/>
      </w:r>
      <w:r w:rsidRPr="0A3BC318">
        <w:rPr>
          <w:rFonts w:asciiTheme="minorHAnsi" w:hAnsiTheme="minorHAnsi" w:cstheme="minorBidi"/>
        </w:rPr>
        <w:t>). Ultimately</w:t>
      </w:r>
      <w:r w:rsidR="00525A14" w:rsidRPr="0A3BC318">
        <w:rPr>
          <w:rFonts w:asciiTheme="minorHAnsi" w:hAnsiTheme="minorHAnsi" w:cstheme="minorBidi"/>
        </w:rPr>
        <w:t>,</w:t>
      </w:r>
      <w:r w:rsidRPr="0A3BC318">
        <w:rPr>
          <w:rFonts w:asciiTheme="minorHAnsi" w:hAnsiTheme="minorHAnsi" w:cstheme="minorBidi"/>
        </w:rPr>
        <w:t xml:space="preserve"> achieving the </w:t>
      </w:r>
      <w:r w:rsidRPr="0A3BC318">
        <w:rPr>
          <w:rFonts w:asciiTheme="minorHAnsi" w:hAnsiTheme="minorHAnsi" w:cstheme="minorBidi"/>
        </w:rPr>
        <w:lastRenderedPageBreak/>
        <w:t>impact that the Fleming Fund seeks to influence is linked to action in other pillars by other international, regional and country-level actors.</w:t>
      </w:r>
    </w:p>
    <w:p w14:paraId="27D1F672" w14:textId="2AFCC7AE" w:rsidR="00012EE7" w:rsidRPr="008A5F96" w:rsidRDefault="00012EE7" w:rsidP="00FF5BE2">
      <w:pPr>
        <w:pStyle w:val="ItadNormalText"/>
      </w:pPr>
      <w:r w:rsidRPr="008A5F96">
        <w:t xml:space="preserve">The Fleming Fund initially included five </w:t>
      </w:r>
      <w:r w:rsidR="00B06EEC" w:rsidRPr="008A5F96">
        <w:t>workstream</w:t>
      </w:r>
      <w:r w:rsidRPr="008A5F96">
        <w:t xml:space="preserve">s, </w:t>
      </w:r>
      <w:r w:rsidR="00AD780E">
        <w:t>including</w:t>
      </w:r>
      <w:r w:rsidRPr="008A5F96">
        <w:t xml:space="preserve"> the independent evaluation</w:t>
      </w:r>
      <w:r w:rsidR="00572304">
        <w:t xml:space="preserve"> as workstream 5 </w:t>
      </w:r>
      <w:r w:rsidR="00DE3307">
        <w:t>(</w:t>
      </w:r>
      <w:r>
        <w:fldChar w:fldCharType="begin"/>
      </w:r>
      <w:r>
        <w:instrText xml:space="preserve"> REF _Ref118193813 \h  \* MERGEFORMAT </w:instrText>
      </w:r>
      <w:r>
        <w:fldChar w:fldCharType="separate"/>
      </w:r>
      <w:r w:rsidR="00DE3307">
        <w:t>Figure 2</w:t>
      </w:r>
      <w:r>
        <w:fldChar w:fldCharType="end"/>
      </w:r>
      <w:r w:rsidR="00DE3307">
        <w:t>)</w:t>
      </w:r>
      <w:r w:rsidRPr="008A5F96">
        <w:t xml:space="preserve">; as highlighted in </w:t>
      </w:r>
      <w:r w:rsidRPr="00FF5BE2">
        <w:t xml:space="preserve">section </w:t>
      </w:r>
      <w:r w:rsidRPr="008A5F96">
        <w:rPr>
          <w:color w:val="3B3B3C" w:themeColor="text1"/>
        </w:rPr>
        <w:fldChar w:fldCharType="begin"/>
      </w:r>
      <w:r w:rsidRPr="00FF5BE2">
        <w:instrText xml:space="preserve"> REF _Ref118234448 \r \h  \* MERGEFORMAT </w:instrText>
      </w:r>
      <w:r w:rsidRPr="008A5F96">
        <w:rPr>
          <w:color w:val="3B3B3C" w:themeColor="text1"/>
        </w:rPr>
      </w:r>
      <w:r w:rsidRPr="008A5F96">
        <w:rPr>
          <w:color w:val="3B3B3C" w:themeColor="text1"/>
        </w:rPr>
        <w:fldChar w:fldCharType="separate"/>
      </w:r>
      <w:r w:rsidR="00FF5BE2">
        <w:t>1.</w:t>
      </w:r>
      <w:r w:rsidRPr="008A5F96">
        <w:rPr>
          <w:color w:val="3B3B3C" w:themeColor="text1"/>
        </w:rPr>
        <w:fldChar w:fldCharType="end"/>
      </w:r>
      <w:r w:rsidR="003A466E">
        <w:rPr>
          <w:color w:val="3B3B3C" w:themeColor="text1"/>
        </w:rPr>
        <w:t>2</w:t>
      </w:r>
      <w:r w:rsidR="00412C94">
        <w:t>. A</w:t>
      </w:r>
      <w:r w:rsidRPr="008A5F96">
        <w:t xml:space="preserve">dditional workstream(s) were added during </w:t>
      </w:r>
      <w:r w:rsidR="00222C91" w:rsidRPr="008A5F96">
        <w:t>phase 1</w:t>
      </w:r>
      <w:r w:rsidRPr="008A5F96">
        <w:t>.</w:t>
      </w:r>
      <w:r w:rsidR="00723229">
        <w:rPr>
          <w:rStyle w:val="FootnoteReference"/>
        </w:rPr>
        <w:footnoteReference w:id="27"/>
      </w:r>
      <w:r w:rsidRPr="008A5F96" w:rsidDel="007C3001">
        <w:t xml:space="preserve"> </w:t>
      </w:r>
      <w:r w:rsidR="000460C7">
        <w:t>The entire programme was</w:t>
      </w:r>
      <w:r w:rsidRPr="008A5F96">
        <w:t xml:space="preserve"> underpinned </w:t>
      </w:r>
      <w:r w:rsidR="000B7815">
        <w:t xml:space="preserve">in phase 1 </w:t>
      </w:r>
      <w:r w:rsidRPr="008A5F96">
        <w:t xml:space="preserve">by a set of five core principles including </w:t>
      </w:r>
      <w:r w:rsidR="00007676">
        <w:t>Country</w:t>
      </w:r>
      <w:r w:rsidR="00FA29A2" w:rsidRPr="008A5F96">
        <w:t xml:space="preserve"> </w:t>
      </w:r>
      <w:r w:rsidR="00007676" w:rsidRPr="008A5F96">
        <w:t>Ownership</w:t>
      </w:r>
      <w:r w:rsidR="00AA6A7B" w:rsidRPr="008A5F96">
        <w:t xml:space="preserve">, </w:t>
      </w:r>
      <w:r w:rsidR="00FA29A2">
        <w:t>O</w:t>
      </w:r>
      <w:r w:rsidR="00AA6A7B" w:rsidRPr="008A5F96">
        <w:t xml:space="preserve">ne </w:t>
      </w:r>
      <w:r w:rsidR="00FA29A2">
        <w:t>H</w:t>
      </w:r>
      <w:r w:rsidR="00AA6A7B" w:rsidRPr="008A5F96">
        <w:t xml:space="preserve">ealth, </w:t>
      </w:r>
      <w:r w:rsidR="00FA29A2" w:rsidRPr="008A5F96">
        <w:t>Alignment</w:t>
      </w:r>
      <w:r w:rsidR="00AA6A7B" w:rsidRPr="008A5F96">
        <w:t>,</w:t>
      </w:r>
      <w:r w:rsidR="00AA6A7B" w:rsidRPr="008A5F96" w:rsidDel="006B38A8">
        <w:t xml:space="preserve"> </w:t>
      </w:r>
      <w:r w:rsidR="00FA29A2" w:rsidRPr="008A5F96">
        <w:t>Sustainability</w:t>
      </w:r>
      <w:r w:rsidR="00AA6A7B" w:rsidRPr="008A5F96">
        <w:t xml:space="preserve">, and </w:t>
      </w:r>
      <w:r w:rsidR="00FA29A2">
        <w:t xml:space="preserve">Value </w:t>
      </w:r>
      <w:r w:rsidR="00AA6A7B">
        <w:t xml:space="preserve">for </w:t>
      </w:r>
      <w:r w:rsidR="00007676">
        <w:t>Money</w:t>
      </w:r>
      <w:r w:rsidRPr="008A5F96">
        <w:t>.</w:t>
      </w:r>
    </w:p>
    <w:bookmarkEnd w:id="79"/>
    <w:p w14:paraId="3686CCAF" w14:textId="4F1B6745" w:rsidR="00012EE7" w:rsidRDefault="007C2549" w:rsidP="00FA29A2">
      <w:pPr>
        <w:pStyle w:val="ItadNormalText"/>
      </w:pPr>
      <w:r>
        <w:rPr>
          <w:noProof/>
        </w:rPr>
        <w:drawing>
          <wp:inline distT="0" distB="0" distL="0" distR="0" wp14:anchorId="7183B5B2" wp14:editId="74994FA5">
            <wp:extent cx="5727700" cy="3432810"/>
            <wp:effectExtent l="0" t="0" r="6350" b="0"/>
            <wp:docPr id="781338957" name="Picture 781338957" descr="A diagram of a company's work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338957" name="Picture 781338957" descr="A diagram of a company's work flow&#10;&#10;Description automatically generated"/>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7700" cy="3432810"/>
                    </a:xfrm>
                    <a:prstGeom prst="rect">
                      <a:avLst/>
                    </a:prstGeom>
                    <a:noFill/>
                    <a:ln>
                      <a:noFill/>
                    </a:ln>
                  </pic:spPr>
                </pic:pic>
              </a:graphicData>
            </a:graphic>
          </wp:inline>
        </w:drawing>
      </w:r>
    </w:p>
    <w:p w14:paraId="6C6721A0" w14:textId="60508972" w:rsidR="00012EE7" w:rsidRPr="00AD0760" w:rsidRDefault="00012EE7" w:rsidP="002A22DA">
      <w:pPr>
        <w:pStyle w:val="ItadFigureCap"/>
        <w:rPr>
          <w:rFonts w:asciiTheme="minorHAnsi" w:hAnsiTheme="minorHAnsi" w:cstheme="minorBidi"/>
        </w:rPr>
      </w:pPr>
      <w:bookmarkStart w:id="86" w:name="_Ref118193813"/>
      <w:bookmarkStart w:id="87" w:name="_Toc118797351"/>
      <w:bookmarkStart w:id="88" w:name="_Toc118809137"/>
      <w:bookmarkStart w:id="89" w:name="_Toc144717844"/>
      <w:r>
        <w:t xml:space="preserve">Figure </w:t>
      </w:r>
      <w:r>
        <w:fldChar w:fldCharType="begin"/>
      </w:r>
      <w:r>
        <w:instrText>SEQ Figure \* ARABIC</w:instrText>
      </w:r>
      <w:r>
        <w:fldChar w:fldCharType="separate"/>
      </w:r>
      <w:r w:rsidR="00EE36B0">
        <w:rPr>
          <w:noProof/>
        </w:rPr>
        <w:t>2</w:t>
      </w:r>
      <w:r>
        <w:fldChar w:fldCharType="end"/>
      </w:r>
      <w:bookmarkEnd w:id="86"/>
      <w:r>
        <w:t xml:space="preserve">: </w:t>
      </w:r>
      <w:r w:rsidRPr="003A466E">
        <w:t>Organogram</w:t>
      </w:r>
      <w:r w:rsidRPr="005152E2">
        <w:t xml:space="preserve"> of Fleming Fund </w:t>
      </w:r>
      <w:r w:rsidR="00B06EEC">
        <w:t>workstream</w:t>
      </w:r>
      <w:r w:rsidRPr="005152E2">
        <w:t>s (accurate in 2018)</w:t>
      </w:r>
      <w:r>
        <w:rPr>
          <w:rStyle w:val="FootnoteReference"/>
        </w:rPr>
        <w:footnoteReference w:id="28"/>
      </w:r>
      <w:bookmarkEnd w:id="87"/>
      <w:bookmarkEnd w:id="88"/>
      <w:bookmarkEnd w:id="89"/>
    </w:p>
    <w:p w14:paraId="4B81DEFA" w14:textId="64F0DEE3" w:rsidR="00012EE7" w:rsidRPr="00C64239" w:rsidRDefault="00012EE7" w:rsidP="00012EE7">
      <w:pPr>
        <w:pStyle w:val="ItadNormalText"/>
      </w:pPr>
      <w:r w:rsidRPr="0A3BC318">
        <w:rPr>
          <w:rFonts w:cstheme="minorBidi"/>
          <w:b/>
          <w:bCs/>
        </w:rPr>
        <w:t xml:space="preserve">DHSC contracted </w:t>
      </w:r>
      <w:r w:rsidR="004E39BF" w:rsidRPr="0A3BC318">
        <w:rPr>
          <w:rFonts w:cstheme="minorBidi"/>
          <w:b/>
          <w:bCs/>
        </w:rPr>
        <w:t>Mott MacDonald</w:t>
      </w:r>
      <w:r w:rsidRPr="00967BBE">
        <w:rPr>
          <w:b/>
          <w:bCs/>
        </w:rPr>
        <w:t xml:space="preserve">, </w:t>
      </w:r>
      <w:r w:rsidRPr="0A3BC318">
        <w:rPr>
          <w:rFonts w:cstheme="minorBidi"/>
          <w:b/>
          <w:bCs/>
        </w:rPr>
        <w:t>as the Fleming Fund</w:t>
      </w:r>
      <w:r w:rsidRPr="00967BBE">
        <w:rPr>
          <w:b/>
          <w:bCs/>
        </w:rPr>
        <w:t xml:space="preserve"> </w:t>
      </w:r>
      <w:r w:rsidRPr="0A3BC318">
        <w:rPr>
          <w:rFonts w:cstheme="minorBidi"/>
          <w:b/>
          <w:bCs/>
        </w:rPr>
        <w:t xml:space="preserve">Management Agent (MA), </w:t>
      </w:r>
      <w:r w:rsidRPr="008A5F96">
        <w:rPr>
          <w:b/>
          <w:bCs/>
        </w:rPr>
        <w:t xml:space="preserve">to deliver a series of programme </w:t>
      </w:r>
      <w:r w:rsidRPr="0A3BC318">
        <w:rPr>
          <w:b/>
          <w:bCs/>
          <w:i/>
          <w:iCs/>
        </w:rPr>
        <w:t>outputs</w:t>
      </w:r>
      <w:r w:rsidRPr="008A5F96">
        <w:rPr>
          <w:b/>
          <w:bCs/>
        </w:rPr>
        <w:t xml:space="preserve"> under a portfolio of </w:t>
      </w:r>
      <w:r w:rsidR="009D4F60" w:rsidRPr="008A5F96">
        <w:rPr>
          <w:b/>
          <w:bCs/>
        </w:rPr>
        <w:t>One Health</w:t>
      </w:r>
      <w:r w:rsidRPr="008A5F96">
        <w:rPr>
          <w:b/>
          <w:bCs/>
        </w:rPr>
        <w:t xml:space="preserve"> </w:t>
      </w:r>
      <w:r w:rsidR="00C97B7E" w:rsidRPr="008A5F96">
        <w:rPr>
          <w:b/>
          <w:bCs/>
        </w:rPr>
        <w:t xml:space="preserve">Country </w:t>
      </w:r>
      <w:r w:rsidRPr="008A5F96">
        <w:rPr>
          <w:b/>
          <w:bCs/>
        </w:rPr>
        <w:t xml:space="preserve">and </w:t>
      </w:r>
      <w:r w:rsidR="00C97B7E" w:rsidRPr="008A5F96">
        <w:rPr>
          <w:b/>
          <w:bCs/>
        </w:rPr>
        <w:t xml:space="preserve">Regional Grants </w:t>
      </w:r>
      <w:r w:rsidRPr="008A5F96">
        <w:rPr>
          <w:b/>
          <w:bCs/>
        </w:rPr>
        <w:t xml:space="preserve">(workstream 3) and a Fleming Fellowship </w:t>
      </w:r>
      <w:r w:rsidR="00FA29A2">
        <w:rPr>
          <w:b/>
          <w:bCs/>
        </w:rPr>
        <w:t>S</w:t>
      </w:r>
      <w:r w:rsidR="00FB3B0B" w:rsidRPr="008A5F96">
        <w:rPr>
          <w:b/>
          <w:bCs/>
        </w:rPr>
        <w:t>cheme</w:t>
      </w:r>
      <w:r w:rsidRPr="008A5F96">
        <w:rPr>
          <w:b/>
          <w:bCs/>
        </w:rPr>
        <w:t xml:space="preserve"> (workstream 4)</w:t>
      </w:r>
      <w:r w:rsidRPr="00C64239">
        <w:t>.</w:t>
      </w:r>
      <w:r w:rsidRPr="00C64239">
        <w:rPr>
          <w:rStyle w:val="FootnoteReference"/>
        </w:rPr>
        <w:footnoteReference w:id="29"/>
      </w:r>
      <w:r w:rsidRPr="00C64239">
        <w:t xml:space="preserve"> Contractually, the MA was not accountable for associated programme </w:t>
      </w:r>
      <w:r w:rsidRPr="0A3BC318">
        <w:rPr>
          <w:i/>
          <w:iCs/>
        </w:rPr>
        <w:t>outcomes</w:t>
      </w:r>
      <w:r w:rsidR="00AE2590" w:rsidRPr="0A3BC318">
        <w:rPr>
          <w:i/>
          <w:iCs/>
        </w:rPr>
        <w:t>,</w:t>
      </w:r>
      <w:r w:rsidRPr="00C64239">
        <w:rPr>
          <w:rStyle w:val="FootnoteReference"/>
        </w:rPr>
        <w:footnoteReference w:id="30"/>
      </w:r>
      <w:r w:rsidR="00AE2590">
        <w:t xml:space="preserve"> but </w:t>
      </w:r>
      <w:r w:rsidRPr="0A3BC318">
        <w:t xml:space="preserve">for </w:t>
      </w:r>
      <w:r w:rsidR="00970C56" w:rsidRPr="0A3BC318">
        <w:t xml:space="preserve">the </w:t>
      </w:r>
      <w:r w:rsidRPr="0A3BC318">
        <w:t>financial, operation and technical management of the Fleming Fund Grants Programme from offices in London and four regional hubs</w:t>
      </w:r>
      <w:r w:rsidRPr="00C64239">
        <w:t xml:space="preserve"> in Bangkok, New Delhi, Kampala and Accra</w:t>
      </w:r>
      <w:r w:rsidRPr="006558DB">
        <w:t>.</w:t>
      </w:r>
      <w:r w:rsidDel="007D2E99">
        <w:t xml:space="preserve"> </w:t>
      </w:r>
      <w:r w:rsidR="00C71F5E">
        <w:t xml:space="preserve">A portfolio-level results framework </w:t>
      </w:r>
      <w:r w:rsidR="0003171B">
        <w:t>and theory of change</w:t>
      </w:r>
      <w:r w:rsidR="003A466E">
        <w:t xml:space="preserve"> (ToC)</w:t>
      </w:r>
      <w:r w:rsidR="0003171B">
        <w:t xml:space="preserve">, </w:t>
      </w:r>
      <w:r w:rsidR="00C71F5E">
        <w:t xml:space="preserve">with </w:t>
      </w:r>
      <w:r w:rsidR="0003171B">
        <w:t xml:space="preserve">impact and </w:t>
      </w:r>
      <w:r w:rsidR="00C71F5E">
        <w:t>outcome-level indicators</w:t>
      </w:r>
      <w:r w:rsidR="0003171B">
        <w:t>,</w:t>
      </w:r>
      <w:r w:rsidR="00C71F5E">
        <w:t xml:space="preserve"> </w:t>
      </w:r>
      <w:r w:rsidR="00F006F7">
        <w:t>was n</w:t>
      </w:r>
      <w:r w:rsidR="002C7F53">
        <w:t>either</w:t>
      </w:r>
      <w:r w:rsidR="00F006F7">
        <w:t xml:space="preserve"> set out at the start of the programme</w:t>
      </w:r>
      <w:r w:rsidR="002C7F53">
        <w:t xml:space="preserve"> nor used to manage </w:t>
      </w:r>
      <w:r w:rsidR="0003171B">
        <w:t>impact and outcome-level results</w:t>
      </w:r>
      <w:r w:rsidR="00F006F7">
        <w:t>.</w:t>
      </w:r>
      <w:r w:rsidR="0003171B">
        <w:rPr>
          <w:rStyle w:val="FootnoteReference"/>
        </w:rPr>
        <w:footnoteReference w:id="31"/>
      </w:r>
      <w:r w:rsidR="006A2F64">
        <w:t xml:space="preserve"> Given the principal aim of phase 1 was the generation of AMR data</w:t>
      </w:r>
      <w:r w:rsidR="00E634B6">
        <w:t xml:space="preserve">, in line with the GAP (Figure 1), direct </w:t>
      </w:r>
      <w:r w:rsidR="004B1E50">
        <w:t xml:space="preserve">population-level </w:t>
      </w:r>
      <w:r w:rsidR="00E634B6">
        <w:t xml:space="preserve">beneficiaries were not </w:t>
      </w:r>
      <w:r w:rsidR="00B50DB4">
        <w:t xml:space="preserve">defined during this phase and no specific issues relating to poverty or equity </w:t>
      </w:r>
      <w:r w:rsidR="00C332E9">
        <w:t>(including gender</w:t>
      </w:r>
      <w:r w:rsidR="0051116F">
        <w:t xml:space="preserve"> and inclusion</w:t>
      </w:r>
      <w:r w:rsidR="00C332E9">
        <w:t xml:space="preserve">) </w:t>
      </w:r>
      <w:r w:rsidR="00B50DB4">
        <w:t>were addressed</w:t>
      </w:r>
      <w:r w:rsidR="00D92C12">
        <w:t xml:space="preserve"> either by the grants programme or by the evaluation</w:t>
      </w:r>
      <w:r w:rsidR="00B50DB4">
        <w:t>.</w:t>
      </w:r>
      <w:r w:rsidR="00E634B6">
        <w:t xml:space="preserve"> </w:t>
      </w:r>
    </w:p>
    <w:p w14:paraId="6F4C1996" w14:textId="356530AA" w:rsidR="007F792B" w:rsidRDefault="00DC7636" w:rsidP="007F792B">
      <w:pPr>
        <w:pStyle w:val="ItadNormalText"/>
      </w:pPr>
      <w:r w:rsidRPr="002B44FF">
        <w:rPr>
          <w:noProof/>
        </w:rPr>
        <w:lastRenderedPageBreak/>
        <w:drawing>
          <wp:anchor distT="0" distB="0" distL="114300" distR="114300" simplePos="0" relativeHeight="251658244" behindDoc="0" locked="0" layoutInCell="1" allowOverlap="1" wp14:anchorId="57826EE2" wp14:editId="36E37D45">
            <wp:simplePos x="0" y="0"/>
            <wp:positionH relativeFrom="margin">
              <wp:posOffset>7435850</wp:posOffset>
            </wp:positionH>
            <wp:positionV relativeFrom="paragraph">
              <wp:posOffset>5372735</wp:posOffset>
            </wp:positionV>
            <wp:extent cx="1993900" cy="4150995"/>
            <wp:effectExtent l="0" t="0" r="6350" b="1905"/>
            <wp:wrapNone/>
            <wp:docPr id="47" name="Picture 4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1993900" cy="415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034AF8" w:rsidRPr="002B44FF">
        <w:rPr>
          <w:noProof/>
        </w:rPr>
        <w:drawing>
          <wp:anchor distT="0" distB="0" distL="114300" distR="114300" simplePos="0" relativeHeight="251658257" behindDoc="0" locked="0" layoutInCell="1" allowOverlap="1" wp14:anchorId="3093E4DE" wp14:editId="6D6A3CE0">
            <wp:simplePos x="0" y="0"/>
            <wp:positionH relativeFrom="margin">
              <wp:posOffset>4577715</wp:posOffset>
            </wp:positionH>
            <wp:positionV relativeFrom="paragraph">
              <wp:posOffset>2411730</wp:posOffset>
            </wp:positionV>
            <wp:extent cx="1771650" cy="3171825"/>
            <wp:effectExtent l="0" t="0" r="0" b="9525"/>
            <wp:wrapTopAndBottom/>
            <wp:docPr id="1026251521" name="Picture 10262515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pic:nvPicPr>
                  <pic:blipFill rotWithShape="1">
                    <a:blip r:embed="rId22">
                      <a:extLst>
                        <a:ext uri="{28A0092B-C50C-407E-A947-70E740481C1C}">
                          <a14:useLocalDpi xmlns:a14="http://schemas.microsoft.com/office/drawing/2010/main" val="0"/>
                        </a:ext>
                      </a:extLst>
                    </a:blip>
                    <a:srcRect l="8563" t="5047" r="4697" b="9133"/>
                    <a:stretch/>
                  </pic:blipFill>
                  <pic:spPr bwMode="auto">
                    <a:xfrm>
                      <a:off x="0" y="0"/>
                      <a:ext cx="1771650" cy="3171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584E" w:rsidRPr="0066666C">
        <w:rPr>
          <w:noProof/>
        </w:rPr>
        <w:drawing>
          <wp:anchor distT="0" distB="0" distL="114300" distR="114300" simplePos="0" relativeHeight="251658256" behindDoc="0" locked="0" layoutInCell="1" allowOverlap="1" wp14:anchorId="1D6F34FD" wp14:editId="709CA0FB">
            <wp:simplePos x="0" y="0"/>
            <wp:positionH relativeFrom="margin">
              <wp:posOffset>0</wp:posOffset>
            </wp:positionH>
            <wp:positionV relativeFrom="paragraph">
              <wp:posOffset>2402205</wp:posOffset>
            </wp:positionV>
            <wp:extent cx="4709160" cy="2571750"/>
            <wp:effectExtent l="0" t="0" r="0" b="0"/>
            <wp:wrapTopAndBottom/>
            <wp:docPr id="41" name="Picture 4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Map&#10;&#10;Description automatically generated"/>
                    <pic:cNvPicPr/>
                  </pic:nvPicPr>
                  <pic:blipFill rotWithShape="1">
                    <a:blip r:embed="rId23">
                      <a:extLst>
                        <a:ext uri="{28A0092B-C50C-407E-A947-70E740481C1C}">
                          <a14:useLocalDpi xmlns:a14="http://schemas.microsoft.com/office/drawing/2010/main" val="0"/>
                        </a:ext>
                      </a:extLst>
                    </a:blip>
                    <a:srcRect l="6720" t="34819" r="12009" b="10186"/>
                    <a:stretch/>
                  </pic:blipFill>
                  <pic:spPr bwMode="auto">
                    <a:xfrm>
                      <a:off x="0" y="0"/>
                      <a:ext cx="4709160" cy="2571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6A97">
        <w:t>Twenty-four</w:t>
      </w:r>
      <w:r w:rsidR="00896A97" w:rsidRPr="302609AF">
        <w:t xml:space="preserve"> </w:t>
      </w:r>
      <w:r w:rsidR="00012EE7" w:rsidRPr="302609AF">
        <w:t xml:space="preserve">countries </w:t>
      </w:r>
      <w:r w:rsidR="00012EE7">
        <w:t>in four regions (East and West Africa, South and South-East Asia)</w:t>
      </w:r>
      <w:r w:rsidR="00012EE7" w:rsidRPr="302609AF">
        <w:t xml:space="preserve"> were initially</w:t>
      </w:r>
      <w:r w:rsidR="00012EE7" w:rsidRPr="009A0731">
        <w:rPr>
          <w:bCs/>
        </w:rPr>
        <w:t xml:space="preserve"> </w:t>
      </w:r>
      <w:r w:rsidR="00012EE7" w:rsidRPr="302609AF">
        <w:t xml:space="preserve">selected for support, based on </w:t>
      </w:r>
      <w:r w:rsidR="005C77FA">
        <w:t xml:space="preserve">the </w:t>
      </w:r>
      <w:r w:rsidR="00012EE7" w:rsidRPr="302609AF">
        <w:t>criteria set out in the DHSC</w:t>
      </w:r>
      <w:r w:rsidR="00AA6A7B">
        <w:t>’</w:t>
      </w:r>
      <w:r w:rsidR="00012EE7" w:rsidRPr="302609AF">
        <w:t xml:space="preserve">s </w:t>
      </w:r>
      <w:r w:rsidR="00D6397B">
        <w:t>ToR</w:t>
      </w:r>
      <w:r w:rsidR="00012EE7">
        <w:t xml:space="preserve"> </w:t>
      </w:r>
      <w:r w:rsidR="00012EE7" w:rsidRPr="302609AF">
        <w:t xml:space="preserve">and assessments </w:t>
      </w:r>
      <w:r w:rsidR="00012EE7" w:rsidRPr="003C3F10">
        <w:t>of the capability, risks and context in each region and country</w:t>
      </w:r>
      <w:r w:rsidR="00012EE7">
        <w:t xml:space="preserve"> </w:t>
      </w:r>
      <w:r w:rsidR="00012EE7" w:rsidRPr="302609AF">
        <w:t>carried out by the MA</w:t>
      </w:r>
      <w:r w:rsidR="00012EE7" w:rsidRPr="003C3F10">
        <w:t xml:space="preserve">. </w:t>
      </w:r>
      <w:r w:rsidR="00012EE7">
        <w:t xml:space="preserve">Some focus countries changed </w:t>
      </w:r>
      <w:r w:rsidR="00012EE7" w:rsidDel="000C602C">
        <w:t xml:space="preserve">during </w:t>
      </w:r>
      <w:r w:rsidR="00222C91">
        <w:t>phase 1</w:t>
      </w:r>
      <w:r w:rsidR="00012EE7">
        <w:t xml:space="preserve"> as the feasibility of working in certain countries came into question</w:t>
      </w:r>
      <w:r w:rsidR="000C602C">
        <w:t>.</w:t>
      </w:r>
      <w:r w:rsidR="00012EE7">
        <w:rPr>
          <w:rStyle w:val="FootnoteReference"/>
        </w:rPr>
        <w:footnoteReference w:id="32"/>
      </w:r>
      <w:r w:rsidR="00012EE7">
        <w:t xml:space="preserve"> </w:t>
      </w:r>
      <w:r w:rsidR="009B0847">
        <w:t xml:space="preserve">A total of </w:t>
      </w:r>
      <w:r w:rsidR="00DA58F5">
        <w:t>23</w:t>
      </w:r>
      <w:r w:rsidR="00DA332D">
        <w:rPr>
          <w:rStyle w:val="FootnoteReference"/>
        </w:rPr>
        <w:footnoteReference w:id="33"/>
      </w:r>
      <w:r w:rsidR="00012EE7">
        <w:t xml:space="preserve"> </w:t>
      </w:r>
      <w:r w:rsidR="00723B6A">
        <w:t xml:space="preserve">countries </w:t>
      </w:r>
      <w:r w:rsidR="00012EE7">
        <w:t>received some form of support</w:t>
      </w:r>
      <w:r w:rsidR="002C010E">
        <w:t xml:space="preserve"> </w:t>
      </w:r>
      <w:r w:rsidR="00012EE7">
        <w:t xml:space="preserve">during </w:t>
      </w:r>
      <w:r w:rsidR="00222C91">
        <w:t>phase 1</w:t>
      </w:r>
      <w:r w:rsidR="007A03C0">
        <w:t xml:space="preserve"> </w:t>
      </w:r>
      <w:r w:rsidR="002C010E">
        <w:t>(see Vol. II, Annex 2</w:t>
      </w:r>
      <w:r w:rsidR="006D0485">
        <w:t>5</w:t>
      </w:r>
      <w:r w:rsidR="002C010E">
        <w:t xml:space="preserve"> for overview) </w:t>
      </w:r>
      <w:r w:rsidR="007A03C0">
        <w:t>although activity was stopped in</w:t>
      </w:r>
      <w:r w:rsidR="007A03C0" w:rsidRPr="007A03C0">
        <w:t xml:space="preserve"> Sri Lanka and Myanmar</w:t>
      </w:r>
      <w:r w:rsidR="006D0485">
        <w:t xml:space="preserve"> due to </w:t>
      </w:r>
      <w:r w:rsidR="00D20D7A">
        <w:t>changes in each country context that prevented implementation as planned</w:t>
      </w:r>
      <w:r w:rsidR="001B1FB3">
        <w:t>,</w:t>
      </w:r>
      <w:r w:rsidR="007A03C0" w:rsidRPr="007A03C0">
        <w:t xml:space="preserve"> decreasing the </w:t>
      </w:r>
      <w:r w:rsidR="00EE2E66">
        <w:t xml:space="preserve">final </w:t>
      </w:r>
      <w:r w:rsidR="007A03C0" w:rsidRPr="007A03C0">
        <w:t>number of countries to 21.</w:t>
      </w:r>
      <w:r w:rsidR="00012EE7" w:rsidDel="00723B6A">
        <w:t xml:space="preserve"> </w:t>
      </w:r>
      <w:r w:rsidR="00012EE7" w:rsidRPr="003C3F10">
        <w:t xml:space="preserve">Each </w:t>
      </w:r>
      <w:r w:rsidR="00012EE7">
        <w:t xml:space="preserve">country </w:t>
      </w:r>
      <w:r w:rsidR="00012EE7" w:rsidRPr="003C3F10">
        <w:t>had different starting points in terms of what surveillance systems were already in place</w:t>
      </w:r>
      <w:r w:rsidR="00012EE7">
        <w:t xml:space="preserve">, </w:t>
      </w:r>
      <w:r w:rsidR="00012EE7" w:rsidRPr="002D0408">
        <w:t xml:space="preserve">as reflected in their assignment </w:t>
      </w:r>
      <w:r w:rsidR="00012EE7">
        <w:t>by the MA</w:t>
      </w:r>
      <w:r w:rsidR="00012EE7" w:rsidRPr="002D0408">
        <w:t xml:space="preserve"> to one of four broad </w:t>
      </w:r>
      <w:r w:rsidR="00012EE7" w:rsidRPr="003520AA">
        <w:t xml:space="preserve">categories (see Vol. II, Annex </w:t>
      </w:r>
      <w:r w:rsidR="00E940EC">
        <w:t>1</w:t>
      </w:r>
      <w:r w:rsidR="00294107">
        <w:t>5</w:t>
      </w:r>
      <w:r w:rsidR="000A07FE">
        <w:t>, Table 4</w:t>
      </w:r>
      <w:r w:rsidR="00DA58F5">
        <w:t>7</w:t>
      </w:r>
      <w:r w:rsidR="00012EE7" w:rsidRPr="003520AA">
        <w:t xml:space="preserve">). </w:t>
      </w:r>
      <w:r w:rsidR="00386A31">
        <w:t>65</w:t>
      </w:r>
      <w:r w:rsidR="00224526">
        <w:t>%</w:t>
      </w:r>
      <w:r w:rsidR="00012EE7" w:rsidRPr="00444098">
        <w:t xml:space="preserve"> (1</w:t>
      </w:r>
      <w:r w:rsidR="005B1D47">
        <w:t>5</w:t>
      </w:r>
      <w:r w:rsidR="00012EE7" w:rsidRPr="00444098">
        <w:t>/2</w:t>
      </w:r>
      <w:r w:rsidR="00012EE7">
        <w:t>3</w:t>
      </w:r>
      <w:r w:rsidR="00012EE7" w:rsidRPr="00444098">
        <w:t xml:space="preserve">) of the countries selected </w:t>
      </w:r>
      <w:r w:rsidR="00012EE7">
        <w:t>were</w:t>
      </w:r>
      <w:r w:rsidR="00012EE7" w:rsidRPr="00444098">
        <w:t xml:space="preserve"> in category B. In these countries</w:t>
      </w:r>
      <w:r w:rsidR="00970C56">
        <w:t>,</w:t>
      </w:r>
      <w:r w:rsidR="00012EE7" w:rsidRPr="00444098">
        <w:t xml:space="preserve"> there </w:t>
      </w:r>
      <w:r w:rsidR="00012EE7">
        <w:t>was</w:t>
      </w:r>
      <w:r w:rsidR="00012EE7" w:rsidRPr="00444098">
        <w:t xml:space="preserve"> an AMR </w:t>
      </w:r>
      <w:r w:rsidR="00EC37B5">
        <w:t>NAP</w:t>
      </w:r>
      <w:r w:rsidR="00012EE7" w:rsidRPr="00444098">
        <w:t xml:space="preserve"> in place and the MA believe</w:t>
      </w:r>
      <w:r w:rsidR="00012EE7">
        <w:t>d</w:t>
      </w:r>
      <w:r w:rsidR="00012EE7" w:rsidRPr="00444098">
        <w:t>, based on a review of desk material and</w:t>
      </w:r>
      <w:r w:rsidR="003B623E" w:rsidRPr="003B623E">
        <w:t xml:space="preserve"> </w:t>
      </w:r>
      <w:r w:rsidR="00B47467">
        <w:t>k</w:t>
      </w:r>
      <w:r w:rsidR="003B623E" w:rsidRPr="003B623E">
        <w:t xml:space="preserve">ey </w:t>
      </w:r>
      <w:r w:rsidR="00B47467">
        <w:t>i</w:t>
      </w:r>
      <w:r w:rsidR="003B623E" w:rsidRPr="003B623E">
        <w:t>nformant</w:t>
      </w:r>
      <w:r w:rsidR="00B47467">
        <w:t>s</w:t>
      </w:r>
      <w:r w:rsidR="00AA6A7B">
        <w:t>’</w:t>
      </w:r>
      <w:r w:rsidR="00012EE7" w:rsidRPr="00444098">
        <w:t xml:space="preserve"> views, </w:t>
      </w:r>
      <w:r w:rsidR="00FC0FCD">
        <w:t xml:space="preserve">that </w:t>
      </w:r>
      <w:r w:rsidR="00012EE7" w:rsidRPr="00444098">
        <w:t xml:space="preserve">there </w:t>
      </w:r>
      <w:r w:rsidR="00012EE7">
        <w:t>was</w:t>
      </w:r>
      <w:r w:rsidR="00012EE7" w:rsidRPr="00444098">
        <w:t xml:space="preserve"> political will to move on the AMR surveillance agenda</w:t>
      </w:r>
      <w:r w:rsidR="00012EE7" w:rsidRPr="00CD23AF">
        <w:t>. However, while aspects of a basic surveillance</w:t>
      </w:r>
      <w:r w:rsidR="00CD23AF" w:rsidRPr="00CD23AF">
        <w:t xml:space="preserve"> </w:t>
      </w:r>
      <w:r w:rsidR="00012EE7" w:rsidRPr="00CD23AF">
        <w:t>system were in place in these countries, an operational surveillance system was not.</w:t>
      </w:r>
      <w:r w:rsidR="00012EE7" w:rsidRPr="002D0408">
        <w:t xml:space="preserve"> </w:t>
      </w:r>
    </w:p>
    <w:p w14:paraId="06800EA9" w14:textId="77777777" w:rsidR="00504C24" w:rsidRDefault="00504C24" w:rsidP="00504C24">
      <w:pPr>
        <w:pStyle w:val="ItadNormalText"/>
        <w:rPr>
          <w:color w:val="767171" w:themeColor="background2" w:themeShade="80"/>
          <w:sz w:val="18"/>
          <w:szCs w:val="18"/>
          <w:lang w:eastAsia="en-GB"/>
        </w:rPr>
      </w:pPr>
    </w:p>
    <w:p w14:paraId="19981182" w14:textId="25332027" w:rsidR="001F04CC" w:rsidRDefault="00504C24" w:rsidP="00504C24">
      <w:pPr>
        <w:pStyle w:val="ItadNormalText"/>
      </w:pPr>
      <w:bookmarkStart w:id="90" w:name="_Ref144718851"/>
      <w:bookmarkStart w:id="91" w:name="_Toc144717845"/>
      <w:r w:rsidRPr="00F660B9">
        <w:rPr>
          <w:color w:val="767171" w:themeColor="background2" w:themeShade="80"/>
          <w:sz w:val="18"/>
          <w:szCs w:val="18"/>
          <w:lang w:eastAsia="en-GB"/>
        </w:rPr>
        <w:t xml:space="preserve">Figure </w:t>
      </w:r>
      <w:r w:rsidRPr="00F660B9">
        <w:rPr>
          <w:color w:val="767171" w:themeColor="background2" w:themeShade="80"/>
          <w:sz w:val="18"/>
          <w:szCs w:val="18"/>
          <w:lang w:eastAsia="en-GB"/>
        </w:rPr>
        <w:fldChar w:fldCharType="begin"/>
      </w:r>
      <w:r w:rsidRPr="00F660B9">
        <w:rPr>
          <w:color w:val="767171" w:themeColor="background2" w:themeShade="80"/>
          <w:sz w:val="18"/>
          <w:szCs w:val="18"/>
          <w:lang w:eastAsia="en-GB"/>
        </w:rPr>
        <w:instrText>SEQ Figure \* ARABIC</w:instrText>
      </w:r>
      <w:r w:rsidRPr="00F660B9">
        <w:rPr>
          <w:color w:val="767171" w:themeColor="background2" w:themeShade="80"/>
          <w:sz w:val="18"/>
          <w:szCs w:val="18"/>
          <w:lang w:eastAsia="en-GB"/>
        </w:rPr>
        <w:fldChar w:fldCharType="separate"/>
      </w:r>
      <w:r w:rsidRPr="00F660B9">
        <w:rPr>
          <w:color w:val="767171" w:themeColor="background2" w:themeShade="80"/>
          <w:sz w:val="18"/>
          <w:szCs w:val="18"/>
          <w:lang w:eastAsia="en-GB"/>
        </w:rPr>
        <w:t>3</w:t>
      </w:r>
      <w:r w:rsidRPr="00F660B9">
        <w:rPr>
          <w:color w:val="767171" w:themeColor="background2" w:themeShade="80"/>
          <w:sz w:val="18"/>
          <w:szCs w:val="18"/>
          <w:lang w:eastAsia="en-GB"/>
        </w:rPr>
        <w:fldChar w:fldCharType="end"/>
      </w:r>
      <w:bookmarkEnd w:id="90"/>
      <w:r>
        <w:t xml:space="preserve"> </w:t>
      </w:r>
      <w:r w:rsidRPr="00F660B9">
        <w:rPr>
          <w:color w:val="767171" w:themeColor="background2" w:themeShade="80"/>
          <w:sz w:val="18"/>
          <w:szCs w:val="18"/>
          <w:lang w:eastAsia="en-GB"/>
        </w:rPr>
        <w:t>Fleming Fund focus countries (Sierra Leone, Ghana, Senegal, Zambia, Tanzania, Kenya, Bhutan, Bangladesh, Indonesia, Laos, Pakistan, Nigeria, Uganda, Nepal, Timor-Leste, Vietnam, Myanmar, Zimbabwe, India, Sri Lanka, Malawi, Eswatini and Papua New Guinea)</w:t>
      </w:r>
      <w:bookmarkStart w:id="92" w:name="_Ref118206541"/>
      <w:bookmarkStart w:id="93" w:name="_Toc118797352"/>
      <w:bookmarkStart w:id="94" w:name="_Toc118809138"/>
      <w:bookmarkEnd w:id="91"/>
    </w:p>
    <w:p w14:paraId="1B051006" w14:textId="6A51DD9A" w:rsidR="00774B95" w:rsidRPr="00774B95" w:rsidRDefault="54C4238E" w:rsidP="00DA58F5">
      <w:pPr>
        <w:pStyle w:val="ItadH2Numbered"/>
        <w:rPr>
          <w:lang w:eastAsia="en-GB"/>
        </w:rPr>
      </w:pPr>
      <w:bookmarkStart w:id="95" w:name="_Toc144715802"/>
      <w:bookmarkStart w:id="96" w:name="_Ref118235770"/>
      <w:bookmarkStart w:id="97" w:name="_Ref118726336"/>
      <w:bookmarkStart w:id="98" w:name="_Toc118796334"/>
      <w:bookmarkEnd w:id="92"/>
      <w:bookmarkEnd w:id="93"/>
      <w:bookmarkEnd w:id="94"/>
      <w:r w:rsidRPr="00DA58F5">
        <w:t>Key</w:t>
      </w:r>
      <w:r w:rsidRPr="0CB71AAA">
        <w:rPr>
          <w:lang w:eastAsia="en-GB"/>
        </w:rPr>
        <w:t xml:space="preserve"> </w:t>
      </w:r>
      <w:r w:rsidRPr="00FA29A2">
        <w:t>features</w:t>
      </w:r>
      <w:r w:rsidRPr="0CB71AAA">
        <w:rPr>
          <w:lang w:eastAsia="en-GB"/>
        </w:rPr>
        <w:t xml:space="preserve"> of the MA approach</w:t>
      </w:r>
      <w:bookmarkEnd w:id="95"/>
    </w:p>
    <w:p w14:paraId="5EABAA21" w14:textId="4C1F67D0" w:rsidR="00774B95" w:rsidRPr="00DA58F5" w:rsidRDefault="54C4238E" w:rsidP="003F5E68">
      <w:pPr>
        <w:pStyle w:val="ItadH3"/>
      </w:pPr>
      <w:bookmarkStart w:id="99" w:name="_Toc144049343"/>
      <w:bookmarkStart w:id="100" w:name="_Toc144715803"/>
      <w:r w:rsidRPr="00DA58F5">
        <w:t>What is required to produce quality data on AMR?</w:t>
      </w:r>
      <w:bookmarkEnd w:id="99"/>
      <w:bookmarkEnd w:id="100"/>
    </w:p>
    <w:p w14:paraId="011528F0" w14:textId="59CE1A8C" w:rsidR="00774B95" w:rsidRPr="00034AF8" w:rsidRDefault="54C4238E" w:rsidP="00034AF8">
      <w:pPr>
        <w:pStyle w:val="ItadNormalText"/>
        <w:spacing w:after="240"/>
      </w:pPr>
      <w:r>
        <w:t>The development of AMR surveillance is a highly technical process that relies on establishing specific capabilities and processes to ensure that laboratory testing of samples for AMR is done in a standardised way. As described in The London School of Hygiene and Tropical Medicine (LSHTM) roadmap,</w:t>
      </w:r>
      <w:r w:rsidR="00774B95" w:rsidRPr="0CB71AAA">
        <w:rPr>
          <w:rStyle w:val="FootnoteReference"/>
          <w:rFonts w:ascii="Calibri" w:hAnsi="Calibri"/>
          <w:sz w:val="22"/>
          <w:szCs w:val="22"/>
        </w:rPr>
        <w:footnoteReference w:id="34"/>
      </w:r>
      <w:r>
        <w:t xml:space="preserve"> which has provided a key framing for the Fleming Fund during phase 1, processes need to be quality assured for data </w:t>
      </w:r>
      <w:r>
        <w:lastRenderedPageBreak/>
        <w:t>reported locally, nationally, or internationally (to GLASS) to be of use. The scope and direction of the surveillance system should be guided by relevant surveillance strategies and governance mechanisms, such as AMR NAPs, Antimicrobial Resistance Coordinating Committees (AMRCCs), and associated technical working groups. These should specify which organisms are the focus of surveillance efforts, which sites will provide AMR testing (i.e. surveillance sites) and more sophisticated confirmatory testing and support (reference laboratories), how data will be managed, analysed and reported, and the mechanisms through which these analyses can feed into decision</w:t>
      </w:r>
      <w:r w:rsidR="00E278CD">
        <w:t>-making</w:t>
      </w:r>
      <w:r>
        <w:t xml:space="preserve"> at national, sub-national and facility level (recognising that ultimately, practitioners and patients demand AMR testing services, without which AMR surveillance cannot play the role it is required to play). </w:t>
      </w:r>
      <w:r w:rsidR="001B4B88">
        <w:fldChar w:fldCharType="begin"/>
      </w:r>
      <w:r w:rsidR="001B4B88">
        <w:instrText xml:space="preserve"> REF _Ref144024286 \h </w:instrText>
      </w:r>
      <w:r w:rsidR="001B4B88">
        <w:fldChar w:fldCharType="separate"/>
      </w:r>
      <w:r w:rsidR="00034AF8">
        <w:t xml:space="preserve">Figure </w:t>
      </w:r>
      <w:r w:rsidR="00034AF8">
        <w:rPr>
          <w:noProof/>
        </w:rPr>
        <w:t>4</w:t>
      </w:r>
      <w:r w:rsidR="001B4B88">
        <w:fldChar w:fldCharType="end"/>
      </w:r>
      <w:r>
        <w:t xml:space="preserve"> provides a high-level summary of how AMR testing works, to assist with the interpretation of the findings in this report.</w:t>
      </w:r>
    </w:p>
    <w:p w14:paraId="07710A64" w14:textId="77777777" w:rsidR="00DA58F5" w:rsidRDefault="54C4238E" w:rsidP="00DA58F5">
      <w:pPr>
        <w:keepNext/>
      </w:pPr>
      <w:r>
        <w:rPr>
          <w:noProof/>
        </w:rPr>
        <w:drawing>
          <wp:inline distT="0" distB="0" distL="0" distR="0" wp14:anchorId="016B1F30" wp14:editId="1E366D8A">
            <wp:extent cx="5724525" cy="4334645"/>
            <wp:effectExtent l="0" t="0" r="6350" b="6350"/>
            <wp:docPr id="466765638" name="Picture 466765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24">
                      <a:extLst>
                        <a:ext uri="{28A0092B-C50C-407E-A947-70E740481C1C}">
                          <a14:useLocalDpi xmlns:a14="http://schemas.microsoft.com/office/drawing/2010/main" val="0"/>
                        </a:ext>
                      </a:extLst>
                    </a:blip>
                    <a:stretch>
                      <a:fillRect/>
                    </a:stretch>
                  </pic:blipFill>
                  <pic:spPr bwMode="auto">
                    <a:xfrm>
                      <a:off x="0" y="0"/>
                      <a:ext cx="5724525" cy="4334645"/>
                    </a:xfrm>
                    <a:prstGeom prst="rect">
                      <a:avLst/>
                    </a:prstGeom>
                    <a:noFill/>
                    <a:ln>
                      <a:noFill/>
                    </a:ln>
                  </pic:spPr>
                </pic:pic>
              </a:graphicData>
            </a:graphic>
          </wp:inline>
        </w:drawing>
      </w:r>
    </w:p>
    <w:p w14:paraId="2EDC0936" w14:textId="75AD36A7" w:rsidR="00774B95" w:rsidRPr="00774B95" w:rsidRDefault="00DA58F5" w:rsidP="002A22DA">
      <w:pPr>
        <w:pStyle w:val="ItadFigureCap"/>
      </w:pPr>
      <w:bookmarkStart w:id="101" w:name="_Ref144024286"/>
      <w:bookmarkStart w:id="102" w:name="_Toc144717846"/>
      <w:r>
        <w:t xml:space="preserve">Figure </w:t>
      </w:r>
      <w:r>
        <w:fldChar w:fldCharType="begin"/>
      </w:r>
      <w:r>
        <w:instrText>SEQ Figure \* ARABIC</w:instrText>
      </w:r>
      <w:r>
        <w:fldChar w:fldCharType="separate"/>
      </w:r>
      <w:r w:rsidR="00034AF8">
        <w:rPr>
          <w:noProof/>
        </w:rPr>
        <w:t>4</w:t>
      </w:r>
      <w:r>
        <w:fldChar w:fldCharType="end"/>
      </w:r>
      <w:bookmarkEnd w:id="101"/>
      <w:r>
        <w:t xml:space="preserve">: </w:t>
      </w:r>
      <w:r w:rsidRPr="004D4B01">
        <w:t>Overview of how AMR testing works</w:t>
      </w:r>
      <w:bookmarkEnd w:id="102"/>
    </w:p>
    <w:p w14:paraId="1FC39238" w14:textId="056E713A" w:rsidR="00774B95" w:rsidRPr="00774B95" w:rsidRDefault="54C4238E" w:rsidP="001B4B88">
      <w:pPr>
        <w:pStyle w:val="ItadNormalText"/>
        <w:rPr>
          <w:lang w:eastAsia="en-GB"/>
        </w:rPr>
      </w:pPr>
      <w:r w:rsidRPr="001B4B88">
        <w:rPr>
          <w:b/>
          <w:bCs/>
          <w:lang w:eastAsia="en-GB"/>
        </w:rPr>
        <w:t>The goals, structures and requirements of national AMR surveillance systems are highly varied and dependent on a range of contextual factors (political, economic, cultural and historic). Variation also exists between sectors.</w:t>
      </w:r>
      <w:r w:rsidRPr="0CB71AAA">
        <w:rPr>
          <w:lang w:eastAsia="en-GB"/>
        </w:rPr>
        <w:t xml:space="preserve"> HH primarily uses passive surveillance, whereas AH primarily uses active surveillance. These differences reflect that the priority bacteria in animals are commensal</w:t>
      </w:r>
      <w:r w:rsidR="00D85AB0">
        <w:rPr>
          <w:rStyle w:val="FootnoteReference"/>
          <w:lang w:eastAsia="en-GB"/>
        </w:rPr>
        <w:footnoteReference w:id="35"/>
      </w:r>
      <w:r w:rsidRPr="0CB71AAA">
        <w:rPr>
          <w:lang w:eastAsia="en-GB"/>
        </w:rPr>
        <w:t xml:space="preserve"> so do not necessarily cause illness, and farmers rarely bring sick animals to a facility (as in passive surveillance), hence the need for active surveillance in AH. See</w:t>
      </w:r>
      <w:r w:rsidR="00033027">
        <w:rPr>
          <w:lang w:eastAsia="en-GB"/>
        </w:rPr>
        <w:t xml:space="preserve"> </w:t>
      </w:r>
      <w:r w:rsidR="00033027">
        <w:rPr>
          <w:lang w:eastAsia="en-GB"/>
        </w:rPr>
        <w:fldChar w:fldCharType="begin"/>
      </w:r>
      <w:r w:rsidR="00033027">
        <w:rPr>
          <w:lang w:eastAsia="en-GB"/>
        </w:rPr>
        <w:instrText xml:space="preserve"> REF _Ref144719903 \h </w:instrText>
      </w:r>
      <w:r w:rsidR="00033027">
        <w:rPr>
          <w:lang w:eastAsia="en-GB"/>
        </w:rPr>
      </w:r>
      <w:r w:rsidR="00033027">
        <w:rPr>
          <w:lang w:eastAsia="en-GB"/>
        </w:rPr>
        <w:fldChar w:fldCharType="separate"/>
      </w:r>
      <w:r w:rsidR="00033027">
        <w:t xml:space="preserve">Box </w:t>
      </w:r>
      <w:r w:rsidR="00033027">
        <w:rPr>
          <w:noProof/>
        </w:rPr>
        <w:t>1</w:t>
      </w:r>
      <w:r w:rsidR="00033027">
        <w:rPr>
          <w:lang w:eastAsia="en-GB"/>
        </w:rPr>
        <w:fldChar w:fldCharType="end"/>
      </w:r>
      <w:r w:rsidRPr="0CB71AAA">
        <w:rPr>
          <w:lang w:eastAsia="en-GB"/>
        </w:rPr>
        <w:t xml:space="preserve"> for more on this.</w:t>
      </w:r>
    </w:p>
    <w:p w14:paraId="415C6B06" w14:textId="5969F4CD" w:rsidR="00774B95" w:rsidRPr="00774B95" w:rsidRDefault="54C4238E" w:rsidP="001B4B88">
      <w:pPr>
        <w:pStyle w:val="ItadNormalText"/>
      </w:pPr>
      <w:r w:rsidRPr="001B4B88">
        <w:rPr>
          <w:b/>
          <w:bCs/>
          <w:lang w:eastAsia="en-GB"/>
        </w:rPr>
        <w:t xml:space="preserve">National AMR surveillance is one type of data, </w:t>
      </w:r>
      <w:r w:rsidR="00C40B3E" w:rsidRPr="001B4B88">
        <w:rPr>
          <w:b/>
          <w:bCs/>
          <w:lang w:eastAsia="en-GB"/>
        </w:rPr>
        <w:t>among</w:t>
      </w:r>
      <w:r w:rsidRPr="001B4B88">
        <w:rPr>
          <w:b/>
          <w:bCs/>
          <w:lang w:eastAsia="en-GB"/>
        </w:rPr>
        <w:t xml:space="preserve"> others, which policymakers can use to make decisions on changes to regulation, policies, resource allocation, behaviour change campaigns, etc. to tackle AMR.</w:t>
      </w:r>
      <w:r w:rsidRPr="0CB71AAA">
        <w:rPr>
          <w:lang w:eastAsia="en-GB"/>
        </w:rPr>
        <w:t xml:space="preserve"> Surveillance data is useful for the planning, implementation and evaluation of public health practice. Other types and sources of data can be useful depending on the needs and objectives of decisions makers (see </w:t>
      </w:r>
      <w:r w:rsidR="00033027">
        <w:rPr>
          <w:lang w:eastAsia="en-GB"/>
        </w:rPr>
        <w:fldChar w:fldCharType="begin"/>
      </w:r>
      <w:r w:rsidR="00033027">
        <w:rPr>
          <w:lang w:eastAsia="en-GB"/>
        </w:rPr>
        <w:instrText xml:space="preserve"> REF _Ref144719903 \h </w:instrText>
      </w:r>
      <w:r w:rsidR="00033027">
        <w:rPr>
          <w:lang w:eastAsia="en-GB"/>
        </w:rPr>
      </w:r>
      <w:r w:rsidR="00033027">
        <w:rPr>
          <w:lang w:eastAsia="en-GB"/>
        </w:rPr>
        <w:fldChar w:fldCharType="separate"/>
      </w:r>
      <w:r w:rsidR="00033027">
        <w:t xml:space="preserve">Box </w:t>
      </w:r>
      <w:r w:rsidR="00033027">
        <w:rPr>
          <w:noProof/>
        </w:rPr>
        <w:t>1</w:t>
      </w:r>
      <w:r w:rsidR="00033027">
        <w:rPr>
          <w:lang w:eastAsia="en-GB"/>
        </w:rPr>
        <w:fldChar w:fldCharType="end"/>
      </w:r>
      <w:r w:rsidR="00774B95" w:rsidRPr="0CB71AAA">
        <w:rPr>
          <w:lang w:eastAsia="en-GB"/>
        </w:rPr>
        <w:fldChar w:fldCharType="begin"/>
      </w:r>
      <w:r w:rsidR="00774B95" w:rsidRPr="0CB71AAA">
        <w:rPr>
          <w:lang w:eastAsia="en-GB"/>
        </w:rPr>
        <w:instrText xml:space="preserve"> REF _Ref129253993 \h </w:instrText>
      </w:r>
      <w:r w:rsidR="00774B95" w:rsidRPr="0CB71AAA">
        <w:rPr>
          <w:lang w:eastAsia="en-GB"/>
        </w:rPr>
      </w:r>
      <w:r w:rsidR="00B33BBD">
        <w:rPr>
          <w:lang w:eastAsia="en-GB"/>
        </w:rPr>
        <w:fldChar w:fldCharType="separate"/>
      </w:r>
      <w:r w:rsidR="00774B95" w:rsidRPr="0CB71AAA">
        <w:rPr>
          <w:lang w:eastAsia="en-GB"/>
        </w:rPr>
        <w:fldChar w:fldCharType="end"/>
      </w:r>
      <w:r w:rsidRPr="0CB71AAA">
        <w:rPr>
          <w:lang w:eastAsia="en-GB"/>
        </w:rPr>
        <w:t xml:space="preserve">). For example, AMC/U is useful for understanding the availability and use of antibiotics. Economic data is important to contextualise. Research data can be easier and cheaper to </w:t>
      </w:r>
      <w:r w:rsidRPr="0CB71AAA">
        <w:rPr>
          <w:lang w:eastAsia="en-GB"/>
        </w:rPr>
        <w:lastRenderedPageBreak/>
        <w:t xml:space="preserve">obtain but is often less representative, systematic, and sustainable. As discussed in section </w:t>
      </w:r>
      <w:r w:rsidR="00774B95" w:rsidRPr="0CB71AAA">
        <w:rPr>
          <w:lang w:eastAsia="en-GB"/>
        </w:rPr>
        <w:fldChar w:fldCharType="begin"/>
      </w:r>
      <w:r w:rsidR="00774B95" w:rsidRPr="0CB71AAA">
        <w:rPr>
          <w:lang w:eastAsia="en-GB"/>
        </w:rPr>
        <w:instrText xml:space="preserve"> REF _Ref129083432 \r \h  \* MERGEFORMAT </w:instrText>
      </w:r>
      <w:r w:rsidR="00774B95" w:rsidRPr="0CB71AAA">
        <w:rPr>
          <w:lang w:eastAsia="en-GB"/>
        </w:rPr>
      </w:r>
      <w:r w:rsidR="00774B95" w:rsidRPr="0CB71AAA">
        <w:rPr>
          <w:lang w:eastAsia="en-GB"/>
        </w:rPr>
        <w:fldChar w:fldCharType="separate"/>
      </w:r>
      <w:r w:rsidRPr="0CB71AAA">
        <w:rPr>
          <w:lang w:eastAsia="en-GB"/>
        </w:rPr>
        <w:t>2.2</w:t>
      </w:r>
      <w:r w:rsidR="00774B95" w:rsidRPr="0CB71AAA">
        <w:rPr>
          <w:lang w:eastAsia="en-GB"/>
        </w:rPr>
        <w:fldChar w:fldCharType="end"/>
      </w:r>
      <w:r w:rsidRPr="0CB71AAA">
        <w:rPr>
          <w:lang w:eastAsia="en-GB"/>
        </w:rPr>
        <w:t>, AMR-relevant action does not always necessarily rely on the availability of AMR surveillance data.</w:t>
      </w:r>
    </w:p>
    <w:p w14:paraId="01DD4D31" w14:textId="34B3974B" w:rsidR="00774B95" w:rsidRPr="001B4B88" w:rsidRDefault="00E15AD1" w:rsidP="00C7383B">
      <w:pPr>
        <w:pStyle w:val="Caption"/>
        <w:keepNext/>
      </w:pPr>
      <w:bookmarkStart w:id="103" w:name="_Ref144719903"/>
      <w:bookmarkStart w:id="104" w:name="_Toc144721396"/>
      <w:r>
        <w:t xml:space="preserve">Box </w:t>
      </w:r>
      <w:r>
        <w:fldChar w:fldCharType="begin"/>
      </w:r>
      <w:r>
        <w:instrText>SEQ Box \* ARABIC</w:instrText>
      </w:r>
      <w:r>
        <w:fldChar w:fldCharType="separate"/>
      </w:r>
      <w:r w:rsidR="009A7BD2">
        <w:rPr>
          <w:noProof/>
        </w:rPr>
        <w:t>1</w:t>
      </w:r>
      <w:r>
        <w:fldChar w:fldCharType="end"/>
      </w:r>
      <w:bookmarkEnd w:id="103"/>
      <w:r w:rsidR="00C7383B">
        <w:t xml:space="preserve">: </w:t>
      </w:r>
      <w:r w:rsidR="54C4238E" w:rsidRPr="001B4B88">
        <w:t>Types of surveillance and data</w:t>
      </w:r>
      <w:bookmarkEnd w:id="104"/>
    </w:p>
    <w:p w14:paraId="5A833A25" w14:textId="59604C59" w:rsidR="00774B95" w:rsidRPr="00774B95" w:rsidRDefault="54C4238E" w:rsidP="00794C76">
      <w:pPr>
        <w:pStyle w:val="ListParagraph"/>
        <w:numPr>
          <w:ilvl w:val="0"/>
          <w:numId w:val="11"/>
        </w:numPr>
        <w:shd w:val="clear" w:color="auto" w:fill="F9E2D5" w:themeFill="accent2" w:themeFillTint="33"/>
        <w:rPr>
          <w:color w:val="3B3B3C" w:themeColor="text1"/>
          <w:sz w:val="21"/>
          <w:szCs w:val="21"/>
        </w:rPr>
      </w:pPr>
      <w:r w:rsidRPr="0CB71AAA">
        <w:rPr>
          <w:b/>
          <w:bCs/>
          <w:color w:val="3B3B3C" w:themeColor="text1"/>
          <w:sz w:val="21"/>
          <w:szCs w:val="21"/>
        </w:rPr>
        <w:t xml:space="preserve">Surveillance (in </w:t>
      </w:r>
      <w:r w:rsidR="001B4B88" w:rsidRPr="0CB71AAA">
        <w:rPr>
          <w:b/>
          <w:bCs/>
          <w:color w:val="3B3B3C" w:themeColor="text1"/>
          <w:sz w:val="21"/>
          <w:szCs w:val="21"/>
        </w:rPr>
        <w:t>public health context</w:t>
      </w:r>
      <w:r w:rsidRPr="0CB71AAA">
        <w:rPr>
          <w:b/>
          <w:bCs/>
          <w:color w:val="3B3B3C" w:themeColor="text1"/>
          <w:sz w:val="21"/>
          <w:szCs w:val="21"/>
        </w:rPr>
        <w:t>):</w:t>
      </w:r>
      <w:r w:rsidRPr="0CB71AAA">
        <w:rPr>
          <w:color w:val="3B3B3C" w:themeColor="text1"/>
          <w:sz w:val="21"/>
          <w:szCs w:val="21"/>
        </w:rPr>
        <w:t xml:space="preserve"> This is the continuous, systematic collection, analysis and interpretation of health-related data for the planning, implementation and evaluation of public health practice (WHO).</w:t>
      </w:r>
    </w:p>
    <w:p w14:paraId="6F042A35" w14:textId="554B5DAA" w:rsidR="00774B95" w:rsidRPr="00774B95" w:rsidRDefault="54C4238E" w:rsidP="00794C76">
      <w:pPr>
        <w:pStyle w:val="ListParagraph"/>
        <w:numPr>
          <w:ilvl w:val="0"/>
          <w:numId w:val="11"/>
        </w:numPr>
        <w:shd w:val="clear" w:color="auto" w:fill="F9E2D5" w:themeFill="accent2" w:themeFillTint="33"/>
        <w:rPr>
          <w:color w:val="3B3B3C" w:themeColor="text1"/>
          <w:sz w:val="21"/>
          <w:szCs w:val="21"/>
        </w:rPr>
      </w:pPr>
      <w:r w:rsidRPr="0CB71AAA">
        <w:rPr>
          <w:b/>
          <w:bCs/>
          <w:color w:val="3B3B3C" w:themeColor="text1"/>
          <w:sz w:val="21"/>
          <w:szCs w:val="21"/>
        </w:rPr>
        <w:t xml:space="preserve">Passive </w:t>
      </w:r>
      <w:r w:rsidR="00083937">
        <w:rPr>
          <w:b/>
          <w:bCs/>
          <w:color w:val="3B3B3C" w:themeColor="text1"/>
          <w:sz w:val="21"/>
          <w:szCs w:val="21"/>
        </w:rPr>
        <w:t>s</w:t>
      </w:r>
      <w:r w:rsidRPr="0CB71AAA">
        <w:rPr>
          <w:b/>
          <w:bCs/>
          <w:color w:val="3B3B3C" w:themeColor="text1"/>
          <w:sz w:val="21"/>
          <w:szCs w:val="21"/>
        </w:rPr>
        <w:t>urveillance:</w:t>
      </w:r>
      <w:r w:rsidRPr="0CB71AAA">
        <w:rPr>
          <w:color w:val="3B3B3C" w:themeColor="text1"/>
          <w:sz w:val="21"/>
          <w:szCs w:val="21"/>
        </w:rPr>
        <w:t xml:space="preserve"> This is the AMR data based on patients (or animals) presenting to healthcare providers and where microbiological samples have been taken as part of routine care. This is the main focus of Fleming Fund support in the HH sector.</w:t>
      </w:r>
    </w:p>
    <w:p w14:paraId="732BE1E7" w14:textId="4E1488B6" w:rsidR="00774B95" w:rsidRPr="00774B95" w:rsidRDefault="54C4238E" w:rsidP="00794C76">
      <w:pPr>
        <w:pStyle w:val="ListParagraph"/>
        <w:numPr>
          <w:ilvl w:val="0"/>
          <w:numId w:val="11"/>
        </w:numPr>
        <w:shd w:val="clear" w:color="auto" w:fill="F9E2D5" w:themeFill="accent2" w:themeFillTint="33"/>
        <w:spacing w:after="120"/>
        <w:ind w:left="357" w:hanging="357"/>
        <w:rPr>
          <w:color w:val="3B3B3C" w:themeColor="text1"/>
          <w:sz w:val="21"/>
          <w:szCs w:val="21"/>
        </w:rPr>
      </w:pPr>
      <w:r w:rsidRPr="0CB71AAA">
        <w:rPr>
          <w:b/>
          <w:bCs/>
          <w:color w:val="3B3B3C" w:themeColor="text1"/>
          <w:sz w:val="21"/>
          <w:szCs w:val="21"/>
        </w:rPr>
        <w:t xml:space="preserve">Active </w:t>
      </w:r>
      <w:r w:rsidR="00083937">
        <w:rPr>
          <w:b/>
          <w:bCs/>
          <w:color w:val="3B3B3C" w:themeColor="text1"/>
          <w:sz w:val="21"/>
          <w:szCs w:val="21"/>
        </w:rPr>
        <w:t>s</w:t>
      </w:r>
      <w:r w:rsidRPr="0CB71AAA">
        <w:rPr>
          <w:b/>
          <w:bCs/>
          <w:color w:val="3B3B3C" w:themeColor="text1"/>
          <w:sz w:val="21"/>
          <w:szCs w:val="21"/>
        </w:rPr>
        <w:t xml:space="preserve">urveillance: </w:t>
      </w:r>
      <w:r w:rsidRPr="0CB71AAA">
        <w:rPr>
          <w:color w:val="3B3B3C" w:themeColor="text1"/>
          <w:sz w:val="21"/>
          <w:szCs w:val="21"/>
        </w:rPr>
        <w:t>This is AMR data based on the sampling of populations (human or animal), not dependent upon their presentation to healthcare providers or routine medical care. It is the main focus of Fleming Fund support in the AH sector</w:t>
      </w:r>
      <w:r w:rsidR="00B30736">
        <w:rPr>
          <w:color w:val="3B3B3C" w:themeColor="text1"/>
          <w:sz w:val="21"/>
          <w:szCs w:val="21"/>
        </w:rPr>
        <w:t xml:space="preserve"> – </w:t>
      </w:r>
      <w:r w:rsidRPr="0CB71AAA">
        <w:rPr>
          <w:color w:val="3B3B3C" w:themeColor="text1"/>
          <w:sz w:val="21"/>
          <w:szCs w:val="21"/>
        </w:rPr>
        <w:t>initially focused on collecting samples from poultry production systems.</w:t>
      </w:r>
    </w:p>
    <w:p w14:paraId="4CBFC937" w14:textId="17F7C58A" w:rsidR="00774B95" w:rsidRPr="00774B95" w:rsidRDefault="54C4238E" w:rsidP="00794C76">
      <w:pPr>
        <w:shd w:val="clear" w:color="auto" w:fill="F9E2D5" w:themeFill="accent2" w:themeFillTint="33"/>
        <w:rPr>
          <w:rFonts w:cstheme="minorBidi"/>
          <w:b/>
          <w:bCs/>
          <w:i/>
          <w:iCs/>
          <w:color w:val="3B3B3C" w:themeColor="text1"/>
          <w:sz w:val="21"/>
          <w:szCs w:val="21"/>
        </w:rPr>
      </w:pPr>
      <w:r w:rsidRPr="0CB71AAA">
        <w:rPr>
          <w:rFonts w:cstheme="minorBidi"/>
          <w:b/>
          <w:bCs/>
          <w:i/>
          <w:iCs/>
          <w:color w:val="3B3B3C" w:themeColor="text1"/>
          <w:sz w:val="21"/>
          <w:szCs w:val="21"/>
        </w:rPr>
        <w:t xml:space="preserve">Example of a </w:t>
      </w:r>
      <w:r w:rsidR="00AA6A7B">
        <w:rPr>
          <w:rFonts w:cstheme="minorBidi"/>
          <w:b/>
          <w:bCs/>
          <w:i/>
          <w:iCs/>
          <w:color w:val="3B3B3C" w:themeColor="text1"/>
          <w:sz w:val="21"/>
          <w:szCs w:val="21"/>
        </w:rPr>
        <w:t>‘</w:t>
      </w:r>
      <w:r w:rsidRPr="0CB71AAA">
        <w:rPr>
          <w:rFonts w:cstheme="minorBidi"/>
          <w:b/>
          <w:bCs/>
          <w:i/>
          <w:iCs/>
          <w:color w:val="3B3B3C" w:themeColor="text1"/>
          <w:sz w:val="21"/>
          <w:szCs w:val="21"/>
        </w:rPr>
        <w:t>good</w:t>
      </w:r>
      <w:r w:rsidR="00AA6A7B">
        <w:rPr>
          <w:rFonts w:cstheme="minorBidi"/>
          <w:b/>
          <w:bCs/>
          <w:i/>
          <w:iCs/>
          <w:color w:val="3B3B3C" w:themeColor="text1"/>
          <w:sz w:val="21"/>
          <w:szCs w:val="21"/>
        </w:rPr>
        <w:t>’</w:t>
      </w:r>
      <w:r w:rsidRPr="0CB71AAA">
        <w:rPr>
          <w:rFonts w:cstheme="minorBidi"/>
          <w:b/>
          <w:bCs/>
          <w:i/>
          <w:iCs/>
          <w:color w:val="3B3B3C" w:themeColor="text1"/>
          <w:sz w:val="21"/>
          <w:szCs w:val="21"/>
        </w:rPr>
        <w:t xml:space="preserve"> AMR surveillance system in H</w:t>
      </w:r>
      <w:r w:rsidR="002944F0">
        <w:rPr>
          <w:rFonts w:cstheme="minorBidi"/>
          <w:b/>
          <w:bCs/>
          <w:i/>
          <w:iCs/>
          <w:color w:val="3B3B3C" w:themeColor="text1"/>
          <w:sz w:val="21"/>
          <w:szCs w:val="21"/>
        </w:rPr>
        <w:t>H</w:t>
      </w:r>
      <w:r w:rsidRPr="0CB71AAA">
        <w:rPr>
          <w:rFonts w:cstheme="minorBidi"/>
          <w:b/>
          <w:bCs/>
          <w:i/>
          <w:iCs/>
          <w:color w:val="3B3B3C" w:themeColor="text1"/>
          <w:sz w:val="21"/>
          <w:szCs w:val="21"/>
        </w:rPr>
        <w:t>:</w:t>
      </w:r>
    </w:p>
    <w:p w14:paraId="2B2CF73A" w14:textId="24F84D16" w:rsidR="00774B95" w:rsidRPr="00774B95" w:rsidRDefault="54C4238E" w:rsidP="00794C76">
      <w:pPr>
        <w:pStyle w:val="ListParagraph"/>
        <w:numPr>
          <w:ilvl w:val="0"/>
          <w:numId w:val="22"/>
        </w:numPr>
        <w:shd w:val="clear" w:color="auto" w:fill="F9E2D5" w:themeFill="accent2" w:themeFillTint="33"/>
        <w:ind w:left="426" w:hanging="426"/>
        <w:rPr>
          <w:color w:val="3B3B3C" w:themeColor="text1"/>
          <w:sz w:val="21"/>
          <w:szCs w:val="21"/>
        </w:rPr>
      </w:pPr>
      <w:r w:rsidRPr="0CB71AAA">
        <w:rPr>
          <w:color w:val="3B3B3C" w:themeColor="text1"/>
          <w:sz w:val="21"/>
          <w:szCs w:val="21"/>
        </w:rPr>
        <w:t xml:space="preserve">A good AMR surveillance system would collect data from healthcare providers on a range of key syndromic infection diagnoses (e.g. </w:t>
      </w:r>
      <w:r w:rsidR="00AA6A7B">
        <w:rPr>
          <w:color w:val="3B3B3C" w:themeColor="text1"/>
          <w:sz w:val="21"/>
          <w:szCs w:val="21"/>
        </w:rPr>
        <w:t>‘</w:t>
      </w:r>
      <w:r w:rsidRPr="0CB71AAA">
        <w:rPr>
          <w:color w:val="3B3B3C" w:themeColor="text1"/>
          <w:sz w:val="21"/>
          <w:szCs w:val="21"/>
        </w:rPr>
        <w:t>sepsis</w:t>
      </w:r>
      <w:r w:rsidR="00AA6A7B">
        <w:rPr>
          <w:color w:val="3B3B3C" w:themeColor="text1"/>
          <w:sz w:val="21"/>
          <w:szCs w:val="21"/>
        </w:rPr>
        <w:t>’</w:t>
      </w:r>
      <w:r w:rsidRPr="0CB71AAA">
        <w:rPr>
          <w:color w:val="3B3B3C" w:themeColor="text1"/>
          <w:sz w:val="21"/>
          <w:szCs w:val="21"/>
        </w:rPr>
        <w:t xml:space="preserve">, urinary tract infections, </w:t>
      </w:r>
      <w:r w:rsidR="00A5658C">
        <w:rPr>
          <w:color w:val="3B3B3C" w:themeColor="text1"/>
          <w:sz w:val="21"/>
          <w:szCs w:val="21"/>
        </w:rPr>
        <w:t>sexually transmitted infection</w:t>
      </w:r>
      <w:r w:rsidRPr="0CB71AAA">
        <w:rPr>
          <w:color w:val="3B3B3C" w:themeColor="text1"/>
          <w:sz w:val="21"/>
          <w:szCs w:val="21"/>
        </w:rPr>
        <w:t>s), including clinical, demographic and laboratory data which would be linked using anonymi</w:t>
      </w:r>
      <w:r w:rsidR="00C40B3E">
        <w:rPr>
          <w:color w:val="3B3B3C" w:themeColor="text1"/>
          <w:sz w:val="21"/>
          <w:szCs w:val="21"/>
        </w:rPr>
        <w:t>sed</w:t>
      </w:r>
      <w:r w:rsidRPr="0CB71AAA">
        <w:rPr>
          <w:color w:val="3B3B3C" w:themeColor="text1"/>
          <w:sz w:val="21"/>
          <w:szCs w:val="21"/>
        </w:rPr>
        <w:t xml:space="preserve"> alphanumeric IDs. AMR data would include all key antibiotics for priority pathogens.</w:t>
      </w:r>
    </w:p>
    <w:p w14:paraId="79DB2450" w14:textId="1C61D093" w:rsidR="00774B95" w:rsidRPr="00774B95" w:rsidRDefault="54C4238E" w:rsidP="00794C76">
      <w:pPr>
        <w:pStyle w:val="ListParagraph"/>
        <w:numPr>
          <w:ilvl w:val="0"/>
          <w:numId w:val="22"/>
        </w:numPr>
        <w:shd w:val="clear" w:color="auto" w:fill="F9E2D5" w:themeFill="accent2" w:themeFillTint="33"/>
        <w:ind w:left="426" w:hanging="426"/>
        <w:rPr>
          <w:color w:val="3B3B3C" w:themeColor="text1"/>
          <w:sz w:val="21"/>
          <w:szCs w:val="21"/>
        </w:rPr>
      </w:pPr>
      <w:r w:rsidRPr="0CB71AAA">
        <w:rPr>
          <w:color w:val="3B3B3C" w:themeColor="text1"/>
          <w:sz w:val="21"/>
          <w:szCs w:val="21"/>
        </w:rPr>
        <w:t xml:space="preserve">Laboratory AMR data would be quality assured, with </w:t>
      </w:r>
      <w:r w:rsidR="002944F0">
        <w:rPr>
          <w:color w:val="3B3B3C" w:themeColor="text1"/>
          <w:sz w:val="21"/>
          <w:szCs w:val="21"/>
        </w:rPr>
        <w:t>AST</w:t>
      </w:r>
      <w:r w:rsidRPr="0CB71AAA">
        <w:rPr>
          <w:color w:val="3B3B3C" w:themeColor="text1"/>
          <w:sz w:val="21"/>
          <w:szCs w:val="21"/>
        </w:rPr>
        <w:t xml:space="preserve"> performed according to standard operating procedures </w:t>
      </w:r>
      <w:r w:rsidR="002944F0">
        <w:rPr>
          <w:color w:val="3B3B3C" w:themeColor="text1"/>
          <w:sz w:val="21"/>
          <w:szCs w:val="21"/>
        </w:rPr>
        <w:t xml:space="preserve">(SOPs) </w:t>
      </w:r>
      <w:r w:rsidRPr="0CB71AAA">
        <w:rPr>
          <w:color w:val="3B3B3C" w:themeColor="text1"/>
          <w:sz w:val="21"/>
          <w:szCs w:val="21"/>
        </w:rPr>
        <w:t>based on internationally accepted standards. Procedures and reagents would be quality assured, and the laboratory would participate in an external quality assurance programme.</w:t>
      </w:r>
    </w:p>
    <w:p w14:paraId="13B5C4D1" w14:textId="45431617" w:rsidR="00774B95" w:rsidRPr="00774B95" w:rsidRDefault="54C4238E" w:rsidP="00794C76">
      <w:pPr>
        <w:pStyle w:val="ListParagraph"/>
        <w:numPr>
          <w:ilvl w:val="0"/>
          <w:numId w:val="22"/>
        </w:numPr>
        <w:shd w:val="clear" w:color="auto" w:fill="F9E2D5" w:themeFill="accent2" w:themeFillTint="33"/>
        <w:spacing w:after="120"/>
        <w:ind w:left="425" w:hanging="425"/>
        <w:rPr>
          <w:color w:val="3B3B3C" w:themeColor="text1"/>
          <w:sz w:val="21"/>
          <w:szCs w:val="21"/>
        </w:rPr>
      </w:pPr>
      <w:r w:rsidRPr="0CB71AAA">
        <w:rPr>
          <w:color w:val="3B3B3C" w:themeColor="text1"/>
          <w:sz w:val="21"/>
          <w:szCs w:val="21"/>
        </w:rPr>
        <w:t>Patient results would be efficiently fed back to clinicians to inform patient care, whil</w:t>
      </w:r>
      <w:r w:rsidR="000C2D5D">
        <w:rPr>
          <w:color w:val="3B3B3C" w:themeColor="text1"/>
          <w:sz w:val="21"/>
          <w:szCs w:val="21"/>
        </w:rPr>
        <w:t>e</w:t>
      </w:r>
      <w:r w:rsidRPr="0CB71AAA">
        <w:rPr>
          <w:color w:val="3B3B3C" w:themeColor="text1"/>
          <w:sz w:val="21"/>
          <w:szCs w:val="21"/>
        </w:rPr>
        <w:t xml:space="preserve"> laboratory or health facility</w:t>
      </w:r>
      <w:r w:rsidR="00FC2504">
        <w:rPr>
          <w:color w:val="3B3B3C" w:themeColor="text1"/>
          <w:sz w:val="21"/>
          <w:szCs w:val="21"/>
        </w:rPr>
        <w:t>-</w:t>
      </w:r>
      <w:r w:rsidRPr="0CB71AAA">
        <w:rPr>
          <w:color w:val="3B3B3C" w:themeColor="text1"/>
          <w:sz w:val="21"/>
          <w:szCs w:val="21"/>
        </w:rPr>
        <w:t>level data will be collated, cleaned, duplicate</w:t>
      </w:r>
      <w:r w:rsidR="00FC2504">
        <w:rPr>
          <w:color w:val="3B3B3C" w:themeColor="text1"/>
          <w:sz w:val="21"/>
          <w:szCs w:val="21"/>
        </w:rPr>
        <w:t>s removed</w:t>
      </w:r>
      <w:r w:rsidRPr="0CB71AAA">
        <w:rPr>
          <w:color w:val="3B3B3C" w:themeColor="text1"/>
          <w:sz w:val="21"/>
          <w:szCs w:val="21"/>
        </w:rPr>
        <w:t>, and analysed/summarised to inform local policies and guidelines. The key AMR metrics presented would include the number of samples, the proportion that was positive, and the proportion of each pathogen that has resistance to various antibiotics, linked to demographic data (e.g. age and sex) as well as clinical data (e.g. source of infection, clinical syndrome and diagnosis). Some general site-level data (e.g. episodes of care) would also be available for context. The data would be collated nationally and aggregated for reporting to GLASS.</w:t>
      </w:r>
    </w:p>
    <w:p w14:paraId="0E3D8AFF" w14:textId="77777777" w:rsidR="00774B95" w:rsidRPr="00774B95" w:rsidRDefault="54C4238E" w:rsidP="00794C76">
      <w:pPr>
        <w:pStyle w:val="ListParagraph"/>
        <w:numPr>
          <w:ilvl w:val="0"/>
          <w:numId w:val="22"/>
        </w:numPr>
        <w:shd w:val="clear" w:color="auto" w:fill="F9E2D5" w:themeFill="accent2" w:themeFillTint="33"/>
        <w:spacing w:after="120"/>
        <w:ind w:left="425" w:hanging="425"/>
        <w:rPr>
          <w:color w:val="3B3B3C" w:themeColor="text1"/>
          <w:sz w:val="21"/>
          <w:szCs w:val="21"/>
        </w:rPr>
      </w:pPr>
      <w:r w:rsidRPr="0CB71AAA">
        <w:rPr>
          <w:color w:val="3B3B3C" w:themeColor="text1"/>
          <w:sz w:val="21"/>
          <w:szCs w:val="21"/>
        </w:rPr>
        <w:t>AMU data will be collected using point prevalence surveys of antimicrobial prescriptions of key clinical syndromes at repeated intervals and inform policy and guidelines.</w:t>
      </w:r>
    </w:p>
    <w:p w14:paraId="7262098E" w14:textId="77777777" w:rsidR="00774B95" w:rsidRPr="00774B95" w:rsidRDefault="54C4238E" w:rsidP="00794C76">
      <w:pPr>
        <w:shd w:val="clear" w:color="auto" w:fill="F9E2D5" w:themeFill="accent2" w:themeFillTint="33"/>
        <w:rPr>
          <w:rFonts w:cstheme="minorBidi"/>
          <w:b/>
          <w:bCs/>
          <w:i/>
          <w:iCs/>
          <w:color w:val="3B3B3C" w:themeColor="text1"/>
          <w:sz w:val="21"/>
          <w:szCs w:val="21"/>
        </w:rPr>
      </w:pPr>
      <w:r w:rsidRPr="0CB71AAA">
        <w:rPr>
          <w:rFonts w:cstheme="minorBidi"/>
          <w:b/>
          <w:bCs/>
          <w:i/>
          <w:iCs/>
          <w:color w:val="3B3B3C" w:themeColor="text1"/>
          <w:sz w:val="21"/>
          <w:szCs w:val="21"/>
        </w:rPr>
        <w:t>Data types:</w:t>
      </w:r>
    </w:p>
    <w:p w14:paraId="7C0F9F17" w14:textId="01663069" w:rsidR="00774B95" w:rsidRPr="00774B95" w:rsidRDefault="54C4238E" w:rsidP="00794C76">
      <w:pPr>
        <w:pStyle w:val="ListParagraph"/>
        <w:numPr>
          <w:ilvl w:val="0"/>
          <w:numId w:val="10"/>
        </w:numPr>
        <w:shd w:val="clear" w:color="auto" w:fill="F9E2D5" w:themeFill="accent2" w:themeFillTint="33"/>
        <w:ind w:left="426" w:hanging="426"/>
        <w:rPr>
          <w:color w:val="3B3B3C" w:themeColor="text1"/>
          <w:sz w:val="21"/>
          <w:szCs w:val="21"/>
        </w:rPr>
      </w:pPr>
      <w:r w:rsidRPr="0CB71AAA">
        <w:rPr>
          <w:b/>
          <w:bCs/>
          <w:color w:val="3B3B3C" w:themeColor="text1"/>
          <w:sz w:val="21"/>
          <w:szCs w:val="21"/>
        </w:rPr>
        <w:t>Sample (or specimen</w:t>
      </w:r>
      <w:r w:rsidRPr="0CB71AAA">
        <w:rPr>
          <w:color w:val="3B3B3C" w:themeColor="text1"/>
          <w:sz w:val="21"/>
          <w:szCs w:val="21"/>
        </w:rPr>
        <w:t>)</w:t>
      </w:r>
      <w:r w:rsidRPr="0CB71AAA">
        <w:rPr>
          <w:b/>
          <w:bCs/>
          <w:color w:val="3B3B3C" w:themeColor="text1"/>
          <w:sz w:val="21"/>
          <w:szCs w:val="21"/>
        </w:rPr>
        <w:t>:</w:t>
      </w:r>
      <w:r w:rsidRPr="0CB71AAA">
        <w:rPr>
          <w:color w:val="3B3B3C" w:themeColor="text1"/>
          <w:sz w:val="21"/>
          <w:szCs w:val="21"/>
        </w:rPr>
        <w:t xml:space="preserve"> </w:t>
      </w:r>
      <w:r w:rsidR="0022626C">
        <w:rPr>
          <w:color w:val="3B3B3C" w:themeColor="text1"/>
          <w:sz w:val="21"/>
          <w:szCs w:val="21"/>
        </w:rPr>
        <w:t>b</w:t>
      </w:r>
      <w:r w:rsidRPr="0CB71AAA">
        <w:rPr>
          <w:color w:val="3B3B3C" w:themeColor="text1"/>
          <w:sz w:val="21"/>
          <w:szCs w:val="21"/>
        </w:rPr>
        <w:t>lood, bodily fluid, or tissue is taken from an individual patient or animal for diagnostic testing.</w:t>
      </w:r>
    </w:p>
    <w:p w14:paraId="78A77936" w14:textId="77777777" w:rsidR="00774B95" w:rsidRPr="00774B95" w:rsidRDefault="54C4238E" w:rsidP="00794C76">
      <w:pPr>
        <w:pStyle w:val="ListParagraph"/>
        <w:numPr>
          <w:ilvl w:val="0"/>
          <w:numId w:val="10"/>
        </w:numPr>
        <w:shd w:val="clear" w:color="auto" w:fill="F9E2D5" w:themeFill="accent2" w:themeFillTint="33"/>
        <w:ind w:left="426" w:hanging="426"/>
        <w:rPr>
          <w:color w:val="3B3B3C" w:themeColor="text1"/>
          <w:sz w:val="21"/>
          <w:szCs w:val="21"/>
        </w:rPr>
      </w:pPr>
      <w:r w:rsidRPr="0CB71AAA">
        <w:rPr>
          <w:b/>
          <w:bCs/>
          <w:color w:val="3B3B3C" w:themeColor="text1"/>
          <w:sz w:val="21"/>
          <w:szCs w:val="21"/>
        </w:rPr>
        <w:t>Culture</w:t>
      </w:r>
      <w:r w:rsidRPr="0CB71AAA">
        <w:rPr>
          <w:color w:val="3B3B3C" w:themeColor="text1"/>
          <w:sz w:val="21"/>
          <w:szCs w:val="21"/>
        </w:rPr>
        <w:t>: a sample or specimen, if meeting quality criteria, will be processed and placed in appropriate media to allow microbial growth. A single specimen may be processed for one or more cultures.</w:t>
      </w:r>
    </w:p>
    <w:p w14:paraId="0EF7852A" w14:textId="77777777" w:rsidR="00774B95" w:rsidRPr="00774B95" w:rsidRDefault="54C4238E" w:rsidP="00794C76">
      <w:pPr>
        <w:pStyle w:val="ListParagraph"/>
        <w:numPr>
          <w:ilvl w:val="0"/>
          <w:numId w:val="10"/>
        </w:numPr>
        <w:shd w:val="clear" w:color="auto" w:fill="F9E2D5" w:themeFill="accent2" w:themeFillTint="33"/>
        <w:ind w:left="426" w:hanging="426"/>
        <w:rPr>
          <w:color w:val="3B3B3C" w:themeColor="text1"/>
          <w:sz w:val="21"/>
          <w:szCs w:val="21"/>
        </w:rPr>
      </w:pPr>
      <w:r w:rsidRPr="0CB71AAA">
        <w:rPr>
          <w:b/>
          <w:bCs/>
          <w:color w:val="3B3B3C" w:themeColor="text1"/>
          <w:sz w:val="21"/>
          <w:szCs w:val="21"/>
        </w:rPr>
        <w:t>Isolate:</w:t>
      </w:r>
      <w:r w:rsidRPr="0CB71AAA">
        <w:rPr>
          <w:color w:val="3B3B3C" w:themeColor="text1"/>
          <w:sz w:val="21"/>
          <w:szCs w:val="21"/>
        </w:rPr>
        <w:t xml:space="preserve"> a bacteriological strain (i.e. a microbe) identified from a culture of a sample. There may be more than one isolate identified from a single culture or sample.</w:t>
      </w:r>
    </w:p>
    <w:p w14:paraId="188521A3" w14:textId="201F0BB5" w:rsidR="00774B95" w:rsidRPr="00774B95" w:rsidRDefault="54C4238E" w:rsidP="00794C76">
      <w:pPr>
        <w:shd w:val="clear" w:color="auto" w:fill="F9E2D5" w:themeFill="accent2" w:themeFillTint="33"/>
        <w:spacing w:before="120"/>
      </w:pPr>
      <w:r w:rsidRPr="0CB71AAA">
        <w:rPr>
          <w:rFonts w:cstheme="minorBidi"/>
          <w:b/>
          <w:bCs/>
          <w:color w:val="3B3B3C" w:themeColor="text1"/>
          <w:sz w:val="21"/>
          <w:szCs w:val="21"/>
        </w:rPr>
        <w:t xml:space="preserve">Antimicrobial </w:t>
      </w:r>
      <w:r w:rsidR="000C2D5D" w:rsidRPr="0CB71AAA">
        <w:rPr>
          <w:rFonts w:cstheme="minorBidi"/>
          <w:b/>
          <w:bCs/>
          <w:color w:val="3B3B3C" w:themeColor="text1"/>
          <w:sz w:val="21"/>
          <w:szCs w:val="21"/>
        </w:rPr>
        <w:t>susceptibility testing</w:t>
      </w:r>
      <w:r w:rsidRPr="0CB71AAA">
        <w:rPr>
          <w:rFonts w:cstheme="minorBidi"/>
          <w:b/>
          <w:bCs/>
          <w:color w:val="3B3B3C" w:themeColor="text1"/>
          <w:sz w:val="21"/>
          <w:szCs w:val="21"/>
        </w:rPr>
        <w:t>:</w:t>
      </w:r>
      <w:r w:rsidRPr="0CB71AAA">
        <w:rPr>
          <w:rFonts w:cstheme="minorBidi"/>
          <w:color w:val="3B3B3C" w:themeColor="text1"/>
          <w:sz w:val="21"/>
          <w:szCs w:val="21"/>
        </w:rPr>
        <w:t xml:space="preserve"> once an isolate has been identified, AST is performed to identify if the isolate is resistant to any antibiotics (i.e. if AMR is present). Commonly, multiple AST is performed on a single isolate, although the exact number and combinations of antibiotics tested</w:t>
      </w:r>
      <w:r w:rsidRPr="0CB71AAA">
        <w:rPr>
          <w:color w:val="3B3B3C" w:themeColor="text1"/>
          <w:sz w:val="21"/>
          <w:szCs w:val="21"/>
        </w:rPr>
        <w:t xml:space="preserve"> for resistance will depend on the organism and setting.</w:t>
      </w:r>
    </w:p>
    <w:p w14:paraId="4E49B104" w14:textId="77777777" w:rsidR="00774B95" w:rsidRPr="00774B95" w:rsidRDefault="00774B95" w:rsidP="00794C76">
      <w:pPr>
        <w:shd w:val="clear" w:color="auto" w:fill="F9E2D5" w:themeFill="accent2" w:themeFillTint="33"/>
      </w:pPr>
    </w:p>
    <w:p w14:paraId="7C8787C6" w14:textId="7653D3B7" w:rsidR="00774B95" w:rsidRPr="00774B95" w:rsidRDefault="54C4238E" w:rsidP="003F5E68">
      <w:pPr>
        <w:pStyle w:val="ItadH3"/>
      </w:pPr>
      <w:bookmarkStart w:id="105" w:name="_Toc144049344"/>
      <w:bookmarkStart w:id="106" w:name="_Toc144715804"/>
      <w:r>
        <w:t>How does the MA</w:t>
      </w:r>
      <w:r w:rsidR="00AA6A7B">
        <w:t>’</w:t>
      </w:r>
      <w:r>
        <w:t>s approach address these requirements?</w:t>
      </w:r>
      <w:bookmarkEnd w:id="105"/>
      <w:bookmarkEnd w:id="106"/>
    </w:p>
    <w:p w14:paraId="4FD5C7D6" w14:textId="31D8381A" w:rsidR="000771B2" w:rsidRPr="000771B2" w:rsidRDefault="000771B2" w:rsidP="000771B2">
      <w:pPr>
        <w:spacing w:after="120"/>
        <w:rPr>
          <w:rFonts w:eastAsia="Times New Roman" w:cstheme="minorBidi"/>
          <w:color w:val="3B3B3C" w:themeColor="text1"/>
          <w:lang w:eastAsia="en-GB"/>
        </w:rPr>
      </w:pPr>
      <w:r w:rsidRPr="000771B2">
        <w:rPr>
          <w:rFonts w:eastAsia="Times New Roman" w:cstheme="minorBidi"/>
          <w:color w:val="3B3B3C" w:themeColor="text1"/>
          <w:lang w:eastAsia="en-GB"/>
        </w:rPr>
        <w:t xml:space="preserve">In this section we describe the approach taken to deliver Fleming Fund support under workstreams 3 and 4 as shown in Figure </w:t>
      </w:r>
      <w:r>
        <w:rPr>
          <w:rFonts w:eastAsia="Times New Roman" w:cstheme="minorBidi"/>
          <w:color w:val="3B3B3C" w:themeColor="text1"/>
          <w:lang w:eastAsia="en-GB"/>
        </w:rPr>
        <w:t>2 above</w:t>
      </w:r>
      <w:r w:rsidRPr="000771B2">
        <w:rPr>
          <w:rFonts w:eastAsia="Times New Roman" w:cstheme="minorBidi"/>
          <w:color w:val="3B3B3C" w:themeColor="text1"/>
          <w:lang w:eastAsia="en-GB"/>
        </w:rPr>
        <w:t>.</w:t>
      </w:r>
    </w:p>
    <w:p w14:paraId="351EB018" w14:textId="3781F2DD" w:rsidR="00774B95" w:rsidRPr="00774B95" w:rsidRDefault="424EEB0A" w:rsidP="0CB71AAA">
      <w:pPr>
        <w:spacing w:after="120"/>
        <w:rPr>
          <w:rFonts w:eastAsia="Times New Roman" w:cstheme="minorBidi"/>
          <w:color w:val="3B3B3C" w:themeColor="text1"/>
          <w:lang w:eastAsia="en-GB"/>
        </w:rPr>
      </w:pPr>
      <w:r w:rsidRPr="4EF651D4">
        <w:rPr>
          <w:rFonts w:eastAsia="Times New Roman" w:cstheme="minorBidi"/>
          <w:b/>
          <w:bCs/>
          <w:color w:val="3B3B3C" w:themeColor="text1"/>
          <w:lang w:eastAsia="en-GB"/>
        </w:rPr>
        <w:t xml:space="preserve">Fleming Fund </w:t>
      </w:r>
      <w:r w:rsidR="4DA39E0E" w:rsidRPr="4EF651D4">
        <w:rPr>
          <w:rFonts w:eastAsia="Times New Roman" w:cstheme="minorBidi"/>
          <w:b/>
          <w:bCs/>
          <w:color w:val="3B3B3C" w:themeColor="text1"/>
          <w:lang w:eastAsia="en-GB"/>
        </w:rPr>
        <w:t xml:space="preserve">country-level </w:t>
      </w:r>
      <w:r w:rsidRPr="4EF651D4">
        <w:rPr>
          <w:rFonts w:eastAsia="Times New Roman" w:cstheme="minorBidi"/>
          <w:b/>
          <w:bCs/>
          <w:color w:val="3B3B3C" w:themeColor="text1"/>
          <w:lang w:eastAsia="en-GB"/>
        </w:rPr>
        <w:t>support was designed (</w:t>
      </w:r>
      <w:r w:rsidR="4DA39E0E" w:rsidRPr="4EF651D4">
        <w:rPr>
          <w:rFonts w:eastAsia="Times New Roman" w:cstheme="minorBidi"/>
          <w:b/>
          <w:bCs/>
          <w:color w:val="3B3B3C" w:themeColor="text1"/>
          <w:lang w:eastAsia="en-GB"/>
        </w:rPr>
        <w:t>from</w:t>
      </w:r>
      <w:r w:rsidRPr="4EF651D4">
        <w:rPr>
          <w:rFonts w:eastAsia="Times New Roman" w:cstheme="minorBidi"/>
          <w:b/>
          <w:bCs/>
          <w:color w:val="3B3B3C" w:themeColor="text1"/>
          <w:lang w:eastAsia="en-GB"/>
        </w:rPr>
        <w:t xml:space="preserve"> 2018) to respond to different needs and contexts </w:t>
      </w:r>
      <w:r w:rsidRPr="4EF651D4">
        <w:rPr>
          <w:rFonts w:cstheme="minorBidi"/>
          <w:b/>
          <w:bCs/>
          <w:color w:val="3B3B3C" w:themeColor="text1"/>
        </w:rPr>
        <w:t>through a mixture of different grants, including those designed and tendered by the MA using a competitive process based on detailed country needs assessments.</w:t>
      </w:r>
      <w:r w:rsidR="00774B95" w:rsidRPr="4EF651D4">
        <w:rPr>
          <w:rStyle w:val="FootnoteReference"/>
          <w:rFonts w:cstheme="minorBidi"/>
          <w:color w:val="3B3B3C" w:themeColor="text1"/>
        </w:rPr>
        <w:footnoteReference w:id="36"/>
      </w:r>
      <w:r w:rsidRPr="4EF651D4">
        <w:rPr>
          <w:rFonts w:cstheme="minorBidi"/>
          <w:color w:val="3B3B3C" w:themeColor="text1"/>
        </w:rPr>
        <w:t xml:space="preserve"> </w:t>
      </w:r>
      <w:r w:rsidR="00FC2504" w:rsidRPr="4EF651D4">
        <w:rPr>
          <w:rFonts w:cstheme="minorBidi"/>
          <w:color w:val="3B3B3C" w:themeColor="text1"/>
        </w:rPr>
        <w:fldChar w:fldCharType="begin"/>
      </w:r>
      <w:r w:rsidR="00FC2504" w:rsidRPr="4EF651D4">
        <w:rPr>
          <w:rFonts w:cstheme="minorBidi"/>
          <w:color w:val="3B3B3C" w:themeColor="text1"/>
        </w:rPr>
        <w:instrText xml:space="preserve"> REF _Ref144027219 \h </w:instrText>
      </w:r>
      <w:r w:rsidR="00FC2504" w:rsidRPr="4EF651D4">
        <w:rPr>
          <w:rFonts w:cstheme="minorBidi"/>
          <w:color w:val="3B3B3C" w:themeColor="text1"/>
        </w:rPr>
      </w:r>
      <w:r w:rsidR="00FC2504" w:rsidRPr="4EF651D4">
        <w:rPr>
          <w:rFonts w:cstheme="minorBidi"/>
          <w:color w:val="3B3B3C" w:themeColor="text1"/>
        </w:rPr>
        <w:fldChar w:fldCharType="separate"/>
      </w:r>
      <w:r w:rsidR="5079E199">
        <w:t xml:space="preserve">Figure </w:t>
      </w:r>
      <w:r w:rsidR="5079E199">
        <w:rPr>
          <w:noProof/>
        </w:rPr>
        <w:t>5</w:t>
      </w:r>
      <w:r w:rsidR="00FC2504" w:rsidRPr="4EF651D4">
        <w:rPr>
          <w:rFonts w:cstheme="minorBidi"/>
          <w:color w:val="3B3B3C" w:themeColor="text1"/>
        </w:rPr>
        <w:fldChar w:fldCharType="end"/>
      </w:r>
      <w:r w:rsidR="00774B95" w:rsidRPr="0CB71AAA">
        <w:rPr>
          <w:rStyle w:val="ItadNormalTextChar"/>
        </w:rPr>
        <w:fldChar w:fldCharType="begin"/>
      </w:r>
      <w:r w:rsidR="00774B95" w:rsidRPr="0CB71AAA">
        <w:rPr>
          <w:rStyle w:val="ItadNormalTextChar"/>
        </w:rPr>
        <w:instrText xml:space="preserve"> REF _Ref118198337 \h  \* MERGEFORMAT </w:instrText>
      </w:r>
      <w:r w:rsidR="00774B95" w:rsidRPr="0CB71AAA">
        <w:rPr>
          <w:rStyle w:val="ItadNormalTextChar"/>
        </w:rPr>
      </w:r>
      <w:r w:rsidR="00B33BBD">
        <w:rPr>
          <w:rStyle w:val="ItadNormalTextChar"/>
        </w:rPr>
        <w:fldChar w:fldCharType="separate"/>
      </w:r>
      <w:r w:rsidR="00774B95" w:rsidRPr="0CB71AAA">
        <w:rPr>
          <w:rStyle w:val="ItadNormalTextChar"/>
        </w:rPr>
        <w:fldChar w:fldCharType="end"/>
      </w:r>
      <w:r w:rsidRPr="0CB71AAA">
        <w:rPr>
          <w:rStyle w:val="ItadNormalTextChar"/>
        </w:rPr>
        <w:t xml:space="preserve"> below sets out the six </w:t>
      </w:r>
      <w:r w:rsidRPr="0CB71AAA">
        <w:rPr>
          <w:rStyle w:val="ItadNormalTextChar"/>
        </w:rPr>
        <w:lastRenderedPageBreak/>
        <w:t>types of grant that were administered and managed by the MA, with most support delivered through the CGs and RGs and the Fleming Fellowship Scheme (</w:t>
      </w:r>
      <w:r w:rsidR="009A7BD2">
        <w:rPr>
          <w:rStyle w:val="ItadNormalTextChar"/>
        </w:rPr>
        <w:fldChar w:fldCharType="begin"/>
      </w:r>
      <w:r w:rsidR="009A7BD2">
        <w:rPr>
          <w:rStyle w:val="ItadNormalTextChar"/>
        </w:rPr>
        <w:instrText xml:space="preserve"> REF _Ref144720944 \h </w:instrText>
      </w:r>
      <w:r w:rsidR="009A7BD2">
        <w:rPr>
          <w:rStyle w:val="ItadNormalTextChar"/>
        </w:rPr>
      </w:r>
      <w:r w:rsidR="009A7BD2">
        <w:rPr>
          <w:rStyle w:val="ItadNormalTextChar"/>
        </w:rPr>
        <w:fldChar w:fldCharType="separate"/>
      </w:r>
      <w:r w:rsidR="02EC70D0">
        <w:t xml:space="preserve">Box </w:t>
      </w:r>
      <w:r w:rsidR="02EC70D0">
        <w:rPr>
          <w:noProof/>
        </w:rPr>
        <w:t>2</w:t>
      </w:r>
      <w:r w:rsidR="009A7BD2">
        <w:rPr>
          <w:rStyle w:val="ItadNormalTextChar"/>
        </w:rPr>
        <w:fldChar w:fldCharType="end"/>
      </w:r>
      <w:r w:rsidR="00033027">
        <w:rPr>
          <w:rStyle w:val="ItadNormalTextChar"/>
        </w:rPr>
        <w:fldChar w:fldCharType="begin"/>
      </w:r>
      <w:r w:rsidR="00033027">
        <w:rPr>
          <w:rStyle w:val="ItadNormalTextChar"/>
        </w:rPr>
        <w:instrText xml:space="preserve"> REF _Ref144719633 \h </w:instrText>
      </w:r>
      <w:r w:rsidR="00033027">
        <w:rPr>
          <w:rStyle w:val="ItadNormalTextChar"/>
        </w:rPr>
      </w:r>
      <w:r w:rsidR="00B33BBD">
        <w:rPr>
          <w:rStyle w:val="ItadNormalTextChar"/>
        </w:rPr>
        <w:fldChar w:fldCharType="separate"/>
      </w:r>
      <w:r w:rsidR="00033027">
        <w:rPr>
          <w:rStyle w:val="ItadNormalTextChar"/>
        </w:rPr>
        <w:fldChar w:fldCharType="end"/>
      </w:r>
      <w:r w:rsidR="00774B95" w:rsidRPr="0CB71AAA">
        <w:rPr>
          <w:rStyle w:val="ItadNormalTextChar"/>
        </w:rPr>
        <w:fldChar w:fldCharType="begin"/>
      </w:r>
      <w:r w:rsidR="00774B95" w:rsidRPr="0CB71AAA">
        <w:rPr>
          <w:rStyle w:val="ItadNormalTextChar"/>
        </w:rPr>
        <w:instrText xml:space="preserve"> REF _Ref129333486 \h </w:instrText>
      </w:r>
      <w:r w:rsidR="00774B95" w:rsidRPr="0CB71AAA">
        <w:rPr>
          <w:rStyle w:val="ItadNormalTextChar"/>
        </w:rPr>
      </w:r>
      <w:r w:rsidR="00B33BBD">
        <w:rPr>
          <w:rStyle w:val="ItadNormalTextChar"/>
        </w:rPr>
        <w:fldChar w:fldCharType="separate"/>
      </w:r>
      <w:r w:rsidR="00774B95" w:rsidRPr="0CB71AAA">
        <w:rPr>
          <w:rStyle w:val="ItadNormalTextChar"/>
        </w:rPr>
        <w:fldChar w:fldCharType="end"/>
      </w:r>
      <w:r w:rsidRPr="0CB71AAA">
        <w:rPr>
          <w:rStyle w:val="ItadNormalTextChar"/>
        </w:rPr>
        <w:t>). Competitive tendering was stipulated by the DHSC in line with cabinet office guidelines and standards for grant programmes, as well as general H</w:t>
      </w:r>
      <w:r w:rsidR="4196FC73">
        <w:rPr>
          <w:rStyle w:val="ItadNormalTextChar"/>
        </w:rPr>
        <w:t>MG</w:t>
      </w:r>
      <w:r w:rsidR="12EABA28">
        <w:rPr>
          <w:rStyle w:val="ItadNormalTextChar"/>
        </w:rPr>
        <w:t>’</w:t>
      </w:r>
      <w:r w:rsidR="4196FC73">
        <w:rPr>
          <w:rStyle w:val="ItadNormalTextChar"/>
        </w:rPr>
        <w:t>s</w:t>
      </w:r>
      <w:r w:rsidRPr="0CB71AAA">
        <w:rPr>
          <w:rStyle w:val="ItadNormalTextChar"/>
        </w:rPr>
        <w:t xml:space="preserve"> public procurement best practice, to ensure transparent tendering, and deliver VfM in procuring services. Requirements for each CG tender were identified through a detailed needs and capability assessment in each country.</w:t>
      </w:r>
      <w:r w:rsidR="00774B95" w:rsidRPr="4EF651D4">
        <w:rPr>
          <w:rStyle w:val="FootnoteReference"/>
          <w:rFonts w:cstheme="minorBidi"/>
        </w:rPr>
        <w:footnoteReference w:id="37"/>
      </w:r>
      <w:r w:rsidRPr="4EF651D4">
        <w:rPr>
          <w:rStyle w:val="FootnoteReference"/>
          <w:rFonts w:cstheme="minorBidi"/>
        </w:rPr>
        <w:t xml:space="preserve"> </w:t>
      </w:r>
      <w:r w:rsidRPr="0CB71AAA">
        <w:rPr>
          <w:rStyle w:val="ItadNormalTextChar"/>
        </w:rPr>
        <w:t>These assessments were intended to support alignment with country priorities for AMR/C/U surveillance as set out in the AMR NAPs which were often unclear on key goals or asp</w:t>
      </w:r>
      <w:r w:rsidRPr="4EF651D4">
        <w:rPr>
          <w:rFonts w:eastAsia="Times New Roman" w:cstheme="minorBidi"/>
          <w:color w:val="3B3B3C" w:themeColor="text1"/>
          <w:lang w:eastAsia="en-GB"/>
        </w:rPr>
        <w:t>ects of the surveillance system.</w:t>
      </w:r>
      <w:r w:rsidR="00774B95" w:rsidRPr="4EF651D4">
        <w:rPr>
          <w:rStyle w:val="FootnoteReference"/>
          <w:rFonts w:eastAsia="Times New Roman" w:cstheme="minorBidi"/>
          <w:color w:val="3B3B3C" w:themeColor="text1"/>
          <w:lang w:eastAsia="en-GB"/>
        </w:rPr>
        <w:footnoteReference w:id="38"/>
      </w:r>
    </w:p>
    <w:p w14:paraId="3428ECCB" w14:textId="604E7831" w:rsidR="00774B95" w:rsidRPr="00774B95" w:rsidRDefault="54C4238E" w:rsidP="0022626C">
      <w:pPr>
        <w:pStyle w:val="ItadNormalText"/>
      </w:pPr>
      <w:r w:rsidRPr="0022626C">
        <w:rPr>
          <w:rFonts w:eastAsia="Times New Roman"/>
          <w:b/>
          <w:bCs/>
          <w:lang w:eastAsia="en-GB"/>
        </w:rPr>
        <w:t>Fleming Fund support was expected to fall within five pre-defined parameters of support</w:t>
      </w:r>
      <w:r w:rsidRPr="0022626C">
        <w:rPr>
          <w:b/>
          <w:bCs/>
        </w:rPr>
        <w:t>, or areas of investment,</w:t>
      </w:r>
      <w:r w:rsidRPr="0CB71AAA">
        <w:t xml:space="preserve"> designed to put in place the building blocks for sustainable development:</w:t>
      </w:r>
    </w:p>
    <w:p w14:paraId="47F18D0F" w14:textId="3D65E92F" w:rsidR="00774B95" w:rsidRPr="00774B95" w:rsidRDefault="54C4238E" w:rsidP="0022626C">
      <w:pPr>
        <w:pStyle w:val="ItadBullets"/>
        <w:contextualSpacing/>
      </w:pPr>
      <w:r w:rsidRPr="0CB71AAA">
        <w:t>Laboratory infrastructure enhancement.</w:t>
      </w:r>
    </w:p>
    <w:p w14:paraId="5FC91CA0" w14:textId="09AF93CF" w:rsidR="00774B95" w:rsidRPr="00774B95" w:rsidRDefault="54C4238E" w:rsidP="0022626C">
      <w:pPr>
        <w:pStyle w:val="ItadBullets"/>
        <w:contextualSpacing/>
      </w:pPr>
      <w:r w:rsidRPr="0CB71AAA">
        <w:t>Human resource strengthening and workforce reforms.</w:t>
      </w:r>
    </w:p>
    <w:p w14:paraId="43814720" w14:textId="2FC6169C" w:rsidR="00774B95" w:rsidRPr="00774B95" w:rsidRDefault="54C4238E" w:rsidP="0022626C">
      <w:pPr>
        <w:pStyle w:val="ItadBullets"/>
        <w:contextualSpacing/>
      </w:pPr>
      <w:r w:rsidRPr="0CB71AAA">
        <w:t>Surveillance systems strengthening.</w:t>
      </w:r>
    </w:p>
    <w:p w14:paraId="5B04495F" w14:textId="5D5E312B" w:rsidR="00774B95" w:rsidRPr="00774B95" w:rsidRDefault="54C4238E" w:rsidP="0022626C">
      <w:pPr>
        <w:pStyle w:val="ItadBullets"/>
        <w:contextualSpacing/>
      </w:pPr>
      <w:r w:rsidRPr="0CB71AAA">
        <w:t>Building foundations for AMR surveillance data use.</w:t>
      </w:r>
    </w:p>
    <w:p w14:paraId="4BB3AD2F" w14:textId="704ACC3F" w:rsidR="00774B95" w:rsidRPr="00774B95" w:rsidRDefault="54C4238E" w:rsidP="0022626C">
      <w:pPr>
        <w:pStyle w:val="ItadBullets"/>
        <w:contextualSpacing/>
      </w:pPr>
      <w:r w:rsidRPr="0CB71AAA">
        <w:t>Rational use of antimicrobial medicines.</w:t>
      </w:r>
    </w:p>
    <w:p w14:paraId="3D6B8855" w14:textId="77777777" w:rsidR="00FC2504" w:rsidRDefault="54C4238E" w:rsidP="00FC2504">
      <w:pPr>
        <w:pStyle w:val="ItadCaption"/>
        <w:keepNext/>
      </w:pPr>
      <w:r>
        <w:rPr>
          <w:noProof/>
        </w:rPr>
        <w:drawing>
          <wp:inline distT="0" distB="0" distL="0" distR="0" wp14:anchorId="32BA36D7" wp14:editId="777684C0">
            <wp:extent cx="5479341" cy="4673745"/>
            <wp:effectExtent l="19050" t="19050" r="26670" b="12700"/>
            <wp:docPr id="444922011" name="Picture 44492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25">
                      <a:extLst>
                        <a:ext uri="{28A0092B-C50C-407E-A947-70E740481C1C}">
                          <a14:useLocalDpi xmlns:a14="http://schemas.microsoft.com/office/drawing/2010/main" val="0"/>
                        </a:ext>
                      </a:extLst>
                    </a:blip>
                    <a:srcRect l="-1552" t="-2258" r="-835" b="-859"/>
                    <a:stretch>
                      <a:fillRect/>
                    </a:stretch>
                  </pic:blipFill>
                  <pic:spPr bwMode="auto">
                    <a:xfrm>
                      <a:off x="0" y="0"/>
                      <a:ext cx="5479341" cy="4673745"/>
                    </a:xfrm>
                    <a:prstGeom prst="rect">
                      <a:avLst/>
                    </a:prstGeom>
                    <a:noFill/>
                    <a:ln>
                      <a:solidFill>
                        <a:schemeClr val="tx1">
                          <a:lumMod val="20000"/>
                          <a:lumOff val="80000"/>
                        </a:schemeClr>
                      </a:solidFill>
                    </a:ln>
                    <a:extLst>
                      <a:ext uri="{53640926-AAD7-44D8-BBD7-CCE9431645EC}">
                        <a14:shadowObscured xmlns:a14="http://schemas.microsoft.com/office/drawing/2010/main"/>
                      </a:ext>
                    </a:extLst>
                  </pic:spPr>
                </pic:pic>
              </a:graphicData>
            </a:graphic>
          </wp:inline>
        </w:drawing>
      </w:r>
    </w:p>
    <w:p w14:paraId="11279B29" w14:textId="070245A8" w:rsidR="00774B95" w:rsidRPr="002A22DA" w:rsidRDefault="00FC2504" w:rsidP="002A22DA">
      <w:pPr>
        <w:pStyle w:val="ItadFigureCap"/>
        <w:rPr>
          <w:rStyle w:val="ItadNormalTextChar"/>
          <w:color w:val="767171" w:themeColor="background2" w:themeShade="80"/>
          <w:sz w:val="18"/>
          <w:szCs w:val="18"/>
        </w:rPr>
      </w:pPr>
      <w:bookmarkStart w:id="107" w:name="_Ref144027219"/>
      <w:bookmarkStart w:id="108" w:name="_Toc144717847"/>
      <w:r>
        <w:t xml:space="preserve">Figure </w:t>
      </w:r>
      <w:r>
        <w:fldChar w:fldCharType="begin"/>
      </w:r>
      <w:r>
        <w:instrText>SEQ Figure \* ARABIC</w:instrText>
      </w:r>
      <w:r>
        <w:fldChar w:fldCharType="separate"/>
      </w:r>
      <w:r w:rsidR="00034AF8">
        <w:rPr>
          <w:noProof/>
        </w:rPr>
        <w:t>5</w:t>
      </w:r>
      <w:r>
        <w:fldChar w:fldCharType="end"/>
      </w:r>
      <w:bookmarkEnd w:id="107"/>
      <w:r w:rsidR="0022626C">
        <w:t>:</w:t>
      </w:r>
      <w:r>
        <w:t xml:space="preserve"> </w:t>
      </w:r>
      <w:r w:rsidRPr="00AB0E7B">
        <w:t>Summary of types of grants to be available under the Fleming Fund (in 2018)</w:t>
      </w:r>
      <w:bookmarkEnd w:id="108"/>
    </w:p>
    <w:p w14:paraId="0CDFCFE7" w14:textId="7EE68F5B" w:rsidR="00774B95" w:rsidRPr="00774B95" w:rsidRDefault="00033027" w:rsidP="00033027">
      <w:pPr>
        <w:pStyle w:val="Caption"/>
      </w:pPr>
      <w:bookmarkStart w:id="109" w:name="_Ref144720944"/>
      <w:bookmarkStart w:id="110" w:name="_Toc144049470"/>
      <w:bookmarkStart w:id="111" w:name="_Toc144721397"/>
      <w:r>
        <w:t xml:space="preserve">Box </w:t>
      </w:r>
      <w:r>
        <w:fldChar w:fldCharType="begin"/>
      </w:r>
      <w:r>
        <w:instrText>SEQ Box \* ARABIC</w:instrText>
      </w:r>
      <w:r>
        <w:fldChar w:fldCharType="separate"/>
      </w:r>
      <w:r w:rsidR="009A7BD2">
        <w:rPr>
          <w:noProof/>
        </w:rPr>
        <w:t>2</w:t>
      </w:r>
      <w:r>
        <w:fldChar w:fldCharType="end"/>
      </w:r>
      <w:bookmarkEnd w:id="109"/>
      <w:r w:rsidR="00103A03">
        <w:rPr>
          <w:noProof/>
        </w:rPr>
        <w:t>:</w:t>
      </w:r>
      <w:r w:rsidR="54C4238E">
        <w:t xml:space="preserve"> Country Grants, Fleming Fellows and Regional Grants</w:t>
      </w:r>
      <w:bookmarkEnd w:id="110"/>
      <w:bookmarkEnd w:id="111"/>
    </w:p>
    <w:p w14:paraId="27D2120C" w14:textId="3515B3B8" w:rsidR="00774B95" w:rsidRPr="00774B95" w:rsidRDefault="54C4238E" w:rsidP="00E15AD1">
      <w:pPr>
        <w:pStyle w:val="ListParagraph"/>
        <w:numPr>
          <w:ilvl w:val="0"/>
          <w:numId w:val="13"/>
        </w:numPr>
        <w:shd w:val="clear" w:color="auto" w:fill="F9E2D5" w:themeFill="accent2" w:themeFillTint="33"/>
        <w:spacing w:after="120"/>
        <w:ind w:left="357" w:hanging="357"/>
        <w:rPr>
          <w:color w:val="3B3B3C" w:themeColor="text1"/>
          <w:sz w:val="21"/>
          <w:szCs w:val="21"/>
        </w:rPr>
      </w:pPr>
      <w:r w:rsidRPr="0CB71AAA">
        <w:rPr>
          <w:b/>
          <w:bCs/>
          <w:color w:val="3B3B3C" w:themeColor="text1"/>
          <w:sz w:val="21"/>
          <w:szCs w:val="21"/>
        </w:rPr>
        <w:t>C</w:t>
      </w:r>
      <w:r w:rsidR="000C2D5D">
        <w:rPr>
          <w:b/>
          <w:bCs/>
          <w:color w:val="3B3B3C" w:themeColor="text1"/>
          <w:sz w:val="21"/>
          <w:szCs w:val="21"/>
        </w:rPr>
        <w:t>G</w:t>
      </w:r>
      <w:r w:rsidRPr="0CB71AAA">
        <w:rPr>
          <w:b/>
          <w:bCs/>
          <w:color w:val="3B3B3C" w:themeColor="text1"/>
          <w:sz w:val="21"/>
          <w:szCs w:val="21"/>
        </w:rPr>
        <w:t>s</w:t>
      </w:r>
      <w:r w:rsidRPr="0CB71AAA">
        <w:rPr>
          <w:color w:val="3B3B3C" w:themeColor="text1"/>
          <w:sz w:val="21"/>
          <w:szCs w:val="21"/>
        </w:rPr>
        <w:t xml:space="preserve"> are designed to improve the collection and use of AMR data, including AMU, in target countries using a One Health approach. Each CG was implemented by a grantee selected through a competitive tendering </w:t>
      </w:r>
      <w:r w:rsidRPr="0CB71AAA">
        <w:rPr>
          <w:color w:val="3B3B3C" w:themeColor="text1"/>
          <w:sz w:val="21"/>
          <w:szCs w:val="21"/>
        </w:rPr>
        <w:lastRenderedPageBreak/>
        <w:t>process, managed by MA regional teams. Initially, CGs were intended to be split into a shorter (12</w:t>
      </w:r>
      <w:r w:rsidR="0022626C">
        <w:rPr>
          <w:color w:val="3B3B3C" w:themeColor="text1"/>
          <w:sz w:val="21"/>
          <w:szCs w:val="21"/>
        </w:rPr>
        <w:t>–</w:t>
      </w:r>
      <w:r w:rsidRPr="0CB71AAA">
        <w:rPr>
          <w:color w:val="3B3B3C" w:themeColor="text1"/>
          <w:sz w:val="21"/>
          <w:szCs w:val="21"/>
        </w:rPr>
        <w:t>18 months) CG1 with a smaller budget, and a longer (24</w:t>
      </w:r>
      <w:r w:rsidR="0022626C">
        <w:rPr>
          <w:color w:val="3B3B3C" w:themeColor="text1"/>
          <w:sz w:val="21"/>
          <w:szCs w:val="21"/>
        </w:rPr>
        <w:t>–</w:t>
      </w:r>
      <w:r w:rsidRPr="0CB71AAA">
        <w:rPr>
          <w:color w:val="3B3B3C" w:themeColor="text1"/>
          <w:sz w:val="21"/>
          <w:szCs w:val="21"/>
        </w:rPr>
        <w:t>40 months) CG2</w:t>
      </w:r>
      <w:r w:rsidR="0022626C">
        <w:rPr>
          <w:color w:val="3B3B3C" w:themeColor="text1"/>
          <w:sz w:val="21"/>
          <w:szCs w:val="21"/>
        </w:rPr>
        <w:t>s</w:t>
      </w:r>
      <w:r w:rsidRPr="0CB71AAA">
        <w:rPr>
          <w:color w:val="3B3B3C" w:themeColor="text1"/>
          <w:sz w:val="21"/>
          <w:szCs w:val="21"/>
        </w:rPr>
        <w:t xml:space="preserve"> with a bigger budget. CG1s were broadly intended to focus on </w:t>
      </w:r>
      <w:r w:rsidRPr="0CB71AAA">
        <w:rPr>
          <w:i/>
          <w:iCs/>
          <w:color w:val="3B3B3C" w:themeColor="text1"/>
          <w:sz w:val="21"/>
          <w:szCs w:val="21"/>
        </w:rPr>
        <w:t xml:space="preserve">input and process </w:t>
      </w:r>
      <w:r w:rsidRPr="0CB71AAA">
        <w:rPr>
          <w:color w:val="3B3B3C" w:themeColor="text1"/>
          <w:sz w:val="21"/>
          <w:szCs w:val="21"/>
        </w:rPr>
        <w:t>activities in order to be in a position to generate the outputs of quality-assured AMR and AMU surveillance data over 36</w:t>
      </w:r>
      <w:r w:rsidR="0022626C">
        <w:rPr>
          <w:color w:val="3B3B3C" w:themeColor="text1"/>
          <w:sz w:val="21"/>
          <w:szCs w:val="21"/>
        </w:rPr>
        <w:t>–</w:t>
      </w:r>
      <w:r w:rsidRPr="0CB71AAA">
        <w:rPr>
          <w:color w:val="3B3B3C" w:themeColor="text1"/>
          <w:sz w:val="21"/>
          <w:szCs w:val="21"/>
        </w:rPr>
        <w:t>48 months, including through CG2s. In practice CG2s, were only implemented in 10 of our 16 focus countries; in some cases, this was due to CG1s being extended, and we note that fewer CG2s do not necessarily imply reduced funding overall.</w:t>
      </w:r>
    </w:p>
    <w:p w14:paraId="66EE180B" w14:textId="5C3244EB" w:rsidR="00774B95" w:rsidRPr="00FC2504" w:rsidRDefault="54C4238E" w:rsidP="00E15AD1">
      <w:pPr>
        <w:pStyle w:val="ListParagraph"/>
        <w:numPr>
          <w:ilvl w:val="0"/>
          <w:numId w:val="13"/>
        </w:numPr>
        <w:shd w:val="clear" w:color="auto" w:fill="F9E2D5" w:themeFill="accent2" w:themeFillTint="33"/>
        <w:spacing w:after="120"/>
        <w:ind w:left="357" w:hanging="357"/>
        <w:rPr>
          <w:rFonts w:cstheme="minorHAnsi"/>
          <w:color w:val="3B3B3C" w:themeColor="text1"/>
          <w:sz w:val="21"/>
          <w:szCs w:val="21"/>
        </w:rPr>
      </w:pPr>
      <w:r w:rsidRPr="0CB71AAA">
        <w:rPr>
          <w:b/>
          <w:bCs/>
          <w:color w:val="3B3B3C" w:themeColor="text1"/>
          <w:sz w:val="21"/>
          <w:szCs w:val="21"/>
        </w:rPr>
        <w:t>Fleming Fellows.</w:t>
      </w:r>
      <w:r w:rsidRPr="0CB71AAA">
        <w:rPr>
          <w:color w:val="3B3B3C" w:themeColor="text1"/>
          <w:sz w:val="21"/>
          <w:szCs w:val="21"/>
        </w:rPr>
        <w:t xml:space="preserve"> The MA</w:t>
      </w:r>
      <w:r w:rsidR="00AA6A7B">
        <w:rPr>
          <w:color w:val="3B3B3C" w:themeColor="text1"/>
          <w:sz w:val="21"/>
          <w:szCs w:val="21"/>
        </w:rPr>
        <w:t>’</w:t>
      </w:r>
      <w:r w:rsidRPr="0CB71AAA">
        <w:rPr>
          <w:color w:val="3B3B3C" w:themeColor="text1"/>
          <w:sz w:val="21"/>
          <w:szCs w:val="21"/>
        </w:rPr>
        <w:t xml:space="preserve">s implementation plan describes the objectives of the Fleming Fellowship Scheme in terms of enhancing investments made through CGs and RGs for the improved surveillance of AMR and AMU, supporting the professional development of key practitioners and changemakers, through participation in One Health communities of practice that contribute to the global dialogue on combatting resistance. Three types of </w:t>
      </w:r>
      <w:r w:rsidR="00AA6A7B">
        <w:rPr>
          <w:color w:val="3B3B3C" w:themeColor="text1"/>
          <w:sz w:val="21"/>
          <w:szCs w:val="21"/>
        </w:rPr>
        <w:t>fellowships</w:t>
      </w:r>
      <w:r w:rsidRPr="0CB71AAA">
        <w:rPr>
          <w:color w:val="3B3B3C" w:themeColor="text1"/>
          <w:sz w:val="21"/>
          <w:szCs w:val="21"/>
        </w:rPr>
        <w:t xml:space="preserve"> were offered to focus on </w:t>
      </w:r>
      <w:r w:rsidR="0022626C">
        <w:rPr>
          <w:color w:val="3B3B3C" w:themeColor="text1"/>
          <w:sz w:val="21"/>
          <w:szCs w:val="21"/>
        </w:rPr>
        <w:t>(</w:t>
      </w:r>
      <w:r w:rsidRPr="0CB71AAA">
        <w:rPr>
          <w:color w:val="3B3B3C" w:themeColor="text1"/>
          <w:sz w:val="21"/>
          <w:szCs w:val="21"/>
        </w:rPr>
        <w:t>1) AMR testing in laboratories</w:t>
      </w:r>
      <w:r w:rsidR="0022626C">
        <w:rPr>
          <w:color w:val="3B3B3C" w:themeColor="text1"/>
          <w:sz w:val="21"/>
          <w:szCs w:val="21"/>
        </w:rPr>
        <w:t>;</w:t>
      </w:r>
      <w:r w:rsidRPr="0CB71AAA">
        <w:rPr>
          <w:color w:val="3B3B3C" w:themeColor="text1"/>
          <w:sz w:val="21"/>
          <w:szCs w:val="21"/>
        </w:rPr>
        <w:t xml:space="preserve"> </w:t>
      </w:r>
      <w:r w:rsidR="0022626C">
        <w:rPr>
          <w:color w:val="3B3B3C" w:themeColor="text1"/>
          <w:sz w:val="21"/>
          <w:szCs w:val="21"/>
        </w:rPr>
        <w:t>(</w:t>
      </w:r>
      <w:r w:rsidRPr="0CB71AAA">
        <w:rPr>
          <w:color w:val="3B3B3C" w:themeColor="text1"/>
          <w:sz w:val="21"/>
          <w:szCs w:val="21"/>
        </w:rPr>
        <w:t>2) AMR surveillance</w:t>
      </w:r>
      <w:r w:rsidR="0022626C">
        <w:rPr>
          <w:color w:val="3B3B3C" w:themeColor="text1"/>
          <w:sz w:val="21"/>
          <w:szCs w:val="21"/>
        </w:rPr>
        <w:t>;</w:t>
      </w:r>
      <w:r w:rsidRPr="0CB71AAA">
        <w:rPr>
          <w:color w:val="3B3B3C" w:themeColor="text1"/>
          <w:sz w:val="21"/>
          <w:szCs w:val="21"/>
        </w:rPr>
        <w:t xml:space="preserve"> and </w:t>
      </w:r>
      <w:r w:rsidR="0022626C">
        <w:rPr>
          <w:color w:val="3B3B3C" w:themeColor="text1"/>
          <w:sz w:val="21"/>
          <w:szCs w:val="21"/>
        </w:rPr>
        <w:t>(</w:t>
      </w:r>
      <w:r w:rsidRPr="0CB71AAA">
        <w:rPr>
          <w:color w:val="3B3B3C" w:themeColor="text1"/>
          <w:sz w:val="21"/>
          <w:szCs w:val="21"/>
        </w:rPr>
        <w:t xml:space="preserve">3) the use of AMR data for policy change. </w:t>
      </w:r>
      <w:r w:rsidRPr="0CB71AAA">
        <w:rPr>
          <w:rStyle w:val="cf01"/>
          <w:rFonts w:asciiTheme="minorHAnsi" w:hAnsiTheme="minorHAnsi" w:cstheme="minorBidi"/>
          <w:color w:val="3B3B3C" w:themeColor="text1"/>
          <w:sz w:val="21"/>
          <w:szCs w:val="21"/>
        </w:rPr>
        <w:t xml:space="preserve">Host Institutions (HIs) </w:t>
      </w:r>
      <w:r w:rsidRPr="007D2135">
        <w:rPr>
          <w:rStyle w:val="ItadNormalTextChar"/>
          <w:rFonts w:asciiTheme="minorHAnsi" w:hAnsiTheme="minorHAnsi" w:cstheme="minorHAnsi"/>
          <w:sz w:val="21"/>
          <w:szCs w:val="21"/>
        </w:rPr>
        <w:t xml:space="preserve">provide long-term mentorship and career enhancement </w:t>
      </w:r>
      <w:r w:rsidR="0022626C">
        <w:rPr>
          <w:rStyle w:val="ItadNormalTextChar"/>
          <w:rFonts w:asciiTheme="minorHAnsi" w:hAnsiTheme="minorHAnsi" w:cstheme="minorHAnsi"/>
          <w:sz w:val="21"/>
          <w:szCs w:val="21"/>
        </w:rPr>
        <w:t>for</w:t>
      </w:r>
      <w:r w:rsidR="0022626C" w:rsidRPr="007D2135">
        <w:rPr>
          <w:rStyle w:val="ItadNormalTextChar"/>
          <w:rFonts w:asciiTheme="minorHAnsi" w:hAnsiTheme="minorHAnsi" w:cstheme="minorHAnsi"/>
          <w:sz w:val="21"/>
          <w:szCs w:val="21"/>
        </w:rPr>
        <w:t xml:space="preserve"> </w:t>
      </w:r>
      <w:r w:rsidRPr="007D2135">
        <w:rPr>
          <w:rStyle w:val="ItadNormalTextChar"/>
          <w:rFonts w:asciiTheme="minorHAnsi" w:hAnsiTheme="minorHAnsi" w:cstheme="minorHAnsi"/>
          <w:sz w:val="21"/>
          <w:szCs w:val="21"/>
        </w:rPr>
        <w:t xml:space="preserve">four to eight </w:t>
      </w:r>
      <w:r w:rsidR="00AA6A7B" w:rsidRPr="007D2135">
        <w:rPr>
          <w:rStyle w:val="ItadNormalTextChar"/>
          <w:rFonts w:asciiTheme="minorHAnsi" w:hAnsiTheme="minorHAnsi" w:cstheme="minorHAnsi"/>
          <w:sz w:val="21"/>
          <w:szCs w:val="21"/>
        </w:rPr>
        <w:t>Fellows</w:t>
      </w:r>
      <w:r w:rsidRPr="007D2135">
        <w:rPr>
          <w:rStyle w:val="ItadNormalTextChar"/>
          <w:rFonts w:asciiTheme="minorHAnsi" w:hAnsiTheme="minorHAnsi" w:cstheme="minorHAnsi"/>
          <w:sz w:val="21"/>
          <w:szCs w:val="21"/>
        </w:rPr>
        <w:t xml:space="preserve"> per country, with an initial focus on microbiology and epidemiology on relevant technical capabilities. The </w:t>
      </w:r>
      <w:r w:rsidR="00AA6A7B" w:rsidRPr="007D2135">
        <w:rPr>
          <w:rStyle w:val="ItadNormalTextChar"/>
          <w:rFonts w:asciiTheme="minorHAnsi" w:hAnsiTheme="minorHAnsi" w:cstheme="minorHAnsi"/>
          <w:sz w:val="21"/>
          <w:szCs w:val="21"/>
        </w:rPr>
        <w:t>scheme</w:t>
      </w:r>
      <w:r w:rsidRPr="007D2135">
        <w:rPr>
          <w:rStyle w:val="ItadNormalTextChar"/>
          <w:rFonts w:asciiTheme="minorHAnsi" w:hAnsiTheme="minorHAnsi" w:cstheme="minorHAnsi"/>
          <w:sz w:val="21"/>
          <w:szCs w:val="21"/>
        </w:rPr>
        <w:t xml:space="preserve"> was managed by the MA</w:t>
      </w:r>
      <w:r w:rsidR="00AA6A7B" w:rsidRPr="007D2135">
        <w:rPr>
          <w:rStyle w:val="ItadNormalTextChar"/>
          <w:rFonts w:asciiTheme="minorHAnsi" w:hAnsiTheme="minorHAnsi" w:cstheme="minorHAnsi"/>
          <w:sz w:val="21"/>
          <w:szCs w:val="21"/>
        </w:rPr>
        <w:t>’</w:t>
      </w:r>
      <w:r w:rsidRPr="007D2135">
        <w:rPr>
          <w:rStyle w:val="ItadNormalTextChar"/>
          <w:rFonts w:asciiTheme="minorHAnsi" w:hAnsiTheme="minorHAnsi" w:cstheme="minorHAnsi"/>
          <w:sz w:val="21"/>
          <w:szCs w:val="21"/>
        </w:rPr>
        <w:t xml:space="preserve">s team in London, with support from Fellowship officers in each regional office. More detail on Fellows implementation can be found in sections </w:t>
      </w:r>
      <w:r w:rsidR="00774B95" w:rsidRPr="007D2135">
        <w:rPr>
          <w:rStyle w:val="ItadNormalTextChar"/>
          <w:rFonts w:asciiTheme="minorHAnsi" w:hAnsiTheme="minorHAnsi" w:cstheme="minorHAnsi"/>
          <w:sz w:val="21"/>
          <w:szCs w:val="21"/>
        </w:rPr>
        <w:fldChar w:fldCharType="begin"/>
      </w:r>
      <w:r w:rsidR="00774B95" w:rsidRPr="007D2135">
        <w:rPr>
          <w:rStyle w:val="ItadNormalTextChar"/>
          <w:rFonts w:asciiTheme="minorHAnsi" w:hAnsiTheme="minorHAnsi" w:cstheme="minorHAnsi"/>
          <w:sz w:val="21"/>
          <w:szCs w:val="21"/>
        </w:rPr>
        <w:instrText xml:space="preserve"> REF _Ref129088800 \r \h </w:instrText>
      </w:r>
      <w:r w:rsidR="00FC2504" w:rsidRPr="007D2135">
        <w:rPr>
          <w:rStyle w:val="ItadNormalTextChar"/>
          <w:rFonts w:asciiTheme="minorHAnsi" w:hAnsiTheme="minorHAnsi" w:cstheme="minorHAnsi"/>
          <w:sz w:val="21"/>
          <w:szCs w:val="21"/>
        </w:rPr>
        <w:instrText xml:space="preserve"> \* MERGEFORMAT </w:instrText>
      </w:r>
      <w:r w:rsidR="00774B95" w:rsidRPr="007D2135">
        <w:rPr>
          <w:rStyle w:val="ItadNormalTextChar"/>
          <w:rFonts w:asciiTheme="minorHAnsi" w:hAnsiTheme="minorHAnsi" w:cstheme="minorHAnsi"/>
          <w:sz w:val="21"/>
          <w:szCs w:val="21"/>
        </w:rPr>
      </w:r>
      <w:r w:rsidR="00774B95" w:rsidRPr="007D2135">
        <w:rPr>
          <w:rStyle w:val="ItadNormalTextChar"/>
          <w:rFonts w:asciiTheme="minorHAnsi" w:hAnsiTheme="minorHAnsi" w:cstheme="minorHAnsi"/>
          <w:sz w:val="21"/>
          <w:szCs w:val="21"/>
        </w:rPr>
        <w:fldChar w:fldCharType="separate"/>
      </w:r>
      <w:r w:rsidRPr="007D2135">
        <w:rPr>
          <w:rStyle w:val="ItadNormalTextChar"/>
          <w:rFonts w:asciiTheme="minorHAnsi" w:hAnsiTheme="minorHAnsi" w:cstheme="minorHAnsi"/>
          <w:sz w:val="21"/>
          <w:szCs w:val="21"/>
        </w:rPr>
        <w:t>2.1.</w:t>
      </w:r>
      <w:r w:rsidR="00774B95" w:rsidRPr="007D2135">
        <w:rPr>
          <w:rStyle w:val="ItadNormalTextChar"/>
          <w:rFonts w:asciiTheme="minorHAnsi" w:hAnsiTheme="minorHAnsi" w:cstheme="minorHAnsi"/>
          <w:sz w:val="21"/>
          <w:szCs w:val="21"/>
        </w:rPr>
        <w:fldChar w:fldCharType="end"/>
      </w:r>
      <w:r w:rsidRPr="007D2135">
        <w:rPr>
          <w:rStyle w:val="ItadNormalTextChar"/>
          <w:rFonts w:asciiTheme="minorHAnsi" w:hAnsiTheme="minorHAnsi" w:cstheme="minorHAnsi"/>
          <w:sz w:val="21"/>
          <w:szCs w:val="21"/>
        </w:rPr>
        <w:t xml:space="preserve"> </w:t>
      </w:r>
      <w:r w:rsidR="00774B95" w:rsidRPr="007D2135">
        <w:rPr>
          <w:rStyle w:val="ItadNormalTextChar"/>
          <w:rFonts w:asciiTheme="minorHAnsi" w:hAnsiTheme="minorHAnsi" w:cstheme="minorHAnsi"/>
          <w:sz w:val="21"/>
          <w:szCs w:val="21"/>
        </w:rPr>
        <w:fldChar w:fldCharType="begin"/>
      </w:r>
      <w:r w:rsidR="00774B95" w:rsidRPr="007D2135">
        <w:rPr>
          <w:rStyle w:val="ItadNormalTextChar"/>
          <w:rFonts w:asciiTheme="minorHAnsi" w:hAnsiTheme="minorHAnsi" w:cstheme="minorHAnsi"/>
          <w:sz w:val="21"/>
          <w:szCs w:val="21"/>
        </w:rPr>
        <w:instrText xml:space="preserve"> REF _Ref128750599 \r \h </w:instrText>
      </w:r>
      <w:r w:rsidR="00FC2504" w:rsidRPr="007D2135">
        <w:rPr>
          <w:rStyle w:val="ItadNormalTextChar"/>
          <w:rFonts w:asciiTheme="minorHAnsi" w:hAnsiTheme="minorHAnsi" w:cstheme="minorHAnsi"/>
          <w:sz w:val="21"/>
          <w:szCs w:val="21"/>
        </w:rPr>
        <w:instrText xml:space="preserve"> \* MERGEFORMAT </w:instrText>
      </w:r>
      <w:r w:rsidR="00774B95" w:rsidRPr="007D2135">
        <w:rPr>
          <w:rStyle w:val="ItadNormalTextChar"/>
          <w:rFonts w:asciiTheme="minorHAnsi" w:hAnsiTheme="minorHAnsi" w:cstheme="minorHAnsi"/>
          <w:sz w:val="21"/>
          <w:szCs w:val="21"/>
        </w:rPr>
      </w:r>
      <w:r w:rsidR="00774B95" w:rsidRPr="007D2135">
        <w:rPr>
          <w:rStyle w:val="ItadNormalTextChar"/>
          <w:rFonts w:asciiTheme="minorHAnsi" w:hAnsiTheme="minorHAnsi" w:cstheme="minorHAnsi"/>
          <w:sz w:val="21"/>
          <w:szCs w:val="21"/>
        </w:rPr>
        <w:fldChar w:fldCharType="separate"/>
      </w:r>
      <w:r w:rsidRPr="007D2135">
        <w:rPr>
          <w:rStyle w:val="ItadNormalTextChar"/>
          <w:rFonts w:asciiTheme="minorHAnsi" w:hAnsiTheme="minorHAnsi" w:cstheme="minorHAnsi"/>
          <w:sz w:val="21"/>
          <w:szCs w:val="21"/>
        </w:rPr>
        <w:t>2.2</w:t>
      </w:r>
      <w:r w:rsidR="00774B95" w:rsidRPr="007D2135">
        <w:rPr>
          <w:rStyle w:val="ItadNormalTextChar"/>
          <w:rFonts w:asciiTheme="minorHAnsi" w:hAnsiTheme="minorHAnsi" w:cstheme="minorHAnsi"/>
          <w:sz w:val="21"/>
          <w:szCs w:val="21"/>
        </w:rPr>
        <w:fldChar w:fldCharType="end"/>
      </w:r>
      <w:r w:rsidRPr="007D2135">
        <w:rPr>
          <w:rStyle w:val="ItadNormalTextChar"/>
          <w:rFonts w:asciiTheme="minorHAnsi" w:hAnsiTheme="minorHAnsi" w:cstheme="minorHAnsi"/>
          <w:sz w:val="21"/>
          <w:szCs w:val="21"/>
        </w:rPr>
        <w:t xml:space="preserve"> and </w:t>
      </w:r>
      <w:r w:rsidR="00774B95" w:rsidRPr="007D2135">
        <w:rPr>
          <w:rStyle w:val="ItadNormalTextChar"/>
          <w:rFonts w:asciiTheme="minorHAnsi" w:hAnsiTheme="minorHAnsi" w:cstheme="minorHAnsi"/>
          <w:sz w:val="21"/>
          <w:szCs w:val="21"/>
        </w:rPr>
        <w:fldChar w:fldCharType="begin"/>
      </w:r>
      <w:r w:rsidR="00774B95" w:rsidRPr="007D2135">
        <w:rPr>
          <w:rStyle w:val="ItadNormalTextChar"/>
          <w:rFonts w:asciiTheme="minorHAnsi" w:hAnsiTheme="minorHAnsi" w:cstheme="minorHAnsi"/>
          <w:sz w:val="21"/>
          <w:szCs w:val="21"/>
        </w:rPr>
        <w:instrText xml:space="preserve"> REF _Ref129083757 \r \h </w:instrText>
      </w:r>
      <w:r w:rsidR="00FC2504" w:rsidRPr="007D2135">
        <w:rPr>
          <w:rStyle w:val="ItadNormalTextChar"/>
          <w:rFonts w:asciiTheme="minorHAnsi" w:hAnsiTheme="minorHAnsi" w:cstheme="minorHAnsi"/>
          <w:sz w:val="21"/>
          <w:szCs w:val="21"/>
        </w:rPr>
        <w:instrText xml:space="preserve"> \* MERGEFORMAT </w:instrText>
      </w:r>
      <w:r w:rsidR="00774B95" w:rsidRPr="007D2135">
        <w:rPr>
          <w:rStyle w:val="ItadNormalTextChar"/>
          <w:rFonts w:asciiTheme="minorHAnsi" w:hAnsiTheme="minorHAnsi" w:cstheme="minorHAnsi"/>
          <w:sz w:val="21"/>
          <w:szCs w:val="21"/>
        </w:rPr>
      </w:r>
      <w:r w:rsidR="00774B95" w:rsidRPr="007D2135">
        <w:rPr>
          <w:rStyle w:val="ItadNormalTextChar"/>
          <w:rFonts w:asciiTheme="minorHAnsi" w:hAnsiTheme="minorHAnsi" w:cstheme="minorHAnsi"/>
          <w:sz w:val="21"/>
          <w:szCs w:val="21"/>
        </w:rPr>
        <w:fldChar w:fldCharType="separate"/>
      </w:r>
      <w:r w:rsidRPr="007D2135">
        <w:rPr>
          <w:rStyle w:val="ItadNormalTextChar"/>
          <w:rFonts w:asciiTheme="minorHAnsi" w:hAnsiTheme="minorHAnsi" w:cstheme="minorHAnsi"/>
          <w:sz w:val="21"/>
          <w:szCs w:val="21"/>
        </w:rPr>
        <w:t>2.3</w:t>
      </w:r>
      <w:r w:rsidR="00774B95" w:rsidRPr="007D2135">
        <w:rPr>
          <w:rStyle w:val="ItadNormalTextChar"/>
          <w:rFonts w:asciiTheme="minorHAnsi" w:hAnsiTheme="minorHAnsi" w:cstheme="minorHAnsi"/>
          <w:sz w:val="21"/>
          <w:szCs w:val="21"/>
        </w:rPr>
        <w:fldChar w:fldCharType="end"/>
      </w:r>
      <w:r w:rsidRPr="00FC2504">
        <w:rPr>
          <w:rStyle w:val="cf01"/>
          <w:rFonts w:asciiTheme="minorHAnsi" w:hAnsiTheme="minorHAnsi" w:cstheme="minorHAnsi"/>
          <w:color w:val="3B3B3C" w:themeColor="text1"/>
          <w:sz w:val="21"/>
          <w:szCs w:val="21"/>
        </w:rPr>
        <w:t>.</w:t>
      </w:r>
    </w:p>
    <w:p w14:paraId="5E4FA25A" w14:textId="0F8AE55C" w:rsidR="00774B95" w:rsidRPr="00774B95" w:rsidRDefault="54C4238E" w:rsidP="00E15AD1">
      <w:pPr>
        <w:pStyle w:val="ListParagraph"/>
        <w:numPr>
          <w:ilvl w:val="0"/>
          <w:numId w:val="13"/>
        </w:numPr>
        <w:shd w:val="clear" w:color="auto" w:fill="F9E2D5" w:themeFill="accent2" w:themeFillTint="33"/>
        <w:spacing w:after="120"/>
        <w:ind w:left="357" w:hanging="357"/>
        <w:rPr>
          <w:rStyle w:val="cf01"/>
          <w:rFonts w:asciiTheme="minorHAnsi" w:hAnsiTheme="minorHAnsi" w:cstheme="minorBidi"/>
          <w:color w:val="3B3B3C" w:themeColor="text1"/>
          <w:sz w:val="21"/>
          <w:szCs w:val="21"/>
        </w:rPr>
      </w:pPr>
      <w:r w:rsidRPr="00FC2504">
        <w:rPr>
          <w:rFonts w:cstheme="minorHAnsi"/>
          <w:b/>
          <w:bCs/>
          <w:color w:val="3B3B3C" w:themeColor="text1"/>
          <w:sz w:val="21"/>
          <w:szCs w:val="21"/>
        </w:rPr>
        <w:t xml:space="preserve">Regional </w:t>
      </w:r>
      <w:r w:rsidR="00FA29A2" w:rsidRPr="00FC2504">
        <w:rPr>
          <w:rFonts w:cstheme="minorHAnsi"/>
          <w:b/>
          <w:bCs/>
          <w:color w:val="3B3B3C" w:themeColor="text1"/>
          <w:sz w:val="21"/>
          <w:szCs w:val="21"/>
        </w:rPr>
        <w:t xml:space="preserve">Grants </w:t>
      </w:r>
      <w:r w:rsidRPr="00FC2504">
        <w:rPr>
          <w:rFonts w:cstheme="minorHAnsi"/>
          <w:b/>
          <w:bCs/>
          <w:color w:val="3B3B3C" w:themeColor="text1"/>
          <w:sz w:val="21"/>
          <w:szCs w:val="21"/>
        </w:rPr>
        <w:t>(RGs)</w:t>
      </w:r>
      <w:r w:rsidRPr="00FC2504">
        <w:rPr>
          <w:rFonts w:cstheme="minorHAnsi"/>
          <w:color w:val="3B3B3C" w:themeColor="text1"/>
          <w:sz w:val="21"/>
          <w:szCs w:val="21"/>
        </w:rPr>
        <w:t xml:space="preserve"> were designed to support </w:t>
      </w:r>
      <w:r w:rsidRPr="0CB71AAA">
        <w:rPr>
          <w:color w:val="3B3B3C" w:themeColor="text1"/>
          <w:sz w:val="21"/>
          <w:szCs w:val="21"/>
        </w:rPr>
        <w:t xml:space="preserve">regional One Health approaches to the improved surveillance of AMR. A first round of RGs focused on the retrospective collection of data. Round two focused on a range of thematic issues including external quality assurance (EQA), common protocols, specialised training in epidemiology and microbiology, the use of data for policy, barriers to procurement, and </w:t>
      </w:r>
      <w:r w:rsidR="00AA6A7B">
        <w:rPr>
          <w:color w:val="3B3B3C" w:themeColor="text1"/>
          <w:sz w:val="21"/>
          <w:szCs w:val="21"/>
        </w:rPr>
        <w:t>whole genome sequencing</w:t>
      </w:r>
      <w:r w:rsidRPr="0CB71AAA">
        <w:rPr>
          <w:color w:val="3B3B3C" w:themeColor="text1"/>
          <w:sz w:val="21"/>
          <w:szCs w:val="21"/>
        </w:rPr>
        <w:t>. The RGs were managed by the MA</w:t>
      </w:r>
      <w:r w:rsidR="00AA6A7B">
        <w:rPr>
          <w:color w:val="3B3B3C" w:themeColor="text1"/>
          <w:sz w:val="21"/>
          <w:szCs w:val="21"/>
        </w:rPr>
        <w:t>’</w:t>
      </w:r>
      <w:r w:rsidRPr="0CB71AAA">
        <w:rPr>
          <w:color w:val="3B3B3C" w:themeColor="text1"/>
          <w:sz w:val="21"/>
          <w:szCs w:val="21"/>
        </w:rPr>
        <w:t xml:space="preserve">s team in London. The contribution of RGs was not simple to identify at the country level, partly due to the short (about two years) duration of RGs – there has been limited time to demonstrate progress at the country level; and to the timing of our data collection, e.g. it is clear that work undertaken through the </w:t>
      </w:r>
      <w:r w:rsidR="00F66506" w:rsidRPr="00F66506">
        <w:rPr>
          <w:color w:val="3B3B3C" w:themeColor="text1"/>
          <w:sz w:val="21"/>
          <w:szCs w:val="21"/>
        </w:rPr>
        <w:t xml:space="preserve">Capturing Data on AMR Patterns and Trends in Use in Regions of Asia </w:t>
      </w:r>
      <w:r w:rsidR="00F66506">
        <w:rPr>
          <w:color w:val="3B3B3C" w:themeColor="text1"/>
          <w:sz w:val="21"/>
          <w:szCs w:val="21"/>
        </w:rPr>
        <w:t>(</w:t>
      </w:r>
      <w:r w:rsidRPr="0CB71AAA">
        <w:rPr>
          <w:color w:val="3B3B3C" w:themeColor="text1"/>
          <w:sz w:val="21"/>
          <w:szCs w:val="21"/>
        </w:rPr>
        <w:t>CAPTURA</w:t>
      </w:r>
      <w:r w:rsidR="00F66506">
        <w:rPr>
          <w:color w:val="3B3B3C" w:themeColor="text1"/>
          <w:sz w:val="21"/>
          <w:szCs w:val="21"/>
        </w:rPr>
        <w:t>)</w:t>
      </w:r>
      <w:r w:rsidRPr="0CB71AAA">
        <w:rPr>
          <w:color w:val="3B3B3C" w:themeColor="text1"/>
          <w:sz w:val="21"/>
          <w:szCs w:val="21"/>
        </w:rPr>
        <w:t xml:space="preserve"> and MAAP RGs has potential for use by policymakers at the country level</w:t>
      </w:r>
      <w:r w:rsidR="00103A03">
        <w:rPr>
          <w:color w:val="3B3B3C" w:themeColor="text1"/>
          <w:sz w:val="21"/>
          <w:szCs w:val="21"/>
        </w:rPr>
        <w:t>.</w:t>
      </w:r>
      <w:r w:rsidRPr="0CB71AAA">
        <w:rPr>
          <w:color w:val="3B3B3C" w:themeColor="text1"/>
          <w:sz w:val="21"/>
          <w:szCs w:val="21"/>
        </w:rPr>
        <w:t xml:space="preserve"> </w:t>
      </w:r>
      <w:r w:rsidR="00103A03">
        <w:rPr>
          <w:color w:val="3B3B3C" w:themeColor="text1"/>
          <w:sz w:val="21"/>
          <w:szCs w:val="21"/>
        </w:rPr>
        <w:t>However,</w:t>
      </w:r>
      <w:r w:rsidRPr="0CB71AAA">
        <w:rPr>
          <w:color w:val="3B3B3C" w:themeColor="text1"/>
          <w:sz w:val="21"/>
          <w:szCs w:val="21"/>
        </w:rPr>
        <w:t xml:space="preserve"> final country-specific reports from both grants were still being finalised which likely constrained informants</w:t>
      </w:r>
      <w:r w:rsidR="00AA6A7B">
        <w:rPr>
          <w:color w:val="3B3B3C" w:themeColor="text1"/>
          <w:sz w:val="21"/>
          <w:szCs w:val="21"/>
        </w:rPr>
        <w:t>’</w:t>
      </w:r>
      <w:r w:rsidRPr="0CB71AAA">
        <w:rPr>
          <w:color w:val="3B3B3C" w:themeColor="text1"/>
          <w:sz w:val="21"/>
          <w:szCs w:val="21"/>
        </w:rPr>
        <w:t xml:space="preserve"> ability to refer to this work.</w:t>
      </w:r>
    </w:p>
    <w:p w14:paraId="7214A628" w14:textId="5E8DA2CF" w:rsidR="00774B95" w:rsidRPr="00774B95" w:rsidRDefault="54C4238E" w:rsidP="00E15AD1">
      <w:pPr>
        <w:pStyle w:val="ListParagraph"/>
        <w:numPr>
          <w:ilvl w:val="0"/>
          <w:numId w:val="13"/>
        </w:numPr>
        <w:shd w:val="clear" w:color="auto" w:fill="F9E2D5" w:themeFill="accent2" w:themeFillTint="33"/>
        <w:spacing w:after="120"/>
        <w:ind w:left="357" w:hanging="357"/>
        <w:rPr>
          <w:rFonts w:eastAsia="Times New Roman"/>
          <w:b/>
          <w:bCs/>
          <w:color w:val="3B3B3C" w:themeColor="text1"/>
          <w:lang w:eastAsia="en-GB"/>
        </w:rPr>
      </w:pPr>
      <w:r w:rsidRPr="0CB71AAA">
        <w:rPr>
          <w:b/>
          <w:bCs/>
          <w:color w:val="3B3B3C" w:themeColor="text1"/>
          <w:sz w:val="21"/>
          <w:szCs w:val="21"/>
        </w:rPr>
        <w:t xml:space="preserve">Strategic </w:t>
      </w:r>
      <w:r w:rsidR="007832E3" w:rsidRPr="0CB71AAA">
        <w:rPr>
          <w:b/>
          <w:bCs/>
          <w:color w:val="3B3B3C" w:themeColor="text1"/>
          <w:sz w:val="21"/>
          <w:szCs w:val="21"/>
        </w:rPr>
        <w:t>alignment g</w:t>
      </w:r>
      <w:r w:rsidRPr="0CB71AAA">
        <w:rPr>
          <w:b/>
          <w:bCs/>
          <w:color w:val="3B3B3C" w:themeColor="text1"/>
          <w:sz w:val="21"/>
          <w:szCs w:val="21"/>
        </w:rPr>
        <w:t xml:space="preserve">rants: </w:t>
      </w:r>
      <w:r w:rsidRPr="0CB71AAA">
        <w:rPr>
          <w:color w:val="3B3B3C" w:themeColor="text1"/>
          <w:sz w:val="21"/>
          <w:szCs w:val="21"/>
        </w:rPr>
        <w:t>the strategic alignment grants are intended to provide synergistic funding which furthers the objectives of the Fleming Fund in producing high-quality data; and to interact and collaborate with other funding partners to enhance investments in AMR surveillance and control. Three grants started implementation in late 2021/early 2022</w:t>
      </w:r>
      <w:r w:rsidR="00103A03">
        <w:rPr>
          <w:color w:val="3B3B3C" w:themeColor="text1"/>
          <w:sz w:val="21"/>
          <w:szCs w:val="21"/>
        </w:rPr>
        <w:t>:</w:t>
      </w:r>
      <w:r w:rsidRPr="0CB71AAA">
        <w:rPr>
          <w:color w:val="3B3B3C" w:themeColor="text1"/>
          <w:sz w:val="21"/>
          <w:szCs w:val="21"/>
        </w:rPr>
        <w:t xml:space="preserve"> </w:t>
      </w:r>
      <w:r w:rsidR="00103A03">
        <w:rPr>
          <w:color w:val="3B3B3C" w:themeColor="text1"/>
          <w:sz w:val="21"/>
          <w:szCs w:val="21"/>
        </w:rPr>
        <w:t>(</w:t>
      </w:r>
      <w:r w:rsidRPr="0CB71AAA">
        <w:rPr>
          <w:color w:val="3B3B3C" w:themeColor="text1"/>
          <w:sz w:val="21"/>
          <w:szCs w:val="21"/>
        </w:rPr>
        <w:t>1) to support countries</w:t>
      </w:r>
      <w:r w:rsidR="00AA6A7B">
        <w:rPr>
          <w:color w:val="3B3B3C" w:themeColor="text1"/>
          <w:sz w:val="21"/>
          <w:szCs w:val="21"/>
        </w:rPr>
        <w:t>’</w:t>
      </w:r>
      <w:r w:rsidRPr="0CB71AAA">
        <w:rPr>
          <w:color w:val="3B3B3C" w:themeColor="text1"/>
          <w:sz w:val="21"/>
          <w:szCs w:val="21"/>
        </w:rPr>
        <w:t xml:space="preserve"> use of WHONET software to manage laboratory microbiology data and analysis; </w:t>
      </w:r>
      <w:r w:rsidR="00103A03">
        <w:rPr>
          <w:color w:val="3B3B3C" w:themeColor="text1"/>
          <w:sz w:val="21"/>
          <w:szCs w:val="21"/>
        </w:rPr>
        <w:t>(</w:t>
      </w:r>
      <w:r w:rsidRPr="0CB71AAA">
        <w:rPr>
          <w:color w:val="3B3B3C" w:themeColor="text1"/>
          <w:sz w:val="21"/>
          <w:szCs w:val="21"/>
        </w:rPr>
        <w:t xml:space="preserve">2) to support the Foundation for Innovative New Diagnostics (FIND) to enhance common quality approaches to laboratory quality management systems; and </w:t>
      </w:r>
      <w:r w:rsidR="00103A03">
        <w:rPr>
          <w:color w:val="3B3B3C" w:themeColor="text1"/>
          <w:sz w:val="21"/>
          <w:szCs w:val="21"/>
        </w:rPr>
        <w:t>(</w:t>
      </w:r>
      <w:r w:rsidRPr="0CB71AAA">
        <w:rPr>
          <w:color w:val="3B3B3C" w:themeColor="text1"/>
          <w:sz w:val="21"/>
          <w:szCs w:val="21"/>
        </w:rPr>
        <w:t>3) to support the Commonwealth Pharmaceutical Association to provide assistance with AMU surveillance and use of surveillance data to improve antimicrobial prescribing. Given the recent start of these grants, limited evidence on their contribution is available by the data collection cut-off in mid-2022.</w:t>
      </w:r>
    </w:p>
    <w:p w14:paraId="357917BE" w14:textId="5CD2A08D" w:rsidR="00774B95" w:rsidRPr="00774B95" w:rsidRDefault="424EEB0A" w:rsidP="4EF651D4">
      <w:pPr>
        <w:spacing w:before="240" w:after="120"/>
        <w:rPr>
          <w:rFonts w:eastAsia="Times New Roman" w:cstheme="minorBidi"/>
          <w:color w:val="3B3B3C" w:themeColor="text1"/>
          <w:lang w:eastAsia="en-GB"/>
        </w:rPr>
      </w:pPr>
      <w:r w:rsidRPr="4EF651D4">
        <w:rPr>
          <w:rFonts w:eastAsia="Times New Roman" w:cstheme="minorBidi"/>
          <w:b/>
          <w:bCs/>
          <w:color w:val="3B3B3C" w:themeColor="text1"/>
          <w:lang w:eastAsia="en-GB"/>
        </w:rPr>
        <w:t xml:space="preserve">Implementation of the CGs and Fleming Fellowships portfolio was designed to be staggered, with some countries receiving less support than others by the end of phase 1. RGs were managed separately from CGs, intended to be implemented separately (with no co-dependencies), and not staggered to the same extent. </w:t>
      </w:r>
      <w:r w:rsidRPr="4EF651D4">
        <w:rPr>
          <w:rFonts w:eastAsia="Times New Roman" w:cstheme="minorBidi"/>
          <w:color w:val="3B3B3C" w:themeColor="text1"/>
          <w:lang w:eastAsia="en-GB"/>
        </w:rPr>
        <w:t xml:space="preserve">The duration of CGs differed across countries, with the maximum time available </w:t>
      </w:r>
      <w:r w:rsidR="4C883F52" w:rsidRPr="4EF651D4">
        <w:rPr>
          <w:rFonts w:eastAsia="Times New Roman" w:cstheme="minorBidi"/>
          <w:color w:val="3B3B3C" w:themeColor="text1"/>
          <w:lang w:eastAsia="en-GB"/>
        </w:rPr>
        <w:t xml:space="preserve">about </w:t>
      </w:r>
      <w:r w:rsidRPr="4EF651D4">
        <w:rPr>
          <w:rFonts w:eastAsia="Times New Roman" w:cstheme="minorBidi"/>
          <w:color w:val="3B3B3C" w:themeColor="text1"/>
          <w:lang w:eastAsia="en-GB"/>
        </w:rPr>
        <w:t>48 months in early investment countries . An overview of CG implementation is set out in</w:t>
      </w:r>
      <w:r w:rsidR="4C883F52" w:rsidRPr="4EF651D4">
        <w:rPr>
          <w:rFonts w:eastAsia="Times New Roman" w:cstheme="minorBidi"/>
          <w:color w:val="3B3B3C" w:themeColor="text1"/>
          <w:lang w:eastAsia="en-GB"/>
        </w:rPr>
        <w:t xml:space="preserve"> </w:t>
      </w:r>
      <w:r w:rsidR="00103A03" w:rsidRPr="4EF651D4">
        <w:rPr>
          <w:rFonts w:eastAsia="Times New Roman" w:cstheme="minorBidi"/>
          <w:color w:val="3B3B3C" w:themeColor="text1"/>
          <w:lang w:eastAsia="en-GB"/>
        </w:rPr>
        <w:fldChar w:fldCharType="begin"/>
      </w:r>
      <w:r w:rsidR="00103A03" w:rsidRPr="4EF651D4">
        <w:rPr>
          <w:rFonts w:eastAsia="Times New Roman" w:cstheme="minorBidi"/>
          <w:color w:val="3B3B3C" w:themeColor="text1"/>
          <w:lang w:eastAsia="en-GB"/>
        </w:rPr>
        <w:instrText xml:space="preserve"> REF _Ref144028255 \h </w:instrText>
      </w:r>
      <w:r w:rsidR="00103A03" w:rsidRPr="4EF651D4">
        <w:rPr>
          <w:rFonts w:eastAsia="Times New Roman" w:cstheme="minorBidi"/>
          <w:color w:val="3B3B3C" w:themeColor="text1"/>
          <w:lang w:eastAsia="en-GB"/>
        </w:rPr>
      </w:r>
      <w:r w:rsidR="00103A03" w:rsidRPr="4EF651D4">
        <w:rPr>
          <w:rFonts w:eastAsia="Times New Roman" w:cstheme="minorBidi"/>
          <w:color w:val="3B3B3C" w:themeColor="text1"/>
          <w:lang w:eastAsia="en-GB"/>
        </w:rPr>
        <w:fldChar w:fldCharType="separate"/>
      </w:r>
      <w:r w:rsidR="5079E199">
        <w:t xml:space="preserve">Figure </w:t>
      </w:r>
      <w:r w:rsidR="5079E199">
        <w:rPr>
          <w:noProof/>
        </w:rPr>
        <w:t>6</w:t>
      </w:r>
      <w:r w:rsidR="00103A03" w:rsidRPr="4EF651D4">
        <w:rPr>
          <w:rFonts w:eastAsia="Times New Roman" w:cstheme="minorBidi"/>
          <w:color w:val="3B3B3C" w:themeColor="text1"/>
          <w:lang w:eastAsia="en-GB"/>
        </w:rPr>
        <w:fldChar w:fldCharType="end"/>
      </w:r>
      <w:r w:rsidRPr="4EF651D4">
        <w:rPr>
          <w:rFonts w:eastAsia="Times New Roman" w:cstheme="minorBidi"/>
          <w:color w:val="3B3B3C" w:themeColor="text1"/>
          <w:lang w:eastAsia="en-GB"/>
        </w:rPr>
        <w:t>. A similar implementation was planned for Fleming Fellowships; RGs were commissioned in two rounds (</w:t>
      </w:r>
      <w:r w:rsidR="009A7BD2" w:rsidRPr="4EF651D4">
        <w:rPr>
          <w:rFonts w:eastAsia="Times New Roman" w:cstheme="minorBidi"/>
          <w:color w:val="3B3B3C" w:themeColor="text1"/>
          <w:lang w:eastAsia="en-GB"/>
        </w:rPr>
        <w:fldChar w:fldCharType="begin"/>
      </w:r>
      <w:r w:rsidR="009A7BD2" w:rsidRPr="4EF651D4">
        <w:rPr>
          <w:rFonts w:eastAsia="Times New Roman" w:cstheme="minorBidi"/>
          <w:color w:val="3B3B3C" w:themeColor="text1"/>
          <w:lang w:eastAsia="en-GB"/>
        </w:rPr>
        <w:instrText xml:space="preserve"> REF _Ref144720944 \h </w:instrText>
      </w:r>
      <w:r w:rsidR="009A7BD2" w:rsidRPr="4EF651D4">
        <w:rPr>
          <w:rFonts w:eastAsia="Times New Roman" w:cstheme="minorBidi"/>
          <w:color w:val="3B3B3C" w:themeColor="text1"/>
          <w:lang w:eastAsia="en-GB"/>
        </w:rPr>
      </w:r>
      <w:r w:rsidR="009A7BD2" w:rsidRPr="4EF651D4">
        <w:rPr>
          <w:rFonts w:eastAsia="Times New Roman" w:cstheme="minorBidi"/>
          <w:color w:val="3B3B3C" w:themeColor="text1"/>
          <w:lang w:eastAsia="en-GB"/>
        </w:rPr>
        <w:fldChar w:fldCharType="separate"/>
      </w:r>
      <w:r w:rsidR="02EC70D0">
        <w:t xml:space="preserve">Box </w:t>
      </w:r>
      <w:r w:rsidR="02EC70D0">
        <w:rPr>
          <w:noProof/>
        </w:rPr>
        <w:t>2</w:t>
      </w:r>
      <w:r w:rsidR="009A7BD2" w:rsidRPr="4EF651D4">
        <w:rPr>
          <w:rFonts w:eastAsia="Times New Roman" w:cstheme="minorBidi"/>
          <w:color w:val="3B3B3C" w:themeColor="text1"/>
          <w:lang w:eastAsia="en-GB"/>
        </w:rPr>
        <w:fldChar w:fldCharType="end"/>
      </w:r>
      <w:r w:rsidR="00774B95" w:rsidRPr="4EF651D4">
        <w:rPr>
          <w:rFonts w:eastAsia="Times New Roman" w:cstheme="minorBidi"/>
          <w:color w:val="3B3B3C" w:themeColor="text1"/>
          <w:lang w:eastAsia="en-GB"/>
        </w:rPr>
        <w:fldChar w:fldCharType="begin"/>
      </w:r>
      <w:r w:rsidR="00774B95" w:rsidRPr="4EF651D4">
        <w:rPr>
          <w:rFonts w:eastAsia="Times New Roman" w:cstheme="minorBidi"/>
          <w:color w:val="3B3B3C" w:themeColor="text1"/>
          <w:lang w:eastAsia="en-GB"/>
        </w:rPr>
        <w:instrText xml:space="preserve"> REF _Ref129333486 \h </w:instrText>
      </w:r>
      <w:r w:rsidR="00103A03" w:rsidRPr="4EF651D4">
        <w:rPr>
          <w:rFonts w:eastAsia="Times New Roman" w:cstheme="minorBidi"/>
          <w:color w:val="3B3B3C" w:themeColor="text1"/>
          <w:lang w:eastAsia="en-GB"/>
        </w:rPr>
        <w:instrText xml:space="preserve"> \* MERGEFORMAT </w:instrText>
      </w:r>
      <w:r w:rsidR="00774B95" w:rsidRPr="4EF651D4">
        <w:rPr>
          <w:rFonts w:eastAsia="Times New Roman" w:cstheme="minorBidi"/>
          <w:color w:val="3B3B3C" w:themeColor="text1"/>
          <w:lang w:eastAsia="en-GB"/>
        </w:rPr>
      </w:r>
      <w:r w:rsidR="00B33BBD">
        <w:rPr>
          <w:rFonts w:eastAsia="Times New Roman" w:cstheme="minorBidi"/>
          <w:color w:val="3B3B3C" w:themeColor="text1"/>
          <w:lang w:eastAsia="en-GB"/>
        </w:rPr>
        <w:fldChar w:fldCharType="separate"/>
      </w:r>
      <w:r w:rsidR="00774B95" w:rsidRPr="4EF651D4">
        <w:rPr>
          <w:rFonts w:eastAsia="Times New Roman" w:cstheme="minorBidi"/>
          <w:color w:val="3B3B3C" w:themeColor="text1"/>
          <w:lang w:eastAsia="en-GB"/>
        </w:rPr>
        <w:fldChar w:fldCharType="end"/>
      </w:r>
      <w:r w:rsidRPr="4EF651D4">
        <w:rPr>
          <w:rFonts w:eastAsia="Times New Roman" w:cstheme="minorBidi"/>
          <w:color w:val="3B3B3C" w:themeColor="text1"/>
          <w:lang w:eastAsia="en-GB"/>
        </w:rPr>
        <w:t>), with challenges experienced in placing second-round RGs due to the timing of tenders and availability of qualified suppliers to deliver the specialised requirements.</w:t>
      </w:r>
    </w:p>
    <w:p w14:paraId="0514898B" w14:textId="7BEF9EE7" w:rsidR="00774B95" w:rsidRPr="00774B95" w:rsidRDefault="54C4238E" w:rsidP="0CB71AAA">
      <w:pPr>
        <w:spacing w:before="240" w:after="120"/>
      </w:pPr>
      <w:r>
        <w:rPr>
          <w:noProof/>
        </w:rPr>
        <w:lastRenderedPageBreak/>
        <w:drawing>
          <wp:inline distT="0" distB="0" distL="0" distR="0" wp14:anchorId="6EFE8789" wp14:editId="1E8ADBCE">
            <wp:extent cx="5721350" cy="2736850"/>
            <wp:effectExtent l="0" t="0" r="0" b="6350"/>
            <wp:docPr id="927764972" name="Picture 927764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26">
                      <a:extLst>
                        <a:ext uri="{28A0092B-C50C-407E-A947-70E740481C1C}">
                          <a14:useLocalDpi xmlns:a14="http://schemas.microsoft.com/office/drawing/2010/main" val="0"/>
                        </a:ext>
                      </a:extLst>
                    </a:blip>
                    <a:stretch>
                      <a:fillRect/>
                    </a:stretch>
                  </pic:blipFill>
                  <pic:spPr bwMode="auto">
                    <a:xfrm>
                      <a:off x="0" y="0"/>
                      <a:ext cx="5721350" cy="2736850"/>
                    </a:xfrm>
                    <a:prstGeom prst="rect">
                      <a:avLst/>
                    </a:prstGeom>
                    <a:noFill/>
                    <a:ln>
                      <a:noFill/>
                    </a:ln>
                  </pic:spPr>
                </pic:pic>
              </a:graphicData>
            </a:graphic>
          </wp:inline>
        </w:drawing>
      </w:r>
    </w:p>
    <w:p w14:paraId="6C919BFE" w14:textId="77777777" w:rsidR="00103A03" w:rsidRDefault="54C4238E" w:rsidP="00103A03">
      <w:pPr>
        <w:keepNext/>
        <w:spacing w:before="240" w:after="120"/>
        <w:jc w:val="center"/>
      </w:pPr>
      <w:r>
        <w:rPr>
          <w:noProof/>
        </w:rPr>
        <w:drawing>
          <wp:inline distT="0" distB="0" distL="0" distR="0" wp14:anchorId="01893023" wp14:editId="04021326">
            <wp:extent cx="5724525" cy="451235"/>
            <wp:effectExtent l="0" t="0" r="6350" b="5715"/>
            <wp:docPr id="196113169" name="Picture 19611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7">
                      <a:extLst>
                        <a:ext uri="{28A0092B-C50C-407E-A947-70E740481C1C}">
                          <a14:useLocalDpi xmlns:a14="http://schemas.microsoft.com/office/drawing/2010/main" val="0"/>
                        </a:ext>
                      </a:extLst>
                    </a:blip>
                    <a:stretch>
                      <a:fillRect/>
                    </a:stretch>
                  </pic:blipFill>
                  <pic:spPr>
                    <a:xfrm>
                      <a:off x="0" y="0"/>
                      <a:ext cx="5724525" cy="451235"/>
                    </a:xfrm>
                    <a:prstGeom prst="rect">
                      <a:avLst/>
                    </a:prstGeom>
                  </pic:spPr>
                </pic:pic>
              </a:graphicData>
            </a:graphic>
          </wp:inline>
        </w:drawing>
      </w:r>
    </w:p>
    <w:p w14:paraId="12EC2D32" w14:textId="06BF502E" w:rsidR="00774B95" w:rsidRPr="00774B95" w:rsidRDefault="00103A03" w:rsidP="002A22DA">
      <w:pPr>
        <w:pStyle w:val="ItadFigureCap"/>
      </w:pPr>
      <w:bookmarkStart w:id="112" w:name="_Ref144028255"/>
      <w:bookmarkStart w:id="113" w:name="_Toc144717848"/>
      <w:r>
        <w:t xml:space="preserve">Figure </w:t>
      </w:r>
      <w:r>
        <w:fldChar w:fldCharType="begin"/>
      </w:r>
      <w:r>
        <w:instrText>SEQ Figure \* ARABIC</w:instrText>
      </w:r>
      <w:r>
        <w:fldChar w:fldCharType="separate"/>
      </w:r>
      <w:r w:rsidR="00034AF8">
        <w:rPr>
          <w:noProof/>
        </w:rPr>
        <w:t>6</w:t>
      </w:r>
      <w:r>
        <w:fldChar w:fldCharType="end"/>
      </w:r>
      <w:bookmarkEnd w:id="112"/>
      <w:r>
        <w:t xml:space="preserve">: </w:t>
      </w:r>
      <w:r w:rsidRPr="002C3BD6">
        <w:t>Summary of CGs implementation</w:t>
      </w:r>
      <w:bookmarkEnd w:id="113"/>
    </w:p>
    <w:p w14:paraId="1B556343" w14:textId="699645CE" w:rsidR="00774B95" w:rsidRPr="00774B95" w:rsidRDefault="54C4238E" w:rsidP="00103A03">
      <w:pPr>
        <w:pStyle w:val="ItadNormalText"/>
      </w:pPr>
      <w:r w:rsidRPr="00103A03">
        <w:rPr>
          <w:rFonts w:eastAsia="Times New Roman" w:cstheme="minorBidi"/>
          <w:b/>
          <w:bCs/>
          <w:lang w:eastAsia="en-GB"/>
        </w:rPr>
        <w:t>The phase 1 implementation plan noted that the process of b</w:t>
      </w:r>
      <w:r w:rsidRPr="00103A03">
        <w:rPr>
          <w:b/>
          <w:bCs/>
        </w:rPr>
        <w:t>uilding a surveillance system is incremental, and data generation results were not expected before 36 months of support.</w:t>
      </w:r>
      <w:r w:rsidRPr="0CB71AAA">
        <w:t xml:space="preserve"> The initial 24 months of a typical Fleming Fund CG were expected </w:t>
      </w:r>
      <w:r w:rsidR="00103A03">
        <w:t>‘</w:t>
      </w:r>
      <w:r w:rsidRPr="0CB71AAA">
        <w:t xml:space="preserve">to focus on </w:t>
      </w:r>
      <w:r w:rsidRPr="0CB71AAA">
        <w:rPr>
          <w:i/>
          <w:iCs/>
        </w:rPr>
        <w:t xml:space="preserve">input and process </w:t>
      </w:r>
      <w:r w:rsidRPr="0CB71AAA">
        <w:t xml:space="preserve">activities (e.g. building systems) in order to be in a position to generate the </w:t>
      </w:r>
      <w:r w:rsidRPr="0CB71AAA">
        <w:rPr>
          <w:i/>
          <w:iCs/>
        </w:rPr>
        <w:t xml:space="preserve">outputs of quality-assured AMR and AMU surveillance data </w:t>
      </w:r>
      <w:r w:rsidRPr="0CB71AAA">
        <w:t>over 36</w:t>
      </w:r>
      <w:r w:rsidR="00103A03">
        <w:t>–</w:t>
      </w:r>
      <w:r w:rsidRPr="0CB71AAA">
        <w:t>48 months</w:t>
      </w:r>
      <w:r w:rsidR="00103A03">
        <w:t>’</w:t>
      </w:r>
      <w:r w:rsidRPr="0CB71AAA">
        <w:t>. Expectations for what would be achieved within phase 1 are set out in</w:t>
      </w:r>
      <w:r w:rsidR="007A322A">
        <w:rPr>
          <w:rStyle w:val="ItadNormalTextChar"/>
        </w:rPr>
        <w:t xml:space="preserve"> </w:t>
      </w:r>
      <w:r w:rsidR="007A322A">
        <w:rPr>
          <w:rStyle w:val="ItadNormalTextChar"/>
          <w:highlight w:val="yellow"/>
        </w:rPr>
        <w:fldChar w:fldCharType="begin"/>
      </w:r>
      <w:r w:rsidR="007A322A">
        <w:rPr>
          <w:rStyle w:val="ItadNormalTextChar"/>
        </w:rPr>
        <w:instrText xml:space="preserve"> REF _Ref144721924 \h </w:instrText>
      </w:r>
      <w:r w:rsidR="007A322A">
        <w:rPr>
          <w:rStyle w:val="ItadNormalTextChar"/>
          <w:highlight w:val="yellow"/>
        </w:rPr>
      </w:r>
      <w:r w:rsidR="007A322A">
        <w:rPr>
          <w:rStyle w:val="ItadNormalTextChar"/>
          <w:highlight w:val="yellow"/>
        </w:rPr>
        <w:fldChar w:fldCharType="separate"/>
      </w:r>
      <w:r w:rsidR="007A322A">
        <w:t xml:space="preserve">Table </w:t>
      </w:r>
      <w:r w:rsidR="007A322A">
        <w:rPr>
          <w:noProof/>
        </w:rPr>
        <w:t>1</w:t>
      </w:r>
      <w:r w:rsidR="007A322A">
        <w:rPr>
          <w:rStyle w:val="ItadNormalTextChar"/>
          <w:highlight w:val="yellow"/>
        </w:rPr>
        <w:fldChar w:fldCharType="end"/>
      </w:r>
      <w:r w:rsidRPr="003F5E68">
        <w:t>.</w:t>
      </w:r>
      <w:r w:rsidR="00774B95" w:rsidRPr="0CB71AAA">
        <w:rPr>
          <w:rStyle w:val="FootnoteReference"/>
          <w:color w:val="3B3B3C" w:themeColor="text1"/>
        </w:rPr>
        <w:footnoteReference w:id="39"/>
      </w:r>
      <w:r w:rsidRPr="0CB71AAA">
        <w:t xml:space="preserve"> Further stratification of expected results was made using the A-D categorisation described </w:t>
      </w:r>
      <w:r w:rsidR="00C95957">
        <w:t>above</w:t>
      </w:r>
      <w:r w:rsidRPr="0CB71AAA">
        <w:t>.</w:t>
      </w:r>
    </w:p>
    <w:p w14:paraId="0D8730CB" w14:textId="508520AC" w:rsidR="00774B95" w:rsidRPr="00774B95" w:rsidRDefault="54C4238E" w:rsidP="0CB71AAA">
      <w:pPr>
        <w:pStyle w:val="ItadCaption"/>
      </w:pPr>
      <w:bookmarkStart w:id="114" w:name="_Ref144721924"/>
      <w:bookmarkStart w:id="115" w:name="_Toc144722293"/>
      <w:r>
        <w:t xml:space="preserve">Table </w:t>
      </w:r>
      <w:r w:rsidR="00774B95">
        <w:fldChar w:fldCharType="begin"/>
      </w:r>
      <w:r w:rsidR="00774B95">
        <w:instrText>SEQ Table \* ARABIC</w:instrText>
      </w:r>
      <w:r w:rsidR="00774B95">
        <w:fldChar w:fldCharType="separate"/>
      </w:r>
      <w:r w:rsidR="00F62CD8">
        <w:rPr>
          <w:noProof/>
        </w:rPr>
        <w:t>1</w:t>
      </w:r>
      <w:r w:rsidR="00774B95">
        <w:fldChar w:fldCharType="end"/>
      </w:r>
      <w:bookmarkEnd w:id="114"/>
      <w:r w:rsidR="00103A03">
        <w:t>:</w:t>
      </w:r>
      <w:r>
        <w:t xml:space="preserve"> Targets from Fleming Fund phase 1 Implementation Plan</w:t>
      </w:r>
      <w:bookmarkEnd w:id="115"/>
    </w:p>
    <w:tbl>
      <w:tblPr>
        <w:tblStyle w:val="ItadGreenHeaderRow"/>
        <w:tblW w:w="0" w:type="auto"/>
        <w:tblLook w:val="04A0" w:firstRow="1" w:lastRow="0" w:firstColumn="1" w:lastColumn="0" w:noHBand="0" w:noVBand="1"/>
      </w:tblPr>
      <w:tblGrid>
        <w:gridCol w:w="4103"/>
        <w:gridCol w:w="1108"/>
        <w:gridCol w:w="1119"/>
        <w:gridCol w:w="977"/>
        <w:gridCol w:w="1647"/>
      </w:tblGrid>
      <w:tr w:rsidR="0CB71AAA" w14:paraId="2C6AD543" w14:textId="77777777" w:rsidTr="0CB71AAA">
        <w:trPr>
          <w:cnfStyle w:val="100000000000" w:firstRow="1" w:lastRow="0" w:firstColumn="0" w:lastColumn="0" w:oddVBand="0" w:evenVBand="0" w:oddHBand="0" w:evenHBand="0" w:firstRowFirstColumn="0" w:firstRowLastColumn="0" w:lastRowFirstColumn="0" w:lastRowLastColumn="0"/>
          <w:trHeight w:val="490"/>
        </w:trPr>
        <w:tc>
          <w:tcPr>
            <w:tcW w:w="4103" w:type="dxa"/>
            <w:vMerge w:val="restart"/>
            <w:shd w:val="clear" w:color="auto" w:fill="DCEAD6" w:themeFill="text2" w:themeFillTint="33"/>
          </w:tcPr>
          <w:p w14:paraId="3146D1AD"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val="en-US" w:eastAsia="en-GB"/>
              </w:rPr>
              <w:t>Fleming Fund Grants ​</w:t>
            </w:r>
          </w:p>
          <w:p w14:paraId="3690B3EB" w14:textId="2FEA251D"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Programme</w:t>
            </w:r>
            <w:r w:rsidRPr="0CB71AAA">
              <w:rPr>
                <w:rFonts w:eastAsia="Times New Roman" w:cstheme="minorBidi"/>
                <w:sz w:val="20"/>
                <w:szCs w:val="20"/>
                <w:lang w:val="en-US" w:eastAsia="en-GB"/>
              </w:rPr>
              <w:t xml:space="preserve"> Length ​</w:t>
            </w:r>
          </w:p>
        </w:tc>
        <w:tc>
          <w:tcPr>
            <w:tcW w:w="2227" w:type="dxa"/>
            <w:gridSpan w:val="2"/>
            <w:shd w:val="clear" w:color="auto" w:fill="DCEAD6" w:themeFill="text2" w:themeFillTint="33"/>
          </w:tcPr>
          <w:p w14:paraId="2A52902C" w14:textId="376838EF" w:rsidR="0CB71AAA" w:rsidRDefault="0CB71AAA" w:rsidP="0CB71AAA">
            <w:pPr>
              <w:jc w:val="center"/>
              <w:rPr>
                <w:rFonts w:eastAsia="Times New Roman" w:cstheme="minorBidi"/>
                <w:sz w:val="20"/>
                <w:szCs w:val="20"/>
                <w:lang w:val="en-US" w:eastAsia="en-GB"/>
              </w:rPr>
            </w:pPr>
            <w:r w:rsidRPr="0CB71AAA">
              <w:rPr>
                <w:rFonts w:eastAsia="Times New Roman" w:cstheme="minorBidi"/>
                <w:b/>
                <w:bCs/>
                <w:sz w:val="20"/>
                <w:szCs w:val="20"/>
                <w:lang w:val="en-US" w:eastAsia="en-GB"/>
              </w:rPr>
              <w:t xml:space="preserve">Input </w:t>
            </w:r>
            <w:r w:rsidR="00103A03">
              <w:rPr>
                <w:rFonts w:eastAsia="Times New Roman" w:cstheme="minorBidi"/>
                <w:b/>
                <w:bCs/>
                <w:sz w:val="20"/>
                <w:szCs w:val="20"/>
                <w:lang w:val="en-US" w:eastAsia="en-GB"/>
              </w:rPr>
              <w:t>p</w:t>
            </w:r>
            <w:r w:rsidRPr="0CB71AAA">
              <w:rPr>
                <w:rFonts w:eastAsia="Times New Roman" w:cstheme="minorBidi"/>
                <w:b/>
                <w:bCs/>
                <w:sz w:val="20"/>
                <w:szCs w:val="20"/>
                <w:lang w:val="en-US" w:eastAsia="en-GB"/>
              </w:rPr>
              <w:t>hase</w:t>
            </w:r>
            <w:r w:rsidRPr="0CB71AAA">
              <w:rPr>
                <w:rFonts w:eastAsia="Times New Roman" w:cstheme="minorBidi"/>
                <w:sz w:val="20"/>
                <w:szCs w:val="20"/>
                <w:lang w:val="en-US" w:eastAsia="en-GB"/>
              </w:rPr>
              <w:t>​</w:t>
            </w:r>
            <w:r>
              <w:br/>
            </w:r>
            <w:r w:rsidRPr="0CB71AAA">
              <w:rPr>
                <w:rFonts w:eastAsia="Times New Roman" w:cstheme="minorBidi"/>
                <w:sz w:val="20"/>
                <w:szCs w:val="20"/>
                <w:lang w:val="en-US" w:eastAsia="en-GB"/>
              </w:rPr>
              <w:t>Capacity building and establishment of systems​</w:t>
            </w:r>
          </w:p>
        </w:tc>
        <w:tc>
          <w:tcPr>
            <w:tcW w:w="2624" w:type="dxa"/>
            <w:gridSpan w:val="2"/>
            <w:shd w:val="clear" w:color="auto" w:fill="DCEAD6" w:themeFill="text2" w:themeFillTint="33"/>
          </w:tcPr>
          <w:p w14:paraId="5B7DF9E8" w14:textId="5EBE659D" w:rsidR="0CB71AAA" w:rsidRDefault="0CB71AAA" w:rsidP="0CB71AAA">
            <w:pPr>
              <w:jc w:val="center"/>
              <w:rPr>
                <w:rFonts w:eastAsia="Times New Roman" w:cstheme="minorBidi"/>
                <w:sz w:val="20"/>
                <w:szCs w:val="20"/>
                <w:lang w:val="en-US" w:eastAsia="en-GB"/>
              </w:rPr>
            </w:pPr>
            <w:r w:rsidRPr="0CB71AAA">
              <w:rPr>
                <w:rFonts w:eastAsia="Times New Roman" w:cstheme="minorBidi"/>
                <w:b/>
                <w:bCs/>
                <w:sz w:val="20"/>
                <w:szCs w:val="20"/>
                <w:lang w:val="en-US" w:eastAsia="en-GB"/>
              </w:rPr>
              <w:t xml:space="preserve">Output </w:t>
            </w:r>
            <w:r w:rsidR="00103A03">
              <w:rPr>
                <w:rFonts w:eastAsia="Times New Roman" w:cstheme="minorBidi"/>
                <w:b/>
                <w:bCs/>
                <w:sz w:val="20"/>
                <w:szCs w:val="20"/>
                <w:lang w:val="en-US" w:eastAsia="en-GB"/>
              </w:rPr>
              <w:t>p</w:t>
            </w:r>
            <w:r w:rsidRPr="0CB71AAA">
              <w:rPr>
                <w:rFonts w:eastAsia="Times New Roman" w:cstheme="minorBidi"/>
                <w:b/>
                <w:bCs/>
                <w:sz w:val="20"/>
                <w:szCs w:val="20"/>
                <w:lang w:val="en-US" w:eastAsia="en-GB"/>
              </w:rPr>
              <w:t>hase</w:t>
            </w:r>
            <w:r w:rsidRPr="0CB71AAA">
              <w:rPr>
                <w:rFonts w:eastAsia="Times New Roman" w:cstheme="minorBidi"/>
                <w:sz w:val="20"/>
                <w:szCs w:val="20"/>
                <w:lang w:val="en-US" w:eastAsia="en-GB"/>
              </w:rPr>
              <w:t>​</w:t>
            </w:r>
            <w:r>
              <w:br/>
            </w:r>
            <w:r w:rsidRPr="0CB71AAA">
              <w:rPr>
                <w:rFonts w:eastAsia="Times New Roman" w:cstheme="minorBidi"/>
                <w:sz w:val="20"/>
                <w:szCs w:val="20"/>
                <w:lang w:val="en-US" w:eastAsia="en-GB"/>
              </w:rPr>
              <w:t>Quality-assured data starts to flow​</w:t>
            </w:r>
          </w:p>
        </w:tc>
      </w:tr>
      <w:tr w:rsidR="0CB71AAA" w14:paraId="511F4B41" w14:textId="77777777" w:rsidTr="0CB71AAA">
        <w:trPr>
          <w:cnfStyle w:val="000000100000" w:firstRow="0" w:lastRow="0" w:firstColumn="0" w:lastColumn="0" w:oddVBand="0" w:evenVBand="0" w:oddHBand="1" w:evenHBand="0" w:firstRowFirstColumn="0" w:firstRowLastColumn="0" w:lastRowFirstColumn="0" w:lastRowLastColumn="0"/>
          <w:trHeight w:val="262"/>
        </w:trPr>
        <w:tc>
          <w:tcPr>
            <w:tcW w:w="4103" w:type="dxa"/>
            <w:vMerge/>
          </w:tcPr>
          <w:p w14:paraId="0EEF8171" w14:textId="77777777" w:rsidR="003642FB" w:rsidRDefault="003642FB"/>
        </w:tc>
        <w:tc>
          <w:tcPr>
            <w:tcW w:w="1108" w:type="dxa"/>
            <w:shd w:val="clear" w:color="auto" w:fill="DCEAD6" w:themeFill="text2" w:themeFillTint="33"/>
          </w:tcPr>
          <w:p w14:paraId="35D9F069" w14:textId="39ECFA4A" w:rsidR="0CB71AAA" w:rsidRDefault="0CB71AAA" w:rsidP="0CB71AAA">
            <w:pPr>
              <w:jc w:val="center"/>
              <w:rPr>
                <w:rFonts w:eastAsia="Times New Roman" w:cstheme="minorBidi"/>
                <w:sz w:val="20"/>
                <w:szCs w:val="20"/>
                <w:lang w:eastAsia="en-GB"/>
              </w:rPr>
            </w:pPr>
            <w:r w:rsidRPr="0CB71AAA">
              <w:rPr>
                <w:rFonts w:eastAsia="Times New Roman" w:cstheme="minorBidi"/>
                <w:sz w:val="20"/>
                <w:szCs w:val="20"/>
                <w:lang w:eastAsia="en-GB"/>
              </w:rPr>
              <w:t>12</w:t>
            </w:r>
          </w:p>
          <w:p w14:paraId="5010D976" w14:textId="1C942479"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months</w:t>
            </w:r>
            <w:r w:rsidRPr="0CB71AAA">
              <w:rPr>
                <w:rFonts w:eastAsia="Times New Roman" w:cstheme="minorBidi"/>
                <w:sz w:val="20"/>
                <w:szCs w:val="20"/>
                <w:lang w:val="en-US" w:eastAsia="en-GB"/>
              </w:rPr>
              <w:t>​</w:t>
            </w:r>
          </w:p>
        </w:tc>
        <w:tc>
          <w:tcPr>
            <w:tcW w:w="1119" w:type="dxa"/>
            <w:shd w:val="clear" w:color="auto" w:fill="DCEAD6" w:themeFill="text2" w:themeFillTint="33"/>
          </w:tcPr>
          <w:p w14:paraId="4311A16F" w14:textId="534ABFF3" w:rsidR="0CB71AAA" w:rsidRDefault="0CB71AAA" w:rsidP="0CB71AAA">
            <w:pPr>
              <w:jc w:val="center"/>
              <w:rPr>
                <w:rFonts w:eastAsia="Times New Roman" w:cstheme="minorBidi"/>
                <w:sz w:val="20"/>
                <w:szCs w:val="20"/>
                <w:lang w:eastAsia="en-GB"/>
              </w:rPr>
            </w:pPr>
            <w:r w:rsidRPr="0CB71AAA">
              <w:rPr>
                <w:rFonts w:eastAsia="Times New Roman" w:cstheme="minorBidi"/>
                <w:sz w:val="20"/>
                <w:szCs w:val="20"/>
                <w:lang w:eastAsia="en-GB"/>
              </w:rPr>
              <w:t>24</w:t>
            </w:r>
          </w:p>
          <w:p w14:paraId="7B797354" w14:textId="340C9669"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months</w:t>
            </w:r>
            <w:r w:rsidRPr="0CB71AAA">
              <w:rPr>
                <w:rFonts w:eastAsia="Times New Roman" w:cstheme="minorBidi"/>
                <w:sz w:val="20"/>
                <w:szCs w:val="20"/>
                <w:lang w:val="en-US" w:eastAsia="en-GB"/>
              </w:rPr>
              <w:t>​</w:t>
            </w:r>
          </w:p>
        </w:tc>
        <w:tc>
          <w:tcPr>
            <w:tcW w:w="977" w:type="dxa"/>
            <w:shd w:val="clear" w:color="auto" w:fill="DCEAD6" w:themeFill="text2" w:themeFillTint="33"/>
          </w:tcPr>
          <w:p w14:paraId="741B3554"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36 months</w:t>
            </w:r>
            <w:r w:rsidRPr="0CB71AAA">
              <w:rPr>
                <w:rFonts w:eastAsia="Times New Roman" w:cstheme="minorBidi"/>
                <w:sz w:val="20"/>
                <w:szCs w:val="20"/>
                <w:lang w:val="en-US" w:eastAsia="en-GB"/>
              </w:rPr>
              <w:t>​</w:t>
            </w:r>
          </w:p>
        </w:tc>
        <w:tc>
          <w:tcPr>
            <w:tcW w:w="1647" w:type="dxa"/>
            <w:shd w:val="clear" w:color="auto" w:fill="DCEAD6" w:themeFill="text2" w:themeFillTint="33"/>
          </w:tcPr>
          <w:p w14:paraId="423D5255" w14:textId="75B2A9A9" w:rsidR="0CB71AAA" w:rsidRDefault="0CB71AAA" w:rsidP="0CB71AAA">
            <w:pPr>
              <w:jc w:val="center"/>
              <w:rPr>
                <w:rFonts w:eastAsia="Times New Roman" w:cstheme="minorBidi"/>
                <w:sz w:val="20"/>
                <w:szCs w:val="20"/>
                <w:lang w:eastAsia="en-GB"/>
              </w:rPr>
            </w:pPr>
            <w:r w:rsidRPr="0CB71AAA">
              <w:rPr>
                <w:rFonts w:eastAsia="Times New Roman" w:cstheme="minorBidi"/>
                <w:sz w:val="20"/>
                <w:szCs w:val="20"/>
                <w:lang w:eastAsia="en-GB"/>
              </w:rPr>
              <w:t>48</w:t>
            </w:r>
          </w:p>
          <w:p w14:paraId="36E0F214" w14:textId="446C8691"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months</w:t>
            </w:r>
            <w:r w:rsidRPr="0CB71AAA">
              <w:rPr>
                <w:rFonts w:eastAsia="Times New Roman" w:cstheme="minorBidi"/>
                <w:sz w:val="20"/>
                <w:szCs w:val="20"/>
                <w:lang w:val="en-US" w:eastAsia="en-GB"/>
              </w:rPr>
              <w:t>​</w:t>
            </w:r>
          </w:p>
        </w:tc>
      </w:tr>
      <w:tr w:rsidR="0CB71AAA" w14:paraId="3BD42316" w14:textId="77777777" w:rsidTr="0CB71AAA">
        <w:trPr>
          <w:cnfStyle w:val="000000010000" w:firstRow="0" w:lastRow="0" w:firstColumn="0" w:lastColumn="0" w:oddVBand="0" w:evenVBand="0" w:oddHBand="0" w:evenHBand="1" w:firstRowFirstColumn="0" w:firstRowLastColumn="0" w:lastRowFirstColumn="0" w:lastRowLastColumn="0"/>
          <w:trHeight w:val="149"/>
        </w:trPr>
        <w:tc>
          <w:tcPr>
            <w:tcW w:w="4103" w:type="dxa"/>
          </w:tcPr>
          <w:p w14:paraId="30C3AEE3" w14:textId="36856601" w:rsidR="0CB71AAA" w:rsidRDefault="0CB71AAA" w:rsidP="0CB71AAA">
            <w:pPr>
              <w:rPr>
                <w:rFonts w:eastAsia="Times New Roman" w:cstheme="minorBidi"/>
                <w:sz w:val="20"/>
                <w:szCs w:val="20"/>
                <w:lang w:val="en-US" w:eastAsia="en-GB"/>
              </w:rPr>
            </w:pPr>
            <w:r w:rsidRPr="0CB71AAA">
              <w:rPr>
                <w:rFonts w:eastAsia="Times New Roman" w:cstheme="minorBidi"/>
                <w:sz w:val="20"/>
                <w:szCs w:val="20"/>
                <w:lang w:val="en-US" w:eastAsia="en-GB"/>
              </w:rPr>
              <w:t>Number of countries with active grants​</w:t>
            </w:r>
          </w:p>
        </w:tc>
        <w:tc>
          <w:tcPr>
            <w:tcW w:w="1108" w:type="dxa"/>
          </w:tcPr>
          <w:p w14:paraId="6D9DEFF5"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12</w:t>
            </w:r>
            <w:r w:rsidRPr="0CB71AAA">
              <w:rPr>
                <w:rFonts w:eastAsia="Times New Roman" w:cstheme="minorBidi"/>
                <w:sz w:val="20"/>
                <w:szCs w:val="20"/>
                <w:lang w:val="en-US" w:eastAsia="en-GB"/>
              </w:rPr>
              <w:t>​</w:t>
            </w:r>
          </w:p>
        </w:tc>
        <w:tc>
          <w:tcPr>
            <w:tcW w:w="1119" w:type="dxa"/>
          </w:tcPr>
          <w:p w14:paraId="01AC1FE9"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24</w:t>
            </w:r>
            <w:r w:rsidRPr="0CB71AAA">
              <w:rPr>
                <w:rFonts w:eastAsia="Times New Roman" w:cstheme="minorBidi"/>
                <w:sz w:val="20"/>
                <w:szCs w:val="20"/>
                <w:lang w:val="en-US" w:eastAsia="en-GB"/>
              </w:rPr>
              <w:t>​</w:t>
            </w:r>
          </w:p>
        </w:tc>
        <w:tc>
          <w:tcPr>
            <w:tcW w:w="977" w:type="dxa"/>
          </w:tcPr>
          <w:p w14:paraId="126AF230"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24</w:t>
            </w:r>
            <w:r w:rsidRPr="0CB71AAA">
              <w:rPr>
                <w:rFonts w:eastAsia="Times New Roman" w:cstheme="minorBidi"/>
                <w:sz w:val="20"/>
                <w:szCs w:val="20"/>
                <w:lang w:val="en-US" w:eastAsia="en-GB"/>
              </w:rPr>
              <w:t>​</w:t>
            </w:r>
          </w:p>
        </w:tc>
        <w:tc>
          <w:tcPr>
            <w:tcW w:w="1647" w:type="dxa"/>
          </w:tcPr>
          <w:p w14:paraId="4E12A351"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24</w:t>
            </w:r>
            <w:r w:rsidRPr="0CB71AAA">
              <w:rPr>
                <w:rFonts w:eastAsia="Times New Roman" w:cstheme="minorBidi"/>
                <w:sz w:val="20"/>
                <w:szCs w:val="20"/>
                <w:lang w:val="en-US" w:eastAsia="en-GB"/>
              </w:rPr>
              <w:t>​</w:t>
            </w:r>
          </w:p>
        </w:tc>
      </w:tr>
      <w:tr w:rsidR="0CB71AAA" w14:paraId="3F52B2C4" w14:textId="77777777" w:rsidTr="0CB71AAA">
        <w:trPr>
          <w:cnfStyle w:val="000000100000" w:firstRow="0" w:lastRow="0" w:firstColumn="0" w:lastColumn="0" w:oddVBand="0" w:evenVBand="0" w:oddHBand="1" w:evenHBand="0" w:firstRowFirstColumn="0" w:firstRowLastColumn="0" w:lastRowFirstColumn="0" w:lastRowLastColumn="0"/>
          <w:trHeight w:val="262"/>
        </w:trPr>
        <w:tc>
          <w:tcPr>
            <w:tcW w:w="4103" w:type="dxa"/>
          </w:tcPr>
          <w:p w14:paraId="5BFB5C52" w14:textId="36A6F22E" w:rsidR="0CB71AAA" w:rsidRDefault="0CB71AAA" w:rsidP="0CB71AAA">
            <w:pPr>
              <w:rPr>
                <w:rFonts w:eastAsia="Times New Roman" w:cstheme="minorBidi"/>
                <w:sz w:val="20"/>
                <w:szCs w:val="20"/>
                <w:lang w:val="en-US" w:eastAsia="en-GB"/>
              </w:rPr>
            </w:pPr>
            <w:r w:rsidRPr="0CB71AAA">
              <w:rPr>
                <w:rFonts w:eastAsia="Times New Roman" w:cstheme="minorBidi"/>
                <w:sz w:val="20"/>
                <w:szCs w:val="20"/>
                <w:lang w:val="en-US" w:eastAsia="en-GB"/>
              </w:rPr>
              <w:t>Primary data generated and used for policy and improving guidelines​</w:t>
            </w:r>
          </w:p>
        </w:tc>
        <w:tc>
          <w:tcPr>
            <w:tcW w:w="1108" w:type="dxa"/>
          </w:tcPr>
          <w:p w14:paraId="3998127F"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3</w:t>
            </w:r>
            <w:r w:rsidRPr="0CB71AAA">
              <w:rPr>
                <w:rFonts w:eastAsia="Times New Roman" w:cstheme="minorBidi"/>
                <w:sz w:val="20"/>
                <w:szCs w:val="20"/>
                <w:lang w:val="en-US" w:eastAsia="en-GB"/>
              </w:rPr>
              <w:t>​</w:t>
            </w:r>
          </w:p>
        </w:tc>
        <w:tc>
          <w:tcPr>
            <w:tcW w:w="1119" w:type="dxa"/>
          </w:tcPr>
          <w:p w14:paraId="2522F35F"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8</w:t>
            </w:r>
            <w:r w:rsidRPr="0CB71AAA">
              <w:rPr>
                <w:rFonts w:eastAsia="Times New Roman" w:cstheme="minorBidi"/>
                <w:sz w:val="20"/>
                <w:szCs w:val="20"/>
                <w:lang w:val="en-US" w:eastAsia="en-GB"/>
              </w:rPr>
              <w:t>​</w:t>
            </w:r>
          </w:p>
        </w:tc>
        <w:tc>
          <w:tcPr>
            <w:tcW w:w="977" w:type="dxa"/>
          </w:tcPr>
          <w:p w14:paraId="5BE94584"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16</w:t>
            </w:r>
            <w:r w:rsidRPr="0CB71AAA">
              <w:rPr>
                <w:rFonts w:eastAsia="Times New Roman" w:cstheme="minorBidi"/>
                <w:sz w:val="20"/>
                <w:szCs w:val="20"/>
                <w:lang w:val="en-US" w:eastAsia="en-GB"/>
              </w:rPr>
              <w:t>​</w:t>
            </w:r>
          </w:p>
        </w:tc>
        <w:tc>
          <w:tcPr>
            <w:tcW w:w="1647" w:type="dxa"/>
          </w:tcPr>
          <w:p w14:paraId="2F325D75"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18</w:t>
            </w:r>
            <w:r w:rsidRPr="0CB71AAA">
              <w:rPr>
                <w:rFonts w:eastAsia="Times New Roman" w:cstheme="minorBidi"/>
                <w:sz w:val="20"/>
                <w:szCs w:val="20"/>
                <w:lang w:val="en-US" w:eastAsia="en-GB"/>
              </w:rPr>
              <w:t>​</w:t>
            </w:r>
          </w:p>
        </w:tc>
      </w:tr>
      <w:tr w:rsidR="0CB71AAA" w14:paraId="64E2BA36" w14:textId="77777777" w:rsidTr="0CB71AAA">
        <w:trPr>
          <w:cnfStyle w:val="000000010000" w:firstRow="0" w:lastRow="0" w:firstColumn="0" w:lastColumn="0" w:oddVBand="0" w:evenVBand="0" w:oddHBand="0" w:evenHBand="1" w:firstRowFirstColumn="0" w:firstRowLastColumn="0" w:lastRowFirstColumn="0" w:lastRowLastColumn="0"/>
          <w:trHeight w:val="262"/>
        </w:trPr>
        <w:tc>
          <w:tcPr>
            <w:tcW w:w="4103" w:type="dxa"/>
          </w:tcPr>
          <w:p w14:paraId="40B231AC" w14:textId="3DA5A2EE" w:rsidR="0CB71AAA" w:rsidRDefault="0CB71AAA" w:rsidP="0CB71AAA">
            <w:pPr>
              <w:rPr>
                <w:rFonts w:eastAsia="Times New Roman" w:cstheme="minorBidi"/>
                <w:sz w:val="20"/>
                <w:szCs w:val="20"/>
                <w:lang w:val="en-US" w:eastAsia="en-GB"/>
              </w:rPr>
            </w:pPr>
            <w:r w:rsidRPr="0CB71AAA">
              <w:rPr>
                <w:rFonts w:eastAsia="Times New Roman" w:cstheme="minorBidi"/>
                <w:sz w:val="20"/>
                <w:szCs w:val="20"/>
                <w:lang w:val="en-US" w:eastAsia="en-GB"/>
              </w:rPr>
              <w:t>Number of countries where primary data is generated and shared internationally​</w:t>
            </w:r>
          </w:p>
        </w:tc>
        <w:tc>
          <w:tcPr>
            <w:tcW w:w="1108" w:type="dxa"/>
          </w:tcPr>
          <w:p w14:paraId="5A3AEACE"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2</w:t>
            </w:r>
            <w:r w:rsidRPr="0CB71AAA">
              <w:rPr>
                <w:rFonts w:eastAsia="Times New Roman" w:cstheme="minorBidi"/>
                <w:sz w:val="20"/>
                <w:szCs w:val="20"/>
                <w:lang w:val="en-US" w:eastAsia="en-GB"/>
              </w:rPr>
              <w:t>​</w:t>
            </w:r>
          </w:p>
        </w:tc>
        <w:tc>
          <w:tcPr>
            <w:tcW w:w="1119" w:type="dxa"/>
          </w:tcPr>
          <w:p w14:paraId="294E59B1"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4</w:t>
            </w:r>
            <w:r w:rsidRPr="0CB71AAA">
              <w:rPr>
                <w:rFonts w:eastAsia="Times New Roman" w:cstheme="minorBidi"/>
                <w:sz w:val="20"/>
                <w:szCs w:val="20"/>
                <w:lang w:val="en-US" w:eastAsia="en-GB"/>
              </w:rPr>
              <w:t>​</w:t>
            </w:r>
          </w:p>
        </w:tc>
        <w:tc>
          <w:tcPr>
            <w:tcW w:w="977" w:type="dxa"/>
          </w:tcPr>
          <w:p w14:paraId="4C6C9AC9"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8</w:t>
            </w:r>
            <w:r w:rsidRPr="0CB71AAA">
              <w:rPr>
                <w:rFonts w:eastAsia="Times New Roman" w:cstheme="minorBidi"/>
                <w:sz w:val="20"/>
                <w:szCs w:val="20"/>
                <w:lang w:val="en-US" w:eastAsia="en-GB"/>
              </w:rPr>
              <w:t>​</w:t>
            </w:r>
          </w:p>
        </w:tc>
        <w:tc>
          <w:tcPr>
            <w:tcW w:w="1647" w:type="dxa"/>
          </w:tcPr>
          <w:p w14:paraId="3229911B"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12</w:t>
            </w:r>
            <w:r w:rsidRPr="0CB71AAA">
              <w:rPr>
                <w:rFonts w:eastAsia="Times New Roman" w:cstheme="minorBidi"/>
                <w:sz w:val="20"/>
                <w:szCs w:val="20"/>
                <w:lang w:val="en-US" w:eastAsia="en-GB"/>
              </w:rPr>
              <w:t>​</w:t>
            </w:r>
          </w:p>
        </w:tc>
      </w:tr>
      <w:tr w:rsidR="0CB71AAA" w14:paraId="26B2130E" w14:textId="77777777" w:rsidTr="0CB71AAA">
        <w:trPr>
          <w:cnfStyle w:val="000000100000" w:firstRow="0" w:lastRow="0" w:firstColumn="0" w:lastColumn="0" w:oddVBand="0" w:evenVBand="0" w:oddHBand="1" w:evenHBand="0" w:firstRowFirstColumn="0" w:firstRowLastColumn="0" w:lastRowFirstColumn="0" w:lastRowLastColumn="0"/>
          <w:trHeight w:val="262"/>
        </w:trPr>
        <w:tc>
          <w:tcPr>
            <w:tcW w:w="4103" w:type="dxa"/>
          </w:tcPr>
          <w:p w14:paraId="14EA6387" w14:textId="16686499" w:rsidR="0CB71AAA" w:rsidRDefault="0CB71AAA" w:rsidP="0CB71AAA">
            <w:pPr>
              <w:rPr>
                <w:rFonts w:eastAsia="Times New Roman" w:cstheme="minorBidi"/>
                <w:sz w:val="20"/>
                <w:szCs w:val="20"/>
                <w:lang w:val="en-US" w:eastAsia="en-GB"/>
              </w:rPr>
            </w:pPr>
            <w:r w:rsidRPr="0CB71AAA">
              <w:rPr>
                <w:rFonts w:eastAsia="Times New Roman" w:cstheme="minorBidi"/>
                <w:sz w:val="20"/>
                <w:szCs w:val="20"/>
                <w:lang w:val="en-US" w:eastAsia="en-GB"/>
              </w:rPr>
              <w:t>Number of countries with active surveillance of AMU in health and agriculture sectors​</w:t>
            </w:r>
          </w:p>
        </w:tc>
        <w:tc>
          <w:tcPr>
            <w:tcW w:w="1108" w:type="dxa"/>
          </w:tcPr>
          <w:p w14:paraId="7A87B39F"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4</w:t>
            </w:r>
            <w:r w:rsidRPr="0CB71AAA">
              <w:rPr>
                <w:rFonts w:eastAsia="Times New Roman" w:cstheme="minorBidi"/>
                <w:sz w:val="20"/>
                <w:szCs w:val="20"/>
                <w:lang w:val="en-US" w:eastAsia="en-GB"/>
              </w:rPr>
              <w:t>​</w:t>
            </w:r>
          </w:p>
        </w:tc>
        <w:tc>
          <w:tcPr>
            <w:tcW w:w="1119" w:type="dxa"/>
          </w:tcPr>
          <w:p w14:paraId="4B6A4266"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12</w:t>
            </w:r>
            <w:r w:rsidRPr="0CB71AAA">
              <w:rPr>
                <w:rFonts w:eastAsia="Times New Roman" w:cstheme="minorBidi"/>
                <w:sz w:val="20"/>
                <w:szCs w:val="20"/>
                <w:lang w:val="en-US" w:eastAsia="en-GB"/>
              </w:rPr>
              <w:t>​</w:t>
            </w:r>
          </w:p>
        </w:tc>
        <w:tc>
          <w:tcPr>
            <w:tcW w:w="977" w:type="dxa"/>
          </w:tcPr>
          <w:p w14:paraId="21A001C8"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18</w:t>
            </w:r>
            <w:r w:rsidRPr="0CB71AAA">
              <w:rPr>
                <w:rFonts w:eastAsia="Times New Roman" w:cstheme="minorBidi"/>
                <w:sz w:val="20"/>
                <w:szCs w:val="20"/>
                <w:lang w:val="en-US" w:eastAsia="en-GB"/>
              </w:rPr>
              <w:t>​</w:t>
            </w:r>
          </w:p>
        </w:tc>
        <w:tc>
          <w:tcPr>
            <w:tcW w:w="1647" w:type="dxa"/>
          </w:tcPr>
          <w:p w14:paraId="23D48C06" w14:textId="77777777" w:rsidR="0CB71AAA" w:rsidRDefault="0CB71AAA" w:rsidP="0CB71AAA">
            <w:pPr>
              <w:jc w:val="center"/>
              <w:rPr>
                <w:rFonts w:eastAsia="Times New Roman" w:cstheme="minorBidi"/>
                <w:sz w:val="20"/>
                <w:szCs w:val="20"/>
                <w:lang w:val="en-US" w:eastAsia="en-GB"/>
              </w:rPr>
            </w:pPr>
            <w:r w:rsidRPr="0CB71AAA">
              <w:rPr>
                <w:rFonts w:eastAsia="Times New Roman" w:cstheme="minorBidi"/>
                <w:sz w:val="20"/>
                <w:szCs w:val="20"/>
                <w:lang w:eastAsia="en-GB"/>
              </w:rPr>
              <w:t>20</w:t>
            </w:r>
            <w:r w:rsidRPr="0CB71AAA">
              <w:rPr>
                <w:rFonts w:eastAsia="Times New Roman" w:cstheme="minorBidi"/>
                <w:sz w:val="20"/>
                <w:szCs w:val="20"/>
                <w:lang w:val="en-US" w:eastAsia="en-GB"/>
              </w:rPr>
              <w:t>​</w:t>
            </w:r>
          </w:p>
        </w:tc>
      </w:tr>
    </w:tbl>
    <w:p w14:paraId="433588E5" w14:textId="1859D581" w:rsidR="00774B95" w:rsidRPr="00774B95" w:rsidRDefault="54C4238E" w:rsidP="0CB71AAA">
      <w:pPr>
        <w:pStyle w:val="pf0"/>
        <w:spacing w:after="120" w:afterAutospacing="0"/>
        <w:rPr>
          <w:rStyle w:val="ItadNormalTextChar"/>
        </w:rPr>
      </w:pPr>
      <w:r w:rsidRPr="0CB71AAA">
        <w:rPr>
          <w:rFonts w:asciiTheme="minorHAnsi" w:hAnsiTheme="minorHAnsi" w:cstheme="minorBidi"/>
          <w:b/>
          <w:bCs/>
          <w:color w:val="3B3B3C" w:themeColor="text1"/>
          <w:sz w:val="22"/>
          <w:szCs w:val="22"/>
        </w:rPr>
        <w:t xml:space="preserve">In practice, less than half of the 23 Fleming Fund countries had received 36 months or more support through CGs by June 2022, which was less than originally expected, due to a range of factors that were not necessarily within the control of the DHSC and MA teams. </w:t>
      </w:r>
      <w:r w:rsidR="007A322A" w:rsidRPr="007A322A">
        <w:rPr>
          <w:rStyle w:val="ItadNormalTextChar"/>
        </w:rPr>
        <w:fldChar w:fldCharType="begin"/>
      </w:r>
      <w:r w:rsidR="007A322A" w:rsidRPr="007A322A">
        <w:rPr>
          <w:rStyle w:val="ItadNormalTextChar"/>
        </w:rPr>
        <w:instrText xml:space="preserve"> REF _Ref144721939 \h </w:instrText>
      </w:r>
      <w:r w:rsidR="007A322A">
        <w:rPr>
          <w:rStyle w:val="ItadNormalTextChar"/>
        </w:rPr>
        <w:instrText xml:space="preserve"> \* MERGEFORMAT </w:instrText>
      </w:r>
      <w:r w:rsidR="007A322A" w:rsidRPr="007A322A">
        <w:rPr>
          <w:rStyle w:val="ItadNormalTextChar"/>
        </w:rPr>
      </w:r>
      <w:r w:rsidR="007A322A" w:rsidRPr="007A322A">
        <w:rPr>
          <w:rStyle w:val="ItadNormalTextChar"/>
        </w:rPr>
        <w:fldChar w:fldCharType="separate"/>
      </w:r>
      <w:r w:rsidR="007A322A" w:rsidRPr="007A322A">
        <w:rPr>
          <w:rStyle w:val="ItadNormalTextChar"/>
        </w:rPr>
        <w:t>Table 2</w:t>
      </w:r>
      <w:r w:rsidR="007A322A" w:rsidRPr="007A322A">
        <w:rPr>
          <w:rStyle w:val="ItadNormalTextChar"/>
        </w:rPr>
        <w:fldChar w:fldCharType="end"/>
      </w:r>
      <w:r w:rsidR="00774B95" w:rsidRPr="0CB71AAA">
        <w:rPr>
          <w:rStyle w:val="ItadNormalTextChar"/>
        </w:rPr>
        <w:fldChar w:fldCharType="begin"/>
      </w:r>
      <w:r w:rsidR="00774B95" w:rsidRPr="0CB71AAA">
        <w:rPr>
          <w:rStyle w:val="ItadNormalTextChar"/>
        </w:rPr>
        <w:instrText xml:space="preserve"> REF _Ref118199218 \h  \* MERGEFORMAT </w:instrText>
      </w:r>
      <w:r w:rsidR="00774B95" w:rsidRPr="0CB71AAA">
        <w:rPr>
          <w:rStyle w:val="ItadNormalTextChar"/>
        </w:rPr>
      </w:r>
      <w:r w:rsidR="00B33BBD">
        <w:rPr>
          <w:rStyle w:val="ItadNormalTextChar"/>
        </w:rPr>
        <w:fldChar w:fldCharType="separate"/>
      </w:r>
      <w:r w:rsidR="00774B95" w:rsidRPr="0CB71AAA">
        <w:rPr>
          <w:rStyle w:val="ItadNormalTextChar"/>
        </w:rPr>
        <w:fldChar w:fldCharType="end"/>
      </w:r>
      <w:r w:rsidRPr="0CB71AAA">
        <w:rPr>
          <w:rStyle w:val="ItadNormalTextChar"/>
        </w:rPr>
        <w:t xml:space="preserve"> summarises the duration of support received by Fleming Fund countries, which shows that less than half (10/23) had received at least </w:t>
      </w:r>
      <w:r w:rsidRPr="0CB71AAA">
        <w:rPr>
          <w:rStyle w:val="ItadNormalTextChar"/>
        </w:rPr>
        <w:lastRenderedPageBreak/>
        <w:t>36 months</w:t>
      </w:r>
      <w:r w:rsidR="00483FC0">
        <w:rPr>
          <w:rStyle w:val="ItadNormalTextChar"/>
        </w:rPr>
        <w:t>’</w:t>
      </w:r>
      <w:r w:rsidRPr="0CB71AAA">
        <w:rPr>
          <w:rStyle w:val="ItadNormalTextChar"/>
        </w:rPr>
        <w:t xml:space="preserve"> support by June 2022.</w:t>
      </w:r>
      <w:r w:rsidR="00774B95" w:rsidRPr="0CB71AAA">
        <w:rPr>
          <w:rStyle w:val="FootnoteReference"/>
        </w:rPr>
        <w:footnoteReference w:id="40"/>
      </w:r>
      <w:r w:rsidRPr="0CB71AAA">
        <w:rPr>
          <w:rStyle w:val="ItadNormalTextChar"/>
        </w:rPr>
        <w:t xml:space="preserve"> This is substantially less than the originally planned 16,</w:t>
      </w:r>
      <w:r w:rsidR="00774B95" w:rsidRPr="0CB71AAA">
        <w:rPr>
          <w:rStyle w:val="FootnoteReference"/>
        </w:rPr>
        <w:footnoteReference w:id="41"/>
      </w:r>
      <w:r w:rsidRPr="0CB71AAA">
        <w:rPr>
          <w:rStyle w:val="ItadNormalTextChar"/>
        </w:rPr>
        <w:t xml:space="preserve"> even with the 15-month extension. </w:t>
      </w:r>
      <w:r w:rsidR="00483FC0">
        <w:rPr>
          <w:rStyle w:val="ItadNormalTextChar"/>
        </w:rPr>
        <w:t>Programme progress was more limited</w:t>
      </w:r>
      <w:r w:rsidRPr="0CB71AAA">
        <w:rPr>
          <w:rStyle w:val="ItadNormalTextChar"/>
        </w:rPr>
        <w:t xml:space="preserve"> than expected due to a range of factors (some of which were outside MA and DHSC control). There were two </w:t>
      </w:r>
      <w:r w:rsidRPr="00483FC0">
        <w:rPr>
          <w:rStyle w:val="ItadNormalTextChar"/>
        </w:rPr>
        <w:t>civil service purdahs</w:t>
      </w:r>
      <w:r w:rsidRPr="0CB71AAA">
        <w:rPr>
          <w:rStyle w:val="ItadNormalTextChar"/>
        </w:rPr>
        <w:t>,</w:t>
      </w:r>
      <w:r w:rsidR="00B96E32">
        <w:rPr>
          <w:rStyle w:val="FootnoteReference"/>
        </w:rPr>
        <w:footnoteReference w:id="42"/>
      </w:r>
      <w:r w:rsidRPr="0CB71AAA">
        <w:rPr>
          <w:rStyle w:val="ItadNormalTextChar"/>
        </w:rPr>
        <w:t xml:space="preserve"> delays in contracting the MA (partly due to the length of negotiations between the DHSC and the MA during the inception phase)</w:t>
      </w:r>
      <w:r w:rsidR="00483FC0">
        <w:rPr>
          <w:rStyle w:val="ItadNormalTextChar"/>
        </w:rPr>
        <w:t>,</w:t>
      </w:r>
      <w:r w:rsidRPr="0CB71AAA">
        <w:rPr>
          <w:rStyle w:val="ItadNormalTextChar"/>
        </w:rPr>
        <w:t xml:space="preserve"> and a delay in sign-off on the MA</w:t>
      </w:r>
      <w:r w:rsidR="00AA6A7B">
        <w:rPr>
          <w:rStyle w:val="ItadNormalTextChar"/>
        </w:rPr>
        <w:t>’</w:t>
      </w:r>
      <w:r w:rsidRPr="0CB71AAA">
        <w:rPr>
          <w:rStyle w:val="ItadNormalTextChar"/>
        </w:rPr>
        <w:t xml:space="preserve">s implementation plan (which was extended from </w:t>
      </w:r>
      <w:r w:rsidR="00483FC0">
        <w:rPr>
          <w:rStyle w:val="ItadNormalTextChar"/>
        </w:rPr>
        <w:t>8</w:t>
      </w:r>
      <w:r w:rsidR="00483FC0" w:rsidRPr="0CB71AAA">
        <w:rPr>
          <w:rStyle w:val="ItadNormalTextChar"/>
        </w:rPr>
        <w:t xml:space="preserve"> </w:t>
      </w:r>
      <w:r w:rsidRPr="0CB71AAA">
        <w:rPr>
          <w:rStyle w:val="ItadNormalTextChar"/>
        </w:rPr>
        <w:t>to 17 months) due to country positioning and competitive tendering taking longer than expected (including in the approval of key documentation by the DHSC).</w:t>
      </w:r>
      <w:r w:rsidR="00774B95" w:rsidRPr="0CB71AAA">
        <w:rPr>
          <w:rStyle w:val="ItadNormalTextChar"/>
          <w:vertAlign w:val="superscript"/>
        </w:rPr>
        <w:footnoteReference w:id="43"/>
      </w:r>
      <w:r w:rsidRPr="0CB71AAA">
        <w:rPr>
          <w:rStyle w:val="ItadNormalTextChar"/>
        </w:rPr>
        <w:t xml:space="preserve"> Two other factors were COVID-19, and the challenges of working in specific country contexts. CG implementation, therefore, began two years after the start of the programme, and the Fleming Fund has been </w:t>
      </w:r>
      <w:r w:rsidR="009856BC">
        <w:rPr>
          <w:rStyle w:val="ItadNormalTextChar"/>
        </w:rPr>
        <w:t>trying to</w:t>
      </w:r>
      <w:r w:rsidR="009856BC" w:rsidRPr="0CB71AAA">
        <w:rPr>
          <w:rStyle w:val="ItadNormalTextChar"/>
        </w:rPr>
        <w:t xml:space="preserve"> </w:t>
      </w:r>
      <w:r w:rsidRPr="0CB71AAA">
        <w:rPr>
          <w:rStyle w:val="ItadNormalTextChar"/>
        </w:rPr>
        <w:t>catch</w:t>
      </w:r>
      <w:r w:rsidR="009856BC">
        <w:rPr>
          <w:rStyle w:val="ItadNormalTextChar"/>
        </w:rPr>
        <w:t xml:space="preserve"> </w:t>
      </w:r>
      <w:r w:rsidRPr="0CB71AAA">
        <w:rPr>
          <w:rStyle w:val="ItadNormalTextChar"/>
        </w:rPr>
        <w:t xml:space="preserve">up from that point onwards. However, the experience provides important learning – in terms of setting realistic expectations for planning, MA capacity to deliver grant sequencing as initially planned, and DHSC oversight of MA implementation – which needs to be captured in the design and expectations for phase 2 if similar delays are to be avoided. This is discussed more in section </w:t>
      </w:r>
      <w:r w:rsidR="00774B95" w:rsidRPr="0CB71AAA">
        <w:rPr>
          <w:rStyle w:val="ItadNormalTextChar"/>
        </w:rPr>
        <w:fldChar w:fldCharType="begin"/>
      </w:r>
      <w:r w:rsidR="00774B95" w:rsidRPr="0CB71AAA">
        <w:rPr>
          <w:rStyle w:val="ItadNormalTextChar"/>
        </w:rPr>
        <w:instrText xml:space="preserve"> REF _Ref128743758 \r \h  \* MERGEFORMAT </w:instrText>
      </w:r>
      <w:r w:rsidR="00774B95" w:rsidRPr="0CB71AAA">
        <w:rPr>
          <w:rStyle w:val="ItadNormalTextChar"/>
        </w:rPr>
      </w:r>
      <w:r w:rsidR="00774B95" w:rsidRPr="0CB71AAA">
        <w:rPr>
          <w:rStyle w:val="ItadNormalTextChar"/>
        </w:rPr>
        <w:fldChar w:fldCharType="separate"/>
      </w:r>
      <w:r w:rsidRPr="0CB71AAA">
        <w:rPr>
          <w:rStyle w:val="ItadNormalTextChar"/>
        </w:rPr>
        <w:t>2.3</w:t>
      </w:r>
      <w:r w:rsidR="00774B95" w:rsidRPr="0CB71AAA">
        <w:rPr>
          <w:rStyle w:val="ItadNormalTextChar"/>
        </w:rPr>
        <w:fldChar w:fldCharType="end"/>
      </w:r>
      <w:r w:rsidRPr="0CB71AAA">
        <w:rPr>
          <w:rStyle w:val="ItadNormalTextChar"/>
        </w:rPr>
        <w:t xml:space="preserve"> and </w:t>
      </w:r>
      <w:r w:rsidR="009A7BD2">
        <w:rPr>
          <w:rStyle w:val="ItadNormalTextChar"/>
        </w:rPr>
        <w:fldChar w:fldCharType="begin"/>
      </w:r>
      <w:r w:rsidR="009A7BD2">
        <w:rPr>
          <w:rStyle w:val="ItadNormalTextChar"/>
        </w:rPr>
        <w:instrText xml:space="preserve"> REF _Ref144721011 \h  \* MERGEFORMAT </w:instrText>
      </w:r>
      <w:r w:rsidR="009A7BD2">
        <w:rPr>
          <w:rStyle w:val="ItadNormalTextChar"/>
        </w:rPr>
      </w:r>
      <w:r w:rsidR="009A7BD2">
        <w:rPr>
          <w:rStyle w:val="ItadNormalTextChar"/>
        </w:rPr>
        <w:fldChar w:fldCharType="separate"/>
      </w:r>
      <w:r w:rsidR="009A7BD2" w:rsidRPr="009A7BD2">
        <w:rPr>
          <w:rStyle w:val="ItadNormalTextChar"/>
        </w:rPr>
        <w:t>Box 3</w:t>
      </w:r>
      <w:r w:rsidR="009A7BD2">
        <w:rPr>
          <w:rStyle w:val="ItadNormalTextChar"/>
        </w:rPr>
        <w:fldChar w:fldCharType="end"/>
      </w:r>
      <w:r w:rsidR="009A7BD2">
        <w:rPr>
          <w:rStyle w:val="ItadNormalTextChar"/>
        </w:rPr>
        <w:fldChar w:fldCharType="begin"/>
      </w:r>
      <w:r w:rsidR="009A7BD2">
        <w:rPr>
          <w:rStyle w:val="ItadNormalTextChar"/>
        </w:rPr>
        <w:instrText xml:space="preserve"> REF _Ref144720138 \h  \* MERGEFORMAT </w:instrText>
      </w:r>
      <w:r w:rsidR="009A7BD2">
        <w:rPr>
          <w:rStyle w:val="ItadNormalTextChar"/>
        </w:rPr>
      </w:r>
      <w:r w:rsidR="00B33BBD">
        <w:rPr>
          <w:rStyle w:val="ItadNormalTextChar"/>
        </w:rPr>
        <w:fldChar w:fldCharType="separate"/>
      </w:r>
      <w:r w:rsidR="009A7BD2">
        <w:rPr>
          <w:rStyle w:val="ItadNormalTextChar"/>
        </w:rPr>
        <w:fldChar w:fldCharType="end"/>
      </w:r>
      <w:r w:rsidR="00774B95" w:rsidRPr="0CB71AAA">
        <w:rPr>
          <w:rStyle w:val="ItadNormalTextChar"/>
        </w:rPr>
        <w:fldChar w:fldCharType="begin"/>
      </w:r>
      <w:r w:rsidR="00774B95" w:rsidRPr="0CB71AAA">
        <w:rPr>
          <w:rStyle w:val="ItadNormalTextChar"/>
        </w:rPr>
        <w:instrText xml:space="preserve"> REF _Ref129336675 \h  \* MERGEFORMAT </w:instrText>
      </w:r>
      <w:r w:rsidR="00774B95" w:rsidRPr="0CB71AAA">
        <w:rPr>
          <w:rStyle w:val="ItadNormalTextChar"/>
        </w:rPr>
      </w:r>
      <w:r w:rsidR="00B33BBD">
        <w:rPr>
          <w:rStyle w:val="ItadNormalTextChar"/>
        </w:rPr>
        <w:fldChar w:fldCharType="separate"/>
      </w:r>
      <w:r w:rsidR="00774B95" w:rsidRPr="0CB71AAA">
        <w:rPr>
          <w:rStyle w:val="ItadNormalTextChar"/>
        </w:rPr>
        <w:fldChar w:fldCharType="end"/>
      </w:r>
      <w:r w:rsidRPr="0CB71AAA">
        <w:rPr>
          <w:rStyle w:val="ItadNormalTextChar"/>
        </w:rPr>
        <w:t xml:space="preserve"> (below).</w:t>
      </w:r>
    </w:p>
    <w:p w14:paraId="2694884F" w14:textId="10FFD05C" w:rsidR="00774B95" w:rsidRPr="00774B95" w:rsidRDefault="54C4238E" w:rsidP="0CB71AAA">
      <w:pPr>
        <w:pStyle w:val="ItadCaption"/>
      </w:pPr>
      <w:bookmarkStart w:id="116" w:name="_Ref144721939"/>
      <w:bookmarkStart w:id="117" w:name="_Toc144722294"/>
      <w:r>
        <w:t xml:space="preserve">Table </w:t>
      </w:r>
      <w:r w:rsidR="00774B95">
        <w:fldChar w:fldCharType="begin"/>
      </w:r>
      <w:r w:rsidR="00774B95">
        <w:instrText>SEQ Table \* ARABIC</w:instrText>
      </w:r>
      <w:r w:rsidR="00774B95">
        <w:fldChar w:fldCharType="separate"/>
      </w:r>
      <w:r w:rsidR="00F62CD8">
        <w:rPr>
          <w:noProof/>
        </w:rPr>
        <w:t>2</w:t>
      </w:r>
      <w:r w:rsidR="00774B95">
        <w:fldChar w:fldCharType="end"/>
      </w:r>
      <w:bookmarkEnd w:id="116"/>
      <w:r w:rsidR="009856BC">
        <w:t>:</w:t>
      </w:r>
      <w:r>
        <w:t xml:space="preserve"> Duration of Fleming Fund support</w:t>
      </w:r>
      <w:bookmarkEnd w:id="117"/>
    </w:p>
    <w:tbl>
      <w:tblPr>
        <w:tblStyle w:val="ItadGreenHeaderRow"/>
        <w:tblW w:w="0" w:type="auto"/>
        <w:tblLook w:val="04A0" w:firstRow="1" w:lastRow="0" w:firstColumn="1" w:lastColumn="0" w:noHBand="0" w:noVBand="1"/>
      </w:tblPr>
      <w:tblGrid>
        <w:gridCol w:w="1552"/>
        <w:gridCol w:w="890"/>
        <w:gridCol w:w="1186"/>
        <w:gridCol w:w="2208"/>
        <w:gridCol w:w="1276"/>
        <w:gridCol w:w="2283"/>
      </w:tblGrid>
      <w:tr w:rsidR="0CB71AAA" w14:paraId="5B83896C" w14:textId="77777777" w:rsidTr="0CB71AAA">
        <w:trPr>
          <w:cnfStyle w:val="100000000000" w:firstRow="1" w:lastRow="0" w:firstColumn="0" w:lastColumn="0" w:oddVBand="0" w:evenVBand="0" w:oddHBand="0" w:evenHBand="0" w:firstRowFirstColumn="0" w:firstRowLastColumn="0" w:lastRowFirstColumn="0" w:lastRowLastColumn="0"/>
          <w:trHeight w:val="300"/>
        </w:trPr>
        <w:tc>
          <w:tcPr>
            <w:tcW w:w="1552" w:type="dxa"/>
            <w:shd w:val="clear" w:color="auto" w:fill="DCEAD6" w:themeFill="text2" w:themeFillTint="33"/>
          </w:tcPr>
          <w:p w14:paraId="5348E610" w14:textId="77777777" w:rsidR="0CB71AAA" w:rsidRDefault="0CB71AAA" w:rsidP="0CB71AAA">
            <w:pPr>
              <w:rPr>
                <w:rFonts w:eastAsia="Times New Roman" w:cstheme="minorBidi"/>
                <w:sz w:val="20"/>
                <w:szCs w:val="20"/>
                <w:lang w:eastAsia="en-GB"/>
              </w:rPr>
            </w:pPr>
            <w:r w:rsidRPr="0CB71AAA">
              <w:rPr>
                <w:rFonts w:eastAsia="Times New Roman" w:cstheme="minorBidi"/>
                <w:sz w:val="20"/>
                <w:szCs w:val="20"/>
                <w:lang w:eastAsia="en-GB"/>
              </w:rPr>
              <w:t>Duration of Fleming Fund support</w:t>
            </w:r>
          </w:p>
        </w:tc>
        <w:tc>
          <w:tcPr>
            <w:tcW w:w="890" w:type="dxa"/>
            <w:shd w:val="clear" w:color="auto" w:fill="DCEAD6" w:themeFill="text2" w:themeFillTint="33"/>
          </w:tcPr>
          <w:p w14:paraId="5D53A8EF" w14:textId="77777777" w:rsidR="0CB71AAA" w:rsidRDefault="0CB71AAA" w:rsidP="0CB71AAA">
            <w:pPr>
              <w:rPr>
                <w:rFonts w:eastAsia="Times New Roman" w:cstheme="minorBidi"/>
                <w:sz w:val="20"/>
                <w:szCs w:val="20"/>
                <w:lang w:eastAsia="en-GB"/>
              </w:rPr>
            </w:pPr>
            <w:r w:rsidRPr="0CB71AAA">
              <w:rPr>
                <w:rFonts w:eastAsia="Times New Roman" w:cstheme="minorBidi"/>
                <w:sz w:val="20"/>
                <w:szCs w:val="20"/>
                <w:lang w:eastAsia="en-GB"/>
              </w:rPr>
              <w:t>Planned (in IP)</w:t>
            </w:r>
          </w:p>
        </w:tc>
        <w:tc>
          <w:tcPr>
            <w:tcW w:w="1186" w:type="dxa"/>
            <w:shd w:val="clear" w:color="auto" w:fill="DCEAD6" w:themeFill="text2" w:themeFillTint="33"/>
          </w:tcPr>
          <w:p w14:paraId="4BDA2590" w14:textId="7E79C7C0" w:rsidR="0CB71AAA" w:rsidRDefault="0CB71AAA" w:rsidP="0CB71AAA">
            <w:pPr>
              <w:rPr>
                <w:rFonts w:eastAsia="Times New Roman" w:cstheme="minorBidi"/>
                <w:sz w:val="20"/>
                <w:szCs w:val="20"/>
                <w:lang w:eastAsia="en-GB"/>
              </w:rPr>
            </w:pPr>
            <w:r w:rsidRPr="0CB71AAA">
              <w:rPr>
                <w:rFonts w:eastAsia="Times New Roman" w:cstheme="minorBidi"/>
                <w:sz w:val="20"/>
                <w:szCs w:val="20"/>
                <w:lang w:eastAsia="en-GB"/>
              </w:rPr>
              <w:t xml:space="preserve"># Countries in June </w:t>
            </w:r>
            <w:r w:rsidR="00AA6A7B">
              <w:rPr>
                <w:rFonts w:eastAsia="Times New Roman" w:cstheme="minorBidi"/>
                <w:sz w:val="20"/>
                <w:szCs w:val="20"/>
                <w:lang w:eastAsia="en-GB"/>
              </w:rPr>
              <w:t>’</w:t>
            </w:r>
            <w:r w:rsidRPr="0CB71AAA">
              <w:rPr>
                <w:rFonts w:eastAsia="Times New Roman" w:cstheme="minorBidi"/>
                <w:sz w:val="20"/>
                <w:szCs w:val="20"/>
                <w:lang w:eastAsia="en-GB"/>
              </w:rPr>
              <w:t>22</w:t>
            </w:r>
          </w:p>
        </w:tc>
        <w:tc>
          <w:tcPr>
            <w:tcW w:w="2208" w:type="dxa"/>
            <w:shd w:val="clear" w:color="auto" w:fill="DCEAD6" w:themeFill="text2" w:themeFillTint="33"/>
          </w:tcPr>
          <w:p w14:paraId="317EEC5B" w14:textId="4ED56579" w:rsidR="0CB71AAA" w:rsidRDefault="0CB71AAA" w:rsidP="0CB71AAA">
            <w:pPr>
              <w:rPr>
                <w:rFonts w:eastAsia="Times New Roman" w:cstheme="minorBidi"/>
                <w:sz w:val="20"/>
                <w:szCs w:val="20"/>
                <w:lang w:eastAsia="en-GB"/>
              </w:rPr>
            </w:pPr>
            <w:r w:rsidRPr="0CB71AAA">
              <w:rPr>
                <w:rFonts w:eastAsia="Times New Roman" w:cstheme="minorBidi"/>
                <w:sz w:val="20"/>
                <w:szCs w:val="20"/>
                <w:lang w:eastAsia="en-GB"/>
              </w:rPr>
              <w:t xml:space="preserve">Countries (Jun </w:t>
            </w:r>
            <w:r w:rsidR="00466266">
              <w:rPr>
                <w:rFonts w:eastAsia="Times New Roman" w:cstheme="minorBidi"/>
                <w:sz w:val="20"/>
                <w:szCs w:val="20"/>
                <w:lang w:eastAsia="en-GB"/>
              </w:rPr>
              <w:t>’</w:t>
            </w:r>
            <w:r w:rsidRPr="0CB71AAA">
              <w:rPr>
                <w:rFonts w:eastAsia="Times New Roman" w:cstheme="minorBidi"/>
                <w:sz w:val="20"/>
                <w:szCs w:val="20"/>
                <w:lang w:eastAsia="en-GB"/>
              </w:rPr>
              <w:t>22)</w:t>
            </w:r>
          </w:p>
          <w:p w14:paraId="58D58012" w14:textId="77777777" w:rsidR="0CB71AAA" w:rsidRDefault="0CB71AAA" w:rsidP="0CB71AAA">
            <w:pPr>
              <w:rPr>
                <w:rFonts w:eastAsia="Times New Roman" w:cstheme="minorBidi"/>
                <w:sz w:val="20"/>
                <w:szCs w:val="20"/>
                <w:lang w:eastAsia="en-GB"/>
              </w:rPr>
            </w:pPr>
          </w:p>
        </w:tc>
        <w:tc>
          <w:tcPr>
            <w:tcW w:w="1276" w:type="dxa"/>
            <w:shd w:val="clear" w:color="auto" w:fill="DCEAD6" w:themeFill="text2" w:themeFillTint="33"/>
          </w:tcPr>
          <w:p w14:paraId="4E62C83D" w14:textId="09254EFF" w:rsidR="0CB71AAA" w:rsidRDefault="0CB71AAA" w:rsidP="0CB71AAA">
            <w:pPr>
              <w:rPr>
                <w:rFonts w:eastAsia="Times New Roman" w:cstheme="minorBidi"/>
                <w:sz w:val="20"/>
                <w:szCs w:val="20"/>
                <w:lang w:eastAsia="en-GB"/>
              </w:rPr>
            </w:pPr>
            <w:r w:rsidRPr="0CB71AAA">
              <w:rPr>
                <w:rFonts w:eastAsia="Times New Roman" w:cstheme="minorBidi"/>
                <w:sz w:val="20"/>
                <w:szCs w:val="20"/>
                <w:lang w:eastAsia="en-GB"/>
              </w:rPr>
              <w:t xml:space="preserve"># Countries in Dec </w:t>
            </w:r>
            <w:r w:rsidR="00AA6A7B">
              <w:rPr>
                <w:rFonts w:eastAsia="Times New Roman" w:cstheme="minorBidi"/>
                <w:sz w:val="20"/>
                <w:szCs w:val="20"/>
                <w:lang w:eastAsia="en-GB"/>
              </w:rPr>
              <w:t>’</w:t>
            </w:r>
            <w:r w:rsidRPr="0CB71AAA">
              <w:rPr>
                <w:rFonts w:eastAsia="Times New Roman" w:cstheme="minorBidi"/>
                <w:sz w:val="20"/>
                <w:szCs w:val="20"/>
                <w:lang w:eastAsia="en-GB"/>
              </w:rPr>
              <w:t>22</w:t>
            </w:r>
          </w:p>
        </w:tc>
        <w:tc>
          <w:tcPr>
            <w:tcW w:w="2283" w:type="dxa"/>
            <w:shd w:val="clear" w:color="auto" w:fill="DCEAD6" w:themeFill="text2" w:themeFillTint="33"/>
          </w:tcPr>
          <w:p w14:paraId="67E9BC22" w14:textId="50103509" w:rsidR="0CB71AAA" w:rsidRDefault="0CB71AAA" w:rsidP="0CB71AAA">
            <w:pPr>
              <w:rPr>
                <w:rFonts w:eastAsia="Times New Roman" w:cstheme="minorBidi"/>
                <w:sz w:val="20"/>
                <w:szCs w:val="20"/>
                <w:lang w:eastAsia="en-GB"/>
              </w:rPr>
            </w:pPr>
            <w:r w:rsidRPr="0CB71AAA">
              <w:rPr>
                <w:rFonts w:eastAsia="Times New Roman" w:cstheme="minorBidi"/>
                <w:sz w:val="20"/>
                <w:szCs w:val="20"/>
                <w:lang w:eastAsia="en-GB"/>
              </w:rPr>
              <w:t xml:space="preserve">Countries (Dec </w:t>
            </w:r>
            <w:r w:rsidR="00AA6A7B">
              <w:rPr>
                <w:rFonts w:eastAsia="Times New Roman" w:cstheme="minorBidi"/>
                <w:sz w:val="20"/>
                <w:szCs w:val="20"/>
                <w:lang w:eastAsia="en-GB"/>
              </w:rPr>
              <w:t>’</w:t>
            </w:r>
            <w:r w:rsidRPr="0CB71AAA">
              <w:rPr>
                <w:rFonts w:eastAsia="Times New Roman" w:cstheme="minorBidi"/>
                <w:sz w:val="20"/>
                <w:szCs w:val="20"/>
                <w:lang w:eastAsia="en-GB"/>
              </w:rPr>
              <w:t>22)</w:t>
            </w:r>
          </w:p>
        </w:tc>
      </w:tr>
      <w:tr w:rsidR="0CB71AAA" w14:paraId="0A1EEFE4" w14:textId="77777777" w:rsidTr="0CB71AAA">
        <w:trPr>
          <w:cnfStyle w:val="000000100000" w:firstRow="0" w:lastRow="0" w:firstColumn="0" w:lastColumn="0" w:oddVBand="0" w:evenVBand="0" w:oddHBand="1" w:evenHBand="0" w:firstRowFirstColumn="0" w:firstRowLastColumn="0" w:lastRowFirstColumn="0" w:lastRowLastColumn="0"/>
          <w:trHeight w:val="300"/>
        </w:trPr>
        <w:tc>
          <w:tcPr>
            <w:tcW w:w="1552" w:type="dxa"/>
          </w:tcPr>
          <w:p w14:paraId="4763A635" w14:textId="2C3ADA1A" w:rsidR="0CB71AAA" w:rsidRDefault="0CB71AAA" w:rsidP="0CB71AAA">
            <w:pPr>
              <w:rPr>
                <w:rFonts w:eastAsia="Times New Roman" w:cstheme="minorBidi"/>
                <w:sz w:val="20"/>
                <w:szCs w:val="20"/>
                <w:lang w:eastAsia="en-GB"/>
              </w:rPr>
            </w:pPr>
            <w:r w:rsidRPr="0CB71AAA">
              <w:rPr>
                <w:rFonts w:cs="Calibri"/>
                <w:sz w:val="20"/>
                <w:szCs w:val="20"/>
              </w:rPr>
              <w:t>13</w:t>
            </w:r>
            <w:r w:rsidR="009856BC">
              <w:rPr>
                <w:rFonts w:cs="Calibri"/>
                <w:sz w:val="20"/>
                <w:szCs w:val="20"/>
              </w:rPr>
              <w:t>–</w:t>
            </w:r>
            <w:r w:rsidRPr="0CB71AAA">
              <w:rPr>
                <w:rFonts w:cs="Calibri"/>
                <w:sz w:val="20"/>
                <w:szCs w:val="20"/>
              </w:rPr>
              <w:t>24 months implementation</w:t>
            </w:r>
          </w:p>
        </w:tc>
        <w:tc>
          <w:tcPr>
            <w:tcW w:w="890" w:type="dxa"/>
          </w:tcPr>
          <w:p w14:paraId="231E011A" w14:textId="77777777" w:rsidR="0CB71AAA" w:rsidRDefault="0CB71AAA" w:rsidP="0CB71AAA">
            <w:pPr>
              <w:rPr>
                <w:rFonts w:cstheme="minorBidi"/>
                <w:sz w:val="20"/>
                <w:szCs w:val="20"/>
              </w:rPr>
            </w:pPr>
            <w:r w:rsidRPr="0CB71AAA">
              <w:rPr>
                <w:rFonts w:cstheme="minorBidi"/>
                <w:color w:val="auto"/>
                <w:sz w:val="20"/>
                <w:szCs w:val="20"/>
              </w:rPr>
              <w:t>0</w:t>
            </w:r>
          </w:p>
        </w:tc>
        <w:tc>
          <w:tcPr>
            <w:tcW w:w="1186" w:type="dxa"/>
          </w:tcPr>
          <w:p w14:paraId="63416B69" w14:textId="77777777" w:rsidR="0CB71AAA" w:rsidRDefault="0CB71AAA" w:rsidP="0CB71AAA">
            <w:pPr>
              <w:rPr>
                <w:rFonts w:eastAsia="Times New Roman" w:cstheme="minorBidi"/>
                <w:sz w:val="20"/>
                <w:szCs w:val="20"/>
                <w:lang w:eastAsia="en-GB"/>
              </w:rPr>
            </w:pPr>
            <w:r w:rsidRPr="0CB71AAA">
              <w:rPr>
                <w:rFonts w:cstheme="minorBidi"/>
                <w:color w:val="auto"/>
                <w:sz w:val="20"/>
                <w:szCs w:val="20"/>
              </w:rPr>
              <w:t>3</w:t>
            </w:r>
          </w:p>
        </w:tc>
        <w:tc>
          <w:tcPr>
            <w:tcW w:w="2208" w:type="dxa"/>
          </w:tcPr>
          <w:p w14:paraId="3B4204F3" w14:textId="4B1A7EC8" w:rsidR="0CB71AAA" w:rsidRDefault="0CB71AAA" w:rsidP="0CB71AAA">
            <w:pPr>
              <w:rPr>
                <w:rFonts w:eastAsia="Times New Roman" w:cstheme="minorBidi"/>
                <w:sz w:val="20"/>
                <w:szCs w:val="20"/>
                <w:lang w:eastAsia="en-GB"/>
              </w:rPr>
            </w:pPr>
            <w:r w:rsidRPr="0CB71AAA">
              <w:rPr>
                <w:rFonts w:eastAsia="Times New Roman" w:cstheme="minorBidi"/>
                <w:sz w:val="20"/>
                <w:szCs w:val="20"/>
                <w:lang w:eastAsia="en-GB"/>
              </w:rPr>
              <w:t xml:space="preserve">India, </w:t>
            </w:r>
            <w:r w:rsidRPr="0CB71AAA">
              <w:rPr>
                <w:rFonts w:eastAsia="Times New Roman" w:cstheme="minorBidi"/>
                <w:b/>
                <w:bCs/>
                <w:sz w:val="20"/>
                <w:szCs w:val="20"/>
                <w:lang w:eastAsia="en-GB"/>
              </w:rPr>
              <w:t>Senegal, Sierra Leone*</w:t>
            </w:r>
          </w:p>
        </w:tc>
        <w:tc>
          <w:tcPr>
            <w:tcW w:w="1276" w:type="dxa"/>
          </w:tcPr>
          <w:p w14:paraId="2ACFC018" w14:textId="77777777" w:rsidR="0CB71AAA" w:rsidRDefault="0CB71AAA" w:rsidP="0CB71AAA">
            <w:pPr>
              <w:rPr>
                <w:rFonts w:eastAsia="Times New Roman" w:cstheme="minorBidi"/>
                <w:sz w:val="20"/>
                <w:szCs w:val="20"/>
                <w:lang w:eastAsia="en-GB"/>
              </w:rPr>
            </w:pPr>
            <w:r w:rsidRPr="0CB71AAA">
              <w:rPr>
                <w:rFonts w:cstheme="minorBidi"/>
                <w:color w:val="auto"/>
                <w:sz w:val="20"/>
                <w:szCs w:val="20"/>
              </w:rPr>
              <w:t>1</w:t>
            </w:r>
          </w:p>
        </w:tc>
        <w:tc>
          <w:tcPr>
            <w:tcW w:w="2283" w:type="dxa"/>
          </w:tcPr>
          <w:p w14:paraId="0E6CD2BC" w14:textId="5CBD4540" w:rsidR="0CB71AAA" w:rsidRDefault="0CB71AAA" w:rsidP="0CB71AAA">
            <w:pPr>
              <w:rPr>
                <w:rFonts w:cstheme="minorBidi"/>
                <w:sz w:val="20"/>
                <w:szCs w:val="20"/>
              </w:rPr>
            </w:pPr>
            <w:r w:rsidRPr="0CB71AAA">
              <w:rPr>
                <w:rFonts w:cstheme="minorBidi"/>
                <w:sz w:val="20"/>
                <w:szCs w:val="20"/>
              </w:rPr>
              <w:t>India</w:t>
            </w:r>
          </w:p>
        </w:tc>
      </w:tr>
      <w:tr w:rsidR="0CB71AAA" w:rsidRPr="00DC7636" w14:paraId="7D51FD2D" w14:textId="77777777" w:rsidTr="0CB71AAA">
        <w:trPr>
          <w:cnfStyle w:val="000000010000" w:firstRow="0" w:lastRow="0" w:firstColumn="0" w:lastColumn="0" w:oddVBand="0" w:evenVBand="0" w:oddHBand="0" w:evenHBand="1" w:firstRowFirstColumn="0" w:firstRowLastColumn="0" w:lastRowFirstColumn="0" w:lastRowLastColumn="0"/>
          <w:trHeight w:val="300"/>
        </w:trPr>
        <w:tc>
          <w:tcPr>
            <w:tcW w:w="1552" w:type="dxa"/>
          </w:tcPr>
          <w:p w14:paraId="091CC240" w14:textId="68CDD004" w:rsidR="0CB71AAA" w:rsidRDefault="0CB71AAA" w:rsidP="0CB71AAA">
            <w:pPr>
              <w:rPr>
                <w:rFonts w:eastAsia="Times New Roman" w:cstheme="minorBidi"/>
                <w:sz w:val="20"/>
                <w:szCs w:val="20"/>
                <w:lang w:eastAsia="en-GB"/>
              </w:rPr>
            </w:pPr>
            <w:r w:rsidRPr="0CB71AAA">
              <w:rPr>
                <w:rFonts w:cs="Calibri"/>
                <w:sz w:val="20"/>
                <w:szCs w:val="20"/>
              </w:rPr>
              <w:t>25</w:t>
            </w:r>
            <w:r w:rsidR="009856BC">
              <w:rPr>
                <w:rFonts w:cs="Calibri"/>
                <w:sz w:val="20"/>
                <w:szCs w:val="20"/>
              </w:rPr>
              <w:t>–</w:t>
            </w:r>
            <w:r w:rsidRPr="0CB71AAA">
              <w:rPr>
                <w:rFonts w:cs="Calibri"/>
                <w:sz w:val="20"/>
                <w:szCs w:val="20"/>
              </w:rPr>
              <w:t>35 months implementation</w:t>
            </w:r>
          </w:p>
        </w:tc>
        <w:tc>
          <w:tcPr>
            <w:tcW w:w="890" w:type="dxa"/>
          </w:tcPr>
          <w:p w14:paraId="2EB898F5" w14:textId="77777777" w:rsidR="0CB71AAA" w:rsidRDefault="0CB71AAA" w:rsidP="0CB71AAA">
            <w:pPr>
              <w:rPr>
                <w:rFonts w:cstheme="minorBidi"/>
                <w:sz w:val="20"/>
                <w:szCs w:val="20"/>
              </w:rPr>
            </w:pPr>
            <w:r w:rsidRPr="0CB71AAA">
              <w:rPr>
                <w:rFonts w:cstheme="minorBidi"/>
                <w:color w:val="auto"/>
                <w:sz w:val="20"/>
                <w:szCs w:val="20"/>
              </w:rPr>
              <w:t>8</w:t>
            </w:r>
          </w:p>
        </w:tc>
        <w:tc>
          <w:tcPr>
            <w:tcW w:w="1186" w:type="dxa"/>
          </w:tcPr>
          <w:p w14:paraId="7E340651" w14:textId="77777777" w:rsidR="0CB71AAA" w:rsidRDefault="0CB71AAA" w:rsidP="0CB71AAA">
            <w:pPr>
              <w:rPr>
                <w:rFonts w:eastAsia="Times New Roman" w:cstheme="minorBidi"/>
                <w:sz w:val="20"/>
                <w:szCs w:val="20"/>
                <w:lang w:eastAsia="en-GB"/>
              </w:rPr>
            </w:pPr>
            <w:r w:rsidRPr="0CB71AAA">
              <w:rPr>
                <w:rFonts w:cstheme="minorBidi"/>
                <w:color w:val="auto"/>
                <w:sz w:val="20"/>
                <w:szCs w:val="20"/>
              </w:rPr>
              <w:t>10</w:t>
            </w:r>
          </w:p>
        </w:tc>
        <w:tc>
          <w:tcPr>
            <w:tcW w:w="2208" w:type="dxa"/>
          </w:tcPr>
          <w:p w14:paraId="515E3BF7" w14:textId="77777777" w:rsidR="0CB71AAA" w:rsidRDefault="0CB71AAA" w:rsidP="0CB71AAA">
            <w:pPr>
              <w:rPr>
                <w:rFonts w:eastAsia="Times New Roman" w:cstheme="minorBidi"/>
                <w:sz w:val="20"/>
                <w:szCs w:val="20"/>
                <w:lang w:eastAsia="en-GB"/>
              </w:rPr>
            </w:pPr>
            <w:r w:rsidRPr="0CB71AAA">
              <w:rPr>
                <w:rStyle w:val="cf01"/>
                <w:rFonts w:asciiTheme="minorHAnsi" w:hAnsiTheme="minorHAnsi" w:cstheme="minorBidi"/>
                <w:b/>
                <w:bCs/>
                <w:sz w:val="20"/>
                <w:szCs w:val="20"/>
              </w:rPr>
              <w:t>Bangladesh</w:t>
            </w:r>
            <w:r w:rsidRPr="0CB71AAA">
              <w:rPr>
                <w:rStyle w:val="cf01"/>
                <w:rFonts w:asciiTheme="minorHAnsi" w:hAnsiTheme="minorHAnsi" w:cstheme="minorBidi"/>
                <w:sz w:val="20"/>
                <w:szCs w:val="20"/>
              </w:rPr>
              <w:t xml:space="preserve">, Eswatini, </w:t>
            </w:r>
            <w:r w:rsidRPr="0CB71AAA">
              <w:rPr>
                <w:rStyle w:val="cf01"/>
                <w:rFonts w:asciiTheme="minorHAnsi" w:hAnsiTheme="minorHAnsi" w:cstheme="minorBidi"/>
                <w:b/>
                <w:bCs/>
                <w:sz w:val="20"/>
                <w:szCs w:val="20"/>
              </w:rPr>
              <w:t>Indonesia, Kenya,</w:t>
            </w:r>
            <w:r w:rsidRPr="0CB71AAA">
              <w:rPr>
                <w:rStyle w:val="cf01"/>
                <w:rFonts w:asciiTheme="minorHAnsi" w:hAnsiTheme="minorHAnsi" w:cstheme="minorBidi"/>
                <w:sz w:val="20"/>
                <w:szCs w:val="20"/>
              </w:rPr>
              <w:t xml:space="preserve"> Malawi, Myanmar, PNG, Sri Lanka, </w:t>
            </w:r>
            <w:r w:rsidRPr="0CB71AAA">
              <w:rPr>
                <w:rStyle w:val="cf01"/>
                <w:rFonts w:asciiTheme="minorHAnsi" w:hAnsiTheme="minorHAnsi" w:cstheme="minorBidi"/>
                <w:b/>
                <w:bCs/>
                <w:sz w:val="20"/>
                <w:szCs w:val="20"/>
              </w:rPr>
              <w:t>Zambia</w:t>
            </w:r>
            <w:r w:rsidRPr="0CB71AAA">
              <w:rPr>
                <w:rStyle w:val="cf01"/>
                <w:rFonts w:asciiTheme="minorHAnsi" w:hAnsiTheme="minorHAnsi" w:cstheme="minorBidi"/>
                <w:sz w:val="20"/>
                <w:szCs w:val="20"/>
              </w:rPr>
              <w:t>, Zimbabwe</w:t>
            </w:r>
          </w:p>
        </w:tc>
        <w:tc>
          <w:tcPr>
            <w:tcW w:w="1276" w:type="dxa"/>
          </w:tcPr>
          <w:p w14:paraId="4EEC943F" w14:textId="3AB2089D" w:rsidR="00585C49" w:rsidRDefault="009856BC" w:rsidP="0CB71AAA">
            <w:pPr>
              <w:rPr>
                <w:rStyle w:val="cf01"/>
                <w:rFonts w:asciiTheme="minorHAnsi" w:hAnsiTheme="minorHAnsi" w:cstheme="minorBidi"/>
                <w:sz w:val="20"/>
                <w:szCs w:val="20"/>
              </w:rPr>
            </w:pPr>
            <w:r>
              <w:rPr>
                <w:rFonts w:cstheme="minorBidi"/>
                <w:color w:val="auto"/>
                <w:sz w:val="20"/>
                <w:szCs w:val="20"/>
              </w:rPr>
              <w:t>5</w:t>
            </w:r>
          </w:p>
        </w:tc>
        <w:tc>
          <w:tcPr>
            <w:tcW w:w="2283" w:type="dxa"/>
          </w:tcPr>
          <w:p w14:paraId="7B3B21DF" w14:textId="5612A6DE" w:rsidR="0CB71AAA" w:rsidRDefault="0CB71AAA" w:rsidP="0CB71AAA">
            <w:pPr>
              <w:rPr>
                <w:rFonts w:cstheme="minorBidi"/>
                <w:sz w:val="20"/>
                <w:szCs w:val="20"/>
                <w:lang w:val="it-IT"/>
              </w:rPr>
            </w:pPr>
            <w:r w:rsidRPr="0CB71AAA">
              <w:rPr>
                <w:rStyle w:val="cf01"/>
                <w:rFonts w:asciiTheme="minorHAnsi" w:hAnsiTheme="minorHAnsi" w:cstheme="minorBidi"/>
                <w:sz w:val="20"/>
                <w:szCs w:val="20"/>
                <w:lang w:val="it-IT"/>
              </w:rPr>
              <w:t xml:space="preserve">Eswatini, Malawi, </w:t>
            </w:r>
            <w:r w:rsidRPr="0CB71AAA">
              <w:rPr>
                <w:rFonts w:eastAsia="Times New Roman" w:cstheme="minorBidi"/>
                <w:b/>
                <w:bCs/>
                <w:sz w:val="20"/>
                <w:szCs w:val="20"/>
                <w:lang w:val="it-IT" w:eastAsia="en-GB"/>
              </w:rPr>
              <w:t>Senegal, Sierra Leone</w:t>
            </w:r>
            <w:r w:rsidRPr="0CB71AAA">
              <w:rPr>
                <w:rFonts w:eastAsia="Times New Roman" w:cstheme="minorBidi"/>
                <w:sz w:val="20"/>
                <w:szCs w:val="20"/>
                <w:lang w:val="it-IT" w:eastAsia="en-GB"/>
              </w:rPr>
              <w:t xml:space="preserve">, </w:t>
            </w:r>
            <w:r w:rsidRPr="0CB71AAA">
              <w:rPr>
                <w:rStyle w:val="cf01"/>
                <w:rFonts w:asciiTheme="minorHAnsi" w:hAnsiTheme="minorHAnsi" w:cstheme="minorBidi"/>
                <w:sz w:val="20"/>
                <w:szCs w:val="20"/>
                <w:lang w:val="it-IT"/>
              </w:rPr>
              <w:t>Zimbabwe</w:t>
            </w:r>
          </w:p>
        </w:tc>
      </w:tr>
      <w:tr w:rsidR="0CB71AAA" w14:paraId="13DBAAD2" w14:textId="77777777" w:rsidTr="0CB71AAA">
        <w:trPr>
          <w:cnfStyle w:val="000000100000" w:firstRow="0" w:lastRow="0" w:firstColumn="0" w:lastColumn="0" w:oddVBand="0" w:evenVBand="0" w:oddHBand="1" w:evenHBand="0" w:firstRowFirstColumn="0" w:firstRowLastColumn="0" w:lastRowFirstColumn="0" w:lastRowLastColumn="0"/>
          <w:trHeight w:val="300"/>
        </w:trPr>
        <w:tc>
          <w:tcPr>
            <w:tcW w:w="1552" w:type="dxa"/>
          </w:tcPr>
          <w:p w14:paraId="7B3022D1" w14:textId="5B013CBC" w:rsidR="0CB71AAA" w:rsidRDefault="0CB71AAA" w:rsidP="0CB71AAA">
            <w:pPr>
              <w:rPr>
                <w:rFonts w:eastAsia="Times New Roman" w:cstheme="minorBidi"/>
                <w:sz w:val="20"/>
                <w:szCs w:val="20"/>
                <w:lang w:eastAsia="en-GB"/>
              </w:rPr>
            </w:pPr>
            <w:r w:rsidRPr="0CB71AAA">
              <w:rPr>
                <w:rFonts w:cs="Calibri"/>
                <w:sz w:val="20"/>
                <w:szCs w:val="20"/>
              </w:rPr>
              <w:t>36</w:t>
            </w:r>
            <w:r w:rsidR="009856BC">
              <w:rPr>
                <w:rFonts w:cs="Calibri"/>
                <w:sz w:val="20"/>
                <w:szCs w:val="20"/>
              </w:rPr>
              <w:t>–</w:t>
            </w:r>
            <w:r w:rsidRPr="0CB71AAA">
              <w:rPr>
                <w:rFonts w:cs="Calibri"/>
                <w:sz w:val="20"/>
                <w:szCs w:val="20"/>
              </w:rPr>
              <w:t>47 months implementation</w:t>
            </w:r>
          </w:p>
        </w:tc>
        <w:tc>
          <w:tcPr>
            <w:tcW w:w="890" w:type="dxa"/>
          </w:tcPr>
          <w:p w14:paraId="6712E632" w14:textId="77777777" w:rsidR="0CB71AAA" w:rsidRDefault="0CB71AAA" w:rsidP="0CB71AAA">
            <w:pPr>
              <w:rPr>
                <w:rFonts w:cstheme="minorBidi"/>
                <w:sz w:val="20"/>
                <w:szCs w:val="20"/>
              </w:rPr>
            </w:pPr>
            <w:r w:rsidRPr="0CB71AAA">
              <w:rPr>
                <w:rFonts w:cstheme="minorBidi"/>
                <w:color w:val="auto"/>
                <w:sz w:val="20"/>
                <w:szCs w:val="20"/>
              </w:rPr>
              <w:t>12</w:t>
            </w:r>
          </w:p>
        </w:tc>
        <w:tc>
          <w:tcPr>
            <w:tcW w:w="1186" w:type="dxa"/>
          </w:tcPr>
          <w:p w14:paraId="411D60FE" w14:textId="77777777" w:rsidR="0CB71AAA" w:rsidRDefault="0CB71AAA" w:rsidP="0CB71AAA">
            <w:pPr>
              <w:rPr>
                <w:rFonts w:eastAsia="Times New Roman" w:cstheme="minorBidi"/>
                <w:sz w:val="20"/>
                <w:szCs w:val="20"/>
                <w:lang w:eastAsia="en-GB"/>
              </w:rPr>
            </w:pPr>
            <w:r w:rsidRPr="0CB71AAA">
              <w:rPr>
                <w:rFonts w:cstheme="minorBidi"/>
                <w:color w:val="auto"/>
                <w:sz w:val="20"/>
                <w:szCs w:val="20"/>
              </w:rPr>
              <w:t>10</w:t>
            </w:r>
          </w:p>
        </w:tc>
        <w:tc>
          <w:tcPr>
            <w:tcW w:w="2208" w:type="dxa"/>
          </w:tcPr>
          <w:p w14:paraId="35DBF057" w14:textId="77777777" w:rsidR="0CB71AAA" w:rsidRPr="002F06A4" w:rsidRDefault="0CB71AAA" w:rsidP="0CB71AAA">
            <w:pPr>
              <w:rPr>
                <w:rFonts w:eastAsia="Times New Roman" w:cstheme="minorBidi"/>
                <w:b/>
                <w:bCs/>
                <w:sz w:val="20"/>
                <w:szCs w:val="20"/>
                <w:lang w:eastAsia="en-GB"/>
              </w:rPr>
            </w:pPr>
            <w:r w:rsidRPr="002F06A4">
              <w:rPr>
                <w:rStyle w:val="cf01"/>
                <w:rFonts w:asciiTheme="minorHAnsi" w:hAnsiTheme="minorHAnsi" w:cstheme="minorBidi"/>
                <w:b/>
                <w:bCs/>
                <w:sz w:val="20"/>
                <w:szCs w:val="20"/>
              </w:rPr>
              <w:t>Bhutan, Ghana, Laos, Nepal, Nigeria, Pakistan, Tanzania, Timor-Leste, Uganda, Vietnam</w:t>
            </w:r>
          </w:p>
        </w:tc>
        <w:tc>
          <w:tcPr>
            <w:tcW w:w="1276" w:type="dxa"/>
          </w:tcPr>
          <w:p w14:paraId="7B0D55A3" w14:textId="7BEA7303" w:rsidR="0CB71AAA" w:rsidRDefault="0CB71AAA" w:rsidP="0CB71AAA">
            <w:pPr>
              <w:rPr>
                <w:rStyle w:val="cf01"/>
                <w:rFonts w:asciiTheme="minorHAnsi" w:hAnsiTheme="minorHAnsi" w:cstheme="minorBidi"/>
                <w:sz w:val="20"/>
                <w:szCs w:val="20"/>
              </w:rPr>
            </w:pPr>
            <w:r w:rsidRPr="0CB71AAA">
              <w:rPr>
                <w:rFonts w:cstheme="minorBidi"/>
                <w:color w:val="auto"/>
                <w:sz w:val="20"/>
                <w:szCs w:val="20"/>
              </w:rPr>
              <w:t>14</w:t>
            </w:r>
          </w:p>
        </w:tc>
        <w:tc>
          <w:tcPr>
            <w:tcW w:w="2283" w:type="dxa"/>
          </w:tcPr>
          <w:p w14:paraId="6D47CD43" w14:textId="573B6A2B" w:rsidR="0CB71AAA" w:rsidRDefault="0CB71AAA" w:rsidP="0CB71AAA">
            <w:pPr>
              <w:rPr>
                <w:rFonts w:asciiTheme="minorHAnsi" w:hAnsiTheme="minorHAnsi" w:cstheme="minorBidi"/>
                <w:sz w:val="20"/>
                <w:szCs w:val="20"/>
              </w:rPr>
            </w:pPr>
            <w:r w:rsidRPr="0CB71AAA">
              <w:rPr>
                <w:rStyle w:val="cf01"/>
                <w:rFonts w:asciiTheme="minorHAnsi" w:hAnsiTheme="minorHAnsi" w:cstheme="minorBidi"/>
                <w:b/>
                <w:bCs/>
                <w:sz w:val="20"/>
                <w:szCs w:val="20"/>
              </w:rPr>
              <w:t>Bangladesh</w:t>
            </w:r>
            <w:r w:rsidRPr="0CB71AAA">
              <w:rPr>
                <w:rStyle w:val="cf01"/>
                <w:rFonts w:asciiTheme="minorHAnsi" w:hAnsiTheme="minorHAnsi" w:cstheme="minorBidi"/>
                <w:sz w:val="20"/>
                <w:szCs w:val="20"/>
              </w:rPr>
              <w:t xml:space="preserve">, </w:t>
            </w:r>
            <w:r w:rsidRPr="0CB71AAA">
              <w:rPr>
                <w:rStyle w:val="cf01"/>
                <w:rFonts w:asciiTheme="minorHAnsi" w:hAnsiTheme="minorHAnsi" w:cstheme="minorBidi"/>
                <w:b/>
                <w:bCs/>
                <w:sz w:val="20"/>
                <w:szCs w:val="20"/>
              </w:rPr>
              <w:t>Bhutan, Indonesia, Kenya, Laos</w:t>
            </w:r>
            <w:r w:rsidRPr="0CB71AAA">
              <w:rPr>
                <w:rStyle w:val="cf01"/>
                <w:rFonts w:asciiTheme="minorHAnsi" w:hAnsiTheme="minorHAnsi" w:cstheme="minorBidi"/>
                <w:sz w:val="20"/>
                <w:szCs w:val="20"/>
              </w:rPr>
              <w:t xml:space="preserve">, Myanmar, </w:t>
            </w:r>
            <w:r w:rsidRPr="0CB71AAA">
              <w:rPr>
                <w:rStyle w:val="cf01"/>
                <w:rFonts w:asciiTheme="minorHAnsi" w:hAnsiTheme="minorHAnsi" w:cstheme="minorBidi"/>
                <w:b/>
                <w:bCs/>
                <w:sz w:val="20"/>
                <w:szCs w:val="20"/>
              </w:rPr>
              <w:t>Nigeria, Pakistan</w:t>
            </w:r>
            <w:r w:rsidRPr="0CB71AAA">
              <w:rPr>
                <w:rStyle w:val="cf01"/>
                <w:rFonts w:asciiTheme="minorHAnsi" w:hAnsiTheme="minorHAnsi" w:cstheme="minorBidi"/>
                <w:sz w:val="20"/>
                <w:szCs w:val="20"/>
              </w:rPr>
              <w:t xml:space="preserve">, PNG, Sri Lanka, </w:t>
            </w:r>
            <w:r w:rsidRPr="0CB71AAA">
              <w:rPr>
                <w:rStyle w:val="cf01"/>
                <w:rFonts w:asciiTheme="minorHAnsi" w:hAnsiTheme="minorHAnsi" w:cstheme="minorBidi"/>
                <w:b/>
                <w:bCs/>
                <w:sz w:val="20"/>
                <w:szCs w:val="20"/>
              </w:rPr>
              <w:t>Tanzania, Timor-Leste, Vietnam, Zambia</w:t>
            </w:r>
            <w:r w:rsidRPr="0CB71AAA">
              <w:rPr>
                <w:rStyle w:val="cf01"/>
                <w:rFonts w:asciiTheme="minorHAnsi" w:hAnsiTheme="minorHAnsi" w:cstheme="minorBidi"/>
                <w:sz w:val="20"/>
                <w:szCs w:val="20"/>
              </w:rPr>
              <w:t>.</w:t>
            </w:r>
          </w:p>
        </w:tc>
      </w:tr>
      <w:tr w:rsidR="0CB71AAA" w14:paraId="60D397C8" w14:textId="77777777" w:rsidTr="0CB71AAA">
        <w:trPr>
          <w:cnfStyle w:val="000000010000" w:firstRow="0" w:lastRow="0" w:firstColumn="0" w:lastColumn="0" w:oddVBand="0" w:evenVBand="0" w:oddHBand="0" w:evenHBand="1" w:firstRowFirstColumn="0" w:firstRowLastColumn="0" w:lastRowFirstColumn="0" w:lastRowLastColumn="0"/>
          <w:trHeight w:val="149"/>
        </w:trPr>
        <w:tc>
          <w:tcPr>
            <w:tcW w:w="1552" w:type="dxa"/>
          </w:tcPr>
          <w:p w14:paraId="61353A26" w14:textId="6C4B3FFC" w:rsidR="0CB71AAA" w:rsidRDefault="0CB71AAA" w:rsidP="0CB71AAA">
            <w:pPr>
              <w:rPr>
                <w:rFonts w:eastAsia="Times New Roman" w:cstheme="minorBidi"/>
                <w:sz w:val="20"/>
                <w:szCs w:val="20"/>
                <w:lang w:eastAsia="en-GB"/>
              </w:rPr>
            </w:pPr>
            <w:r w:rsidRPr="0CB71AAA">
              <w:rPr>
                <w:rFonts w:cs="Calibri"/>
                <w:sz w:val="20"/>
                <w:szCs w:val="20"/>
              </w:rPr>
              <w:t>48+ months implementation</w:t>
            </w:r>
          </w:p>
        </w:tc>
        <w:tc>
          <w:tcPr>
            <w:tcW w:w="890" w:type="dxa"/>
          </w:tcPr>
          <w:p w14:paraId="01AA4562" w14:textId="77777777" w:rsidR="0CB71AAA" w:rsidRDefault="0CB71AAA" w:rsidP="0CB71AAA">
            <w:pPr>
              <w:rPr>
                <w:rFonts w:cstheme="minorBidi"/>
                <w:sz w:val="20"/>
                <w:szCs w:val="20"/>
              </w:rPr>
            </w:pPr>
            <w:r w:rsidRPr="0CB71AAA">
              <w:rPr>
                <w:rFonts w:cstheme="minorBidi"/>
                <w:color w:val="auto"/>
                <w:sz w:val="20"/>
                <w:szCs w:val="20"/>
              </w:rPr>
              <w:t>4</w:t>
            </w:r>
          </w:p>
        </w:tc>
        <w:tc>
          <w:tcPr>
            <w:tcW w:w="1186" w:type="dxa"/>
          </w:tcPr>
          <w:p w14:paraId="2D457388" w14:textId="77777777" w:rsidR="0CB71AAA" w:rsidRDefault="0CB71AAA" w:rsidP="0CB71AAA">
            <w:pPr>
              <w:rPr>
                <w:rFonts w:eastAsia="Times New Roman" w:cstheme="minorBidi"/>
                <w:sz w:val="20"/>
                <w:szCs w:val="20"/>
                <w:lang w:eastAsia="en-GB"/>
              </w:rPr>
            </w:pPr>
            <w:r w:rsidRPr="0CB71AAA">
              <w:rPr>
                <w:rFonts w:cstheme="minorBidi"/>
                <w:color w:val="auto"/>
                <w:sz w:val="20"/>
                <w:szCs w:val="20"/>
              </w:rPr>
              <w:t>0</w:t>
            </w:r>
          </w:p>
        </w:tc>
        <w:tc>
          <w:tcPr>
            <w:tcW w:w="2208" w:type="dxa"/>
          </w:tcPr>
          <w:p w14:paraId="1121129F" w14:textId="77777777" w:rsidR="0CB71AAA" w:rsidRDefault="0CB71AAA" w:rsidP="0CB71AAA">
            <w:pPr>
              <w:rPr>
                <w:rFonts w:eastAsia="Times New Roman" w:cstheme="minorBidi"/>
                <w:sz w:val="20"/>
                <w:szCs w:val="20"/>
                <w:lang w:eastAsia="en-GB"/>
              </w:rPr>
            </w:pPr>
          </w:p>
        </w:tc>
        <w:tc>
          <w:tcPr>
            <w:tcW w:w="1276" w:type="dxa"/>
          </w:tcPr>
          <w:p w14:paraId="434D0DD4" w14:textId="77777777" w:rsidR="0CB71AAA" w:rsidRDefault="0CB71AAA" w:rsidP="0CB71AAA">
            <w:pPr>
              <w:rPr>
                <w:rFonts w:eastAsia="Times New Roman" w:cstheme="minorBidi"/>
                <w:sz w:val="20"/>
                <w:szCs w:val="20"/>
                <w:lang w:eastAsia="en-GB"/>
              </w:rPr>
            </w:pPr>
            <w:r w:rsidRPr="0CB71AAA">
              <w:rPr>
                <w:rFonts w:cstheme="minorBidi"/>
                <w:color w:val="auto"/>
                <w:sz w:val="20"/>
                <w:szCs w:val="20"/>
              </w:rPr>
              <w:t>3</w:t>
            </w:r>
          </w:p>
        </w:tc>
        <w:tc>
          <w:tcPr>
            <w:tcW w:w="2283" w:type="dxa"/>
          </w:tcPr>
          <w:p w14:paraId="34700FB2" w14:textId="51D45BF2" w:rsidR="0CB71AAA" w:rsidRDefault="0CB71AAA" w:rsidP="0CB71AAA">
            <w:pPr>
              <w:rPr>
                <w:rFonts w:cstheme="minorBidi"/>
                <w:b/>
                <w:bCs/>
                <w:sz w:val="20"/>
                <w:szCs w:val="20"/>
              </w:rPr>
            </w:pPr>
            <w:r w:rsidRPr="0CB71AAA">
              <w:rPr>
                <w:rStyle w:val="cf01"/>
                <w:rFonts w:asciiTheme="minorHAnsi" w:hAnsiTheme="minorHAnsi" w:cstheme="minorBidi"/>
                <w:b/>
                <w:bCs/>
                <w:sz w:val="20"/>
                <w:szCs w:val="20"/>
              </w:rPr>
              <w:t>Ghana, Nepal, Uganda</w:t>
            </w:r>
          </w:p>
        </w:tc>
      </w:tr>
    </w:tbl>
    <w:p w14:paraId="0F9E92A8" w14:textId="2788BE1A" w:rsidR="00774B95" w:rsidRPr="00774B95" w:rsidRDefault="54C4238E" w:rsidP="0CB71AAA">
      <w:pPr>
        <w:rPr>
          <w:rFonts w:cstheme="minorBidi"/>
          <w:b/>
          <w:bCs/>
          <w:sz w:val="16"/>
          <w:szCs w:val="16"/>
          <w:lang w:eastAsia="en-GB"/>
        </w:rPr>
      </w:pPr>
      <w:r w:rsidRPr="0CB71AAA">
        <w:rPr>
          <w:rFonts w:cstheme="minorBidi"/>
          <w:b/>
          <w:bCs/>
          <w:sz w:val="16"/>
          <w:szCs w:val="16"/>
          <w:lang w:eastAsia="en-GB"/>
        </w:rPr>
        <w:t>*</w:t>
      </w:r>
      <w:r w:rsidRPr="0CB71AAA">
        <w:rPr>
          <w:sz w:val="16"/>
          <w:szCs w:val="16"/>
        </w:rPr>
        <w:t xml:space="preserve"> </w:t>
      </w:r>
      <w:r w:rsidR="009856BC">
        <w:rPr>
          <w:sz w:val="16"/>
          <w:szCs w:val="16"/>
        </w:rPr>
        <w:t>C</w:t>
      </w:r>
      <w:r w:rsidRPr="0CB71AAA">
        <w:rPr>
          <w:sz w:val="16"/>
          <w:szCs w:val="16"/>
        </w:rPr>
        <w:t>ountries highlighted in bold were focus countries for the evaluation.</w:t>
      </w:r>
    </w:p>
    <w:p w14:paraId="2C9AA429" w14:textId="210743BF" w:rsidR="00774B95" w:rsidRPr="00774B95" w:rsidRDefault="54C4238E" w:rsidP="009856BC">
      <w:pPr>
        <w:pStyle w:val="ItadNormalText"/>
        <w:rPr>
          <w:rFonts w:asciiTheme="minorHAnsi" w:hAnsiTheme="minorHAnsi"/>
          <w:lang w:eastAsia="en-GB"/>
        </w:rPr>
      </w:pPr>
      <w:r w:rsidRPr="009856BC">
        <w:rPr>
          <w:b/>
          <w:bCs/>
          <w:lang w:eastAsia="en-GB"/>
        </w:rPr>
        <w:t>Consequently, it was always clear</w:t>
      </w:r>
      <w:r w:rsidR="00776CAB">
        <w:rPr>
          <w:b/>
          <w:bCs/>
          <w:lang w:eastAsia="en-GB"/>
        </w:rPr>
        <w:t xml:space="preserve"> to DHSC</w:t>
      </w:r>
      <w:r w:rsidRPr="009856BC">
        <w:rPr>
          <w:b/>
          <w:bCs/>
          <w:lang w:eastAsia="en-GB"/>
        </w:rPr>
        <w:t xml:space="preserve"> that the achievement of strategic outcomes during phase 1 would be varied at best (in particular in relation to generation of AMR data) and limited in terms of sharing and use of AMR data for policy, regulation and behaviour change.</w:t>
      </w:r>
      <w:r w:rsidRPr="0CB71AAA">
        <w:rPr>
          <w:lang w:eastAsia="en-GB"/>
        </w:rPr>
        <w:t xml:space="preserve"> </w:t>
      </w:r>
      <w:r w:rsidRPr="0CB71AAA">
        <w:rPr>
          <w:rFonts w:asciiTheme="minorHAnsi" w:hAnsiTheme="minorHAnsi"/>
          <w:lang w:eastAsia="en-GB"/>
        </w:rPr>
        <w:t xml:space="preserve">Given the starting point of AMR surveillance systems in most countries it was </w:t>
      </w:r>
      <w:r w:rsidR="009856BC">
        <w:rPr>
          <w:rFonts w:asciiTheme="minorHAnsi" w:hAnsiTheme="minorHAnsi"/>
          <w:lang w:eastAsia="en-GB"/>
        </w:rPr>
        <w:t>u</w:t>
      </w:r>
      <w:r w:rsidRPr="0CB71AAA">
        <w:rPr>
          <w:rFonts w:asciiTheme="minorHAnsi" w:hAnsiTheme="minorHAnsi"/>
          <w:lang w:eastAsia="en-GB"/>
        </w:rPr>
        <w:t>nrealistic to expect to see use of AMR surveillance data for policy, regulation and behaviour change within five years; nor was the programme expected to or set up to achieve this. During phase 1, the DHSC articulated a portfolio-level ToC in mid-2019, which sets a time</w:t>
      </w:r>
      <w:r w:rsidR="00C40B3E">
        <w:rPr>
          <w:rFonts w:asciiTheme="minorHAnsi" w:hAnsiTheme="minorHAnsi"/>
          <w:lang w:eastAsia="en-GB"/>
        </w:rPr>
        <w:t xml:space="preserve"> frame</w:t>
      </w:r>
      <w:r w:rsidRPr="0CB71AAA">
        <w:rPr>
          <w:rFonts w:asciiTheme="minorHAnsi" w:hAnsiTheme="minorHAnsi"/>
          <w:lang w:eastAsia="en-GB"/>
        </w:rPr>
        <w:t xml:space="preserve"> of 10</w:t>
      </w:r>
      <w:r w:rsidR="009856BC">
        <w:rPr>
          <w:rFonts w:asciiTheme="minorHAnsi" w:hAnsiTheme="minorHAnsi"/>
          <w:lang w:eastAsia="en-GB"/>
        </w:rPr>
        <w:t>–</w:t>
      </w:r>
      <w:r w:rsidRPr="0CB71AAA">
        <w:rPr>
          <w:rFonts w:asciiTheme="minorHAnsi" w:hAnsiTheme="minorHAnsi"/>
          <w:lang w:eastAsia="en-GB"/>
        </w:rPr>
        <w:t>30 years for achieving an impact on reducing AMR (Vol. II, Annex 18). Phase 1 was intended to establish the foundations for data generation and evidence for action.</w:t>
      </w:r>
    </w:p>
    <w:p w14:paraId="74F83A34" w14:textId="7CD9A48F" w:rsidR="00774B95" w:rsidRPr="00774B95" w:rsidRDefault="54C4238E" w:rsidP="009856BC">
      <w:pPr>
        <w:pStyle w:val="ItadNormalText"/>
      </w:pPr>
      <w:r w:rsidRPr="0CB71AAA">
        <w:rPr>
          <w:b/>
          <w:bCs/>
          <w:lang w:eastAsia="en-GB"/>
        </w:rPr>
        <w:t xml:space="preserve">This was compounded by the major assumption that NAPs were an effective vehicle for broader implementation. </w:t>
      </w:r>
      <w:r w:rsidR="00774B95" w:rsidRPr="0CB71AAA">
        <w:fldChar w:fldCharType="begin"/>
      </w:r>
      <w:r w:rsidR="00774B95" w:rsidRPr="0CB71AAA">
        <w:instrText xml:space="preserve"> REF _Ref118193366 \h  \* MERGEFORMAT </w:instrText>
      </w:r>
      <w:r w:rsidR="00774B95" w:rsidRPr="0CB71AAA">
        <w:fldChar w:fldCharType="separate"/>
      </w:r>
      <w:r w:rsidR="0020123E">
        <w:t>Figure 1</w:t>
      </w:r>
      <w:r w:rsidR="00774B95" w:rsidRPr="0CB71AAA">
        <w:fldChar w:fldCharType="end"/>
      </w:r>
      <w:r w:rsidRPr="0CB71AAA">
        <w:t xml:space="preserve"> above underlines that achieving progress on AMR requires action across </w:t>
      </w:r>
      <w:r w:rsidR="00556B51">
        <w:t xml:space="preserve">the </w:t>
      </w:r>
      <w:r w:rsidRPr="0CB71AAA">
        <w:t>five objectives</w:t>
      </w:r>
      <w:r w:rsidR="00556B51">
        <w:t xml:space="preserve"> of the Global Action Plan</w:t>
      </w:r>
      <w:r w:rsidRPr="0CB71AAA">
        <w:t xml:space="preserve">, of which AMR surveillance (knowledge and evidence) is one. As </w:t>
      </w:r>
      <w:r w:rsidRPr="0CB71AAA">
        <w:lastRenderedPageBreak/>
        <w:t xml:space="preserve">discussed in section </w:t>
      </w:r>
      <w:r w:rsidR="00774B95" w:rsidRPr="0CB71AAA">
        <w:fldChar w:fldCharType="begin"/>
      </w:r>
      <w:r w:rsidR="00774B95" w:rsidRPr="0CB71AAA">
        <w:instrText xml:space="preserve"> REF _Ref129083432 \r \h </w:instrText>
      </w:r>
      <w:r w:rsidR="00774B95" w:rsidRPr="0CB71AAA">
        <w:fldChar w:fldCharType="separate"/>
      </w:r>
      <w:r w:rsidRPr="0CB71AAA">
        <w:t>2.2</w:t>
      </w:r>
      <w:r w:rsidR="00774B95" w:rsidRPr="0CB71AAA">
        <w:fldChar w:fldCharType="end"/>
      </w:r>
      <w:r w:rsidRPr="0CB71AAA">
        <w:t>, the lack of NAP implementation in most countries has undermined the prospects for surveillance data sharing to lead to national actions on AMR. Fleming Fund has invested in the surveillance aspects of NAPs, but other important pillars have remained unfunded/underinvested. These shortfalls have exacerbated Fleming Fund sustainability and VfM challenges over the longer term.</w:t>
      </w:r>
    </w:p>
    <w:p w14:paraId="6FEB520B" w14:textId="723CC9E4" w:rsidR="00880CDC" w:rsidRPr="00880CDC" w:rsidRDefault="00880CDC" w:rsidP="009856BC">
      <w:pPr>
        <w:pStyle w:val="ItadNormalText"/>
        <w:rPr>
          <w:rFonts w:asciiTheme="minorHAnsi" w:hAnsiTheme="minorHAnsi"/>
        </w:rPr>
      </w:pPr>
      <w:r w:rsidRPr="009856BC">
        <w:rPr>
          <w:b/>
          <w:bCs/>
          <w:lang w:eastAsia="en-GB"/>
        </w:rPr>
        <w:t>The Fleming Fund has also learned and adapted substantially during phase 1 to respond to emerging implementation</w:t>
      </w:r>
      <w:r w:rsidRPr="009856BC">
        <w:rPr>
          <w:rStyle w:val="FootnoteReference"/>
          <w:rFonts w:eastAsia="Times New Roman" w:cstheme="minorBidi"/>
          <w:color w:val="3B3B3C" w:themeColor="text1"/>
          <w:sz w:val="22"/>
          <w:szCs w:val="22"/>
          <w:lang w:eastAsia="en-GB"/>
        </w:rPr>
        <w:footnoteReference w:id="44"/>
      </w:r>
      <w:r w:rsidRPr="009856BC">
        <w:rPr>
          <w:lang w:eastAsia="en-GB"/>
        </w:rPr>
        <w:t xml:space="preserve"> (albeit with scope for further changes, as discussed in section </w:t>
      </w:r>
      <w:r w:rsidRPr="009856BC">
        <w:rPr>
          <w:lang w:eastAsia="en-GB"/>
        </w:rPr>
        <w:fldChar w:fldCharType="begin"/>
      </w:r>
      <w:r w:rsidRPr="009856BC">
        <w:rPr>
          <w:lang w:eastAsia="en-GB"/>
        </w:rPr>
        <w:instrText xml:space="preserve"> REF _Ref118234381 \r \h  \* MERGEFORMAT </w:instrText>
      </w:r>
      <w:r w:rsidRPr="009856BC">
        <w:rPr>
          <w:lang w:eastAsia="en-GB"/>
        </w:rPr>
      </w:r>
      <w:r w:rsidRPr="009856BC">
        <w:rPr>
          <w:lang w:eastAsia="en-GB"/>
        </w:rPr>
        <w:fldChar w:fldCharType="separate"/>
      </w:r>
      <w:r w:rsidRPr="009856BC">
        <w:rPr>
          <w:lang w:eastAsia="en-GB"/>
        </w:rPr>
        <w:t>2</w:t>
      </w:r>
      <w:r w:rsidRPr="009856BC">
        <w:rPr>
          <w:lang w:eastAsia="en-GB"/>
        </w:rPr>
        <w:fldChar w:fldCharType="end"/>
      </w:r>
      <w:r w:rsidRPr="009856BC">
        <w:rPr>
          <w:lang w:eastAsia="en-GB"/>
        </w:rPr>
        <w:t>). The anticipated first and second CGs were not implemented in all countries; many/all CGs were subject to (multiple) extensions, whether on a no-cost or costed basis; Fleming Policy Fellows were established in 14 countries with limited time to deliver. The DHSC also introduced a series of direct grants</w:t>
      </w:r>
      <w:r w:rsidRPr="009856BC">
        <w:rPr>
          <w:rStyle w:val="FootnoteReference"/>
          <w:rFonts w:eastAsia="Times New Roman" w:cstheme="minorBidi"/>
          <w:color w:val="3B3B3C" w:themeColor="text1"/>
          <w:sz w:val="22"/>
          <w:szCs w:val="22"/>
          <w:lang w:eastAsia="en-GB"/>
        </w:rPr>
        <w:footnoteReference w:id="45"/>
      </w:r>
      <w:r w:rsidRPr="009856BC">
        <w:rPr>
          <w:lang w:eastAsia="en-GB"/>
        </w:rPr>
        <w:t xml:space="preserve"> (e.g. to support the Commonwealth Partnership for Antimicrobial Stewardship (CWPAMS),</w:t>
      </w:r>
      <w:r w:rsidRPr="009856BC">
        <w:rPr>
          <w:rStyle w:val="FootnoteReference"/>
          <w:rFonts w:eastAsia="Times New Roman"/>
          <w:color w:val="3B3B3C" w:themeColor="text1"/>
          <w:sz w:val="22"/>
          <w:szCs w:val="22"/>
          <w:lang w:eastAsia="en-GB"/>
        </w:rPr>
        <w:footnoteReference w:id="46"/>
      </w:r>
      <w:r w:rsidRPr="009856BC">
        <w:rPr>
          <w:lang w:eastAsia="en-GB"/>
        </w:rPr>
        <w:t xml:space="preserve"> to F</w:t>
      </w:r>
      <w:r w:rsidR="007832E3">
        <w:rPr>
          <w:lang w:eastAsia="en-GB"/>
        </w:rPr>
        <w:t>IND</w:t>
      </w:r>
      <w:r w:rsidRPr="009856BC">
        <w:rPr>
          <w:lang w:eastAsia="en-GB"/>
        </w:rPr>
        <w:t>, and the South Centre) during 2018/19, which served to complicate an already confusing delivery model.</w:t>
      </w:r>
      <w:r w:rsidRPr="009856BC">
        <w:rPr>
          <w:rStyle w:val="FootnoteReference"/>
          <w:rFonts w:eastAsia="Times New Roman" w:cstheme="minorBidi"/>
          <w:color w:val="3B3B3C" w:themeColor="text1"/>
          <w:sz w:val="22"/>
          <w:szCs w:val="22"/>
          <w:lang w:eastAsia="en-GB"/>
        </w:rPr>
        <w:footnoteReference w:id="47"/>
      </w:r>
      <w:r w:rsidRPr="009856BC">
        <w:rPr>
          <w:lang w:eastAsia="en-GB"/>
        </w:rPr>
        <w:t xml:space="preserve"> The </w:t>
      </w:r>
      <w:r w:rsidRPr="00880CDC">
        <w:rPr>
          <w:rStyle w:val="cf01"/>
          <w:rFonts w:asciiTheme="minorHAnsi" w:hAnsiTheme="minorHAnsi" w:cstheme="minorBidi"/>
          <w:color w:val="3B3B3C" w:themeColor="text1"/>
          <w:sz w:val="22"/>
          <w:szCs w:val="22"/>
        </w:rPr>
        <w:t xml:space="preserve">DHSC and MA teams have also placed </w:t>
      </w:r>
      <w:r w:rsidRPr="009856BC">
        <w:rPr>
          <w:lang w:eastAsia="en-GB"/>
        </w:rPr>
        <w:t>increasing emphasis on specific themes, including use at the clinical level and the quality of microbiology processes.</w:t>
      </w:r>
    </w:p>
    <w:p w14:paraId="4ADB5B2B" w14:textId="77777777" w:rsidR="00774B95" w:rsidRPr="00774B95" w:rsidRDefault="333AE810" w:rsidP="0CB71AAA">
      <w:pPr>
        <w:pStyle w:val="ItadH2Numbered"/>
        <w:rPr>
          <w:lang w:eastAsia="en-GB"/>
        </w:rPr>
      </w:pPr>
      <w:bookmarkStart w:id="118" w:name="_Toc144715805"/>
      <w:r w:rsidRPr="0CB71AAA">
        <w:rPr>
          <w:lang w:eastAsia="en-GB"/>
        </w:rPr>
        <w:t>Context within which the Fleming Fund was implemented</w:t>
      </w:r>
      <w:bookmarkEnd w:id="118"/>
    </w:p>
    <w:p w14:paraId="3FB57AFA" w14:textId="3C886ABD" w:rsidR="00774B95" w:rsidRPr="00774B95" w:rsidRDefault="333AE810" w:rsidP="0CB71AAA">
      <w:pPr>
        <w:spacing w:after="120"/>
        <w:rPr>
          <w:rFonts w:eastAsia="Times New Roman" w:cstheme="minorBidi"/>
          <w:color w:val="3B3B3C" w:themeColor="text1"/>
          <w:lang w:eastAsia="en-GB"/>
        </w:rPr>
      </w:pPr>
      <w:r w:rsidRPr="0CB71AAA">
        <w:rPr>
          <w:rFonts w:eastAsia="Times New Roman" w:cstheme="minorBidi"/>
          <w:color w:val="3B3B3C" w:themeColor="text1"/>
          <w:lang w:eastAsia="en-GB"/>
        </w:rPr>
        <w:t>As noted above, major contextual factors have influenced the Fleming Fund phase 1 implementation.</w:t>
      </w:r>
    </w:p>
    <w:p w14:paraId="4A309A0D" w14:textId="0A08E7E4" w:rsidR="00774B95" w:rsidRPr="00774B95" w:rsidRDefault="333AE810" w:rsidP="00DD7C3B">
      <w:pPr>
        <w:pStyle w:val="ItadNormalText"/>
        <w:rPr>
          <w:lang w:eastAsia="en-GB"/>
        </w:rPr>
      </w:pPr>
      <w:r w:rsidRPr="0CB71AAA">
        <w:rPr>
          <w:b/>
          <w:bCs/>
          <w:lang w:eastAsia="en-GB"/>
        </w:rPr>
        <w:t>COVID-19 had a major impact on the Fleming Fund in terms of implementation at the country level</w:t>
      </w:r>
      <w:r w:rsidRPr="0CB71AAA">
        <w:rPr>
          <w:lang w:eastAsia="en-GB"/>
        </w:rPr>
        <w:t xml:space="preserve">. As can be seen in </w:t>
      </w:r>
      <w:r w:rsidR="00BF329C">
        <w:rPr>
          <w:lang w:eastAsia="en-GB"/>
        </w:rPr>
        <w:fldChar w:fldCharType="begin"/>
      </w:r>
      <w:r w:rsidR="00BF329C">
        <w:rPr>
          <w:lang w:eastAsia="en-GB"/>
        </w:rPr>
        <w:instrText xml:space="preserve"> REF _Ref144028255 \h </w:instrText>
      </w:r>
      <w:r w:rsidR="00BF329C">
        <w:rPr>
          <w:lang w:eastAsia="en-GB"/>
        </w:rPr>
      </w:r>
      <w:r w:rsidR="00BF329C">
        <w:rPr>
          <w:lang w:eastAsia="en-GB"/>
        </w:rPr>
        <w:fldChar w:fldCharType="separate"/>
      </w:r>
      <w:r w:rsidR="00BF329C">
        <w:t xml:space="preserve">Figure </w:t>
      </w:r>
      <w:r w:rsidR="00BF329C">
        <w:rPr>
          <w:noProof/>
        </w:rPr>
        <w:t>6</w:t>
      </w:r>
      <w:r w:rsidR="00BF329C">
        <w:rPr>
          <w:lang w:eastAsia="en-GB"/>
        </w:rPr>
        <w:fldChar w:fldCharType="end"/>
      </w:r>
      <w:r w:rsidR="00774B95" w:rsidRPr="0CB71AAA">
        <w:rPr>
          <w:lang w:eastAsia="en-GB"/>
        </w:rPr>
        <w:fldChar w:fldCharType="begin"/>
      </w:r>
      <w:r w:rsidR="00774B95" w:rsidRPr="0CB71AAA">
        <w:rPr>
          <w:lang w:eastAsia="en-GB"/>
        </w:rPr>
        <w:instrText xml:space="preserve"> REF _Ref118198681 \h  \* MERGEFORMAT </w:instrText>
      </w:r>
      <w:r w:rsidR="00774B95" w:rsidRPr="0CB71AAA">
        <w:rPr>
          <w:lang w:eastAsia="en-GB"/>
        </w:rPr>
      </w:r>
      <w:r w:rsidR="00B33BBD">
        <w:rPr>
          <w:lang w:eastAsia="en-GB"/>
        </w:rPr>
        <w:fldChar w:fldCharType="separate"/>
      </w:r>
      <w:r w:rsidR="00774B95" w:rsidRPr="0CB71AAA">
        <w:rPr>
          <w:lang w:eastAsia="en-GB"/>
        </w:rPr>
        <w:fldChar w:fldCharType="end"/>
      </w:r>
      <w:r w:rsidRPr="0CB71AAA">
        <w:rPr>
          <w:lang w:eastAsia="en-GB"/>
        </w:rPr>
        <w:t>, the majority of grants were starting to come onstream in late 2019. The COVID-19 global pandemic was announced in March 2020, with significant implications for the MA</w:t>
      </w:r>
      <w:r w:rsidR="00AA6A7B">
        <w:rPr>
          <w:lang w:eastAsia="en-GB"/>
        </w:rPr>
        <w:t>’</w:t>
      </w:r>
      <w:r w:rsidRPr="0CB71AAA">
        <w:rPr>
          <w:lang w:eastAsia="en-GB"/>
        </w:rPr>
        <w:t xml:space="preserve">s ability to implement the grants programme as intended. A major constraint was the MA </w:t>
      </w:r>
      <w:r w:rsidR="002944F0">
        <w:rPr>
          <w:lang w:eastAsia="en-GB"/>
        </w:rPr>
        <w:t>r</w:t>
      </w:r>
      <w:r w:rsidRPr="0CB71AAA">
        <w:rPr>
          <w:lang w:eastAsia="en-GB"/>
        </w:rPr>
        <w:t xml:space="preserve">egional </w:t>
      </w:r>
      <w:r w:rsidR="002944F0">
        <w:rPr>
          <w:lang w:eastAsia="en-GB"/>
        </w:rPr>
        <w:t>t</w:t>
      </w:r>
      <w:r w:rsidRPr="0CB71AAA">
        <w:rPr>
          <w:lang w:eastAsia="en-GB"/>
        </w:rPr>
        <w:t>eams</w:t>
      </w:r>
      <w:r w:rsidR="00AA6A7B">
        <w:rPr>
          <w:lang w:eastAsia="en-GB"/>
        </w:rPr>
        <w:t>’</w:t>
      </w:r>
      <w:r w:rsidRPr="0CB71AAA">
        <w:rPr>
          <w:lang w:eastAsia="en-GB"/>
        </w:rPr>
        <w:t xml:space="preserve"> inability to travel for discussions with country counterparts (country grantees and stakeholders responsible for AMR surveillance), affecting </w:t>
      </w:r>
      <w:r w:rsidR="002944F0">
        <w:rPr>
          <w:lang w:eastAsia="en-GB"/>
        </w:rPr>
        <w:t>regional team</w:t>
      </w:r>
      <w:r w:rsidRPr="0CB71AAA">
        <w:rPr>
          <w:lang w:eastAsia="en-GB"/>
        </w:rPr>
        <w:t>s</w:t>
      </w:r>
      <w:r w:rsidR="00AA6A7B">
        <w:rPr>
          <w:lang w:eastAsia="en-GB"/>
        </w:rPr>
        <w:t>’</w:t>
      </w:r>
      <w:r w:rsidRPr="0CB71AAA">
        <w:rPr>
          <w:lang w:eastAsia="en-GB"/>
        </w:rPr>
        <w:t xml:space="preserve"> ability to provide oversight and take new initiatives (such as CG2s) forward. Fleming Fellows Host Institutions (HI)s and other RGs experienced similar travel constraints and consequently had to rework business processes (e.g. virtual meetings, virtual training) which took time to implement and came with pros and cons.</w:t>
      </w:r>
      <w:r w:rsidR="00774B95" w:rsidRPr="0CB71AAA">
        <w:rPr>
          <w:rStyle w:val="FootnoteReference"/>
          <w:rFonts w:eastAsia="Times New Roman" w:cstheme="minorBidi"/>
          <w:color w:val="3B3B3C" w:themeColor="text1"/>
          <w:lang w:eastAsia="en-GB"/>
        </w:rPr>
        <w:footnoteReference w:id="48"/>
      </w:r>
      <w:r w:rsidRPr="0CB71AAA">
        <w:rPr>
          <w:lang w:eastAsia="en-GB"/>
        </w:rPr>
        <w:t xml:space="preserve"> Fleming Fund procurement was delayed in many instances. Country counterparts</w:t>
      </w:r>
      <w:r w:rsidR="00AA6A7B">
        <w:rPr>
          <w:lang w:eastAsia="en-GB"/>
        </w:rPr>
        <w:t>’</w:t>
      </w:r>
      <w:r w:rsidRPr="0CB71AAA">
        <w:rPr>
          <w:lang w:eastAsia="en-GB"/>
        </w:rPr>
        <w:t xml:space="preserve"> – especially Fleming Fellows and other laboratory staff – ability to focus on AMR surveillance in the face of the pandemic was also affected, as discussed in sections </w:t>
      </w:r>
      <w:r w:rsidR="00774B95" w:rsidRPr="0CB71AAA">
        <w:rPr>
          <w:lang w:eastAsia="en-GB"/>
        </w:rPr>
        <w:fldChar w:fldCharType="begin"/>
      </w:r>
      <w:r w:rsidR="00774B95" w:rsidRPr="0CB71AAA">
        <w:rPr>
          <w:lang w:eastAsia="en-GB"/>
        </w:rPr>
        <w:instrText xml:space="preserve"> REF _Ref129083393 \r \h </w:instrText>
      </w:r>
      <w:r w:rsidR="00774B95" w:rsidRPr="0CB71AAA">
        <w:rPr>
          <w:lang w:eastAsia="en-GB"/>
        </w:rPr>
      </w:r>
      <w:r w:rsidR="00774B95" w:rsidRPr="0CB71AAA">
        <w:rPr>
          <w:lang w:eastAsia="en-GB"/>
        </w:rPr>
        <w:fldChar w:fldCharType="separate"/>
      </w:r>
      <w:r w:rsidRPr="0CB71AAA">
        <w:rPr>
          <w:lang w:eastAsia="en-GB"/>
        </w:rPr>
        <w:t>2.1</w:t>
      </w:r>
      <w:r w:rsidR="00774B95" w:rsidRPr="0CB71AAA">
        <w:rPr>
          <w:lang w:eastAsia="en-GB"/>
        </w:rPr>
        <w:fldChar w:fldCharType="end"/>
      </w:r>
      <w:r w:rsidRPr="0CB71AAA">
        <w:rPr>
          <w:lang w:eastAsia="en-GB"/>
        </w:rPr>
        <w:t xml:space="preserve">, </w:t>
      </w:r>
      <w:r w:rsidR="00774B95" w:rsidRPr="0CB71AAA">
        <w:rPr>
          <w:lang w:eastAsia="en-GB"/>
        </w:rPr>
        <w:fldChar w:fldCharType="begin"/>
      </w:r>
      <w:r w:rsidR="00774B95" w:rsidRPr="0CB71AAA">
        <w:rPr>
          <w:lang w:eastAsia="en-GB"/>
        </w:rPr>
        <w:instrText xml:space="preserve"> REF _Ref129083432 \r \h </w:instrText>
      </w:r>
      <w:r w:rsidR="00774B95" w:rsidRPr="0CB71AAA">
        <w:rPr>
          <w:lang w:eastAsia="en-GB"/>
        </w:rPr>
      </w:r>
      <w:r w:rsidR="00774B95" w:rsidRPr="0CB71AAA">
        <w:rPr>
          <w:lang w:eastAsia="en-GB"/>
        </w:rPr>
        <w:fldChar w:fldCharType="separate"/>
      </w:r>
      <w:r w:rsidRPr="0CB71AAA">
        <w:rPr>
          <w:lang w:eastAsia="en-GB"/>
        </w:rPr>
        <w:t>2.2</w:t>
      </w:r>
      <w:r w:rsidR="00774B95" w:rsidRPr="0CB71AAA">
        <w:rPr>
          <w:lang w:eastAsia="en-GB"/>
        </w:rPr>
        <w:fldChar w:fldCharType="end"/>
      </w:r>
      <w:r w:rsidRPr="0CB71AAA">
        <w:rPr>
          <w:lang w:eastAsia="en-GB"/>
        </w:rPr>
        <w:t xml:space="preserve"> and </w:t>
      </w:r>
      <w:r w:rsidR="00774B95" w:rsidRPr="0CB71AAA">
        <w:rPr>
          <w:lang w:eastAsia="en-GB"/>
        </w:rPr>
        <w:fldChar w:fldCharType="begin"/>
      </w:r>
      <w:r w:rsidR="00774B95" w:rsidRPr="0CB71AAA">
        <w:rPr>
          <w:lang w:eastAsia="en-GB"/>
        </w:rPr>
        <w:instrText xml:space="preserve"> REF _Ref128749358 \r \h </w:instrText>
      </w:r>
      <w:r w:rsidR="00774B95" w:rsidRPr="0CB71AAA">
        <w:rPr>
          <w:lang w:eastAsia="en-GB"/>
        </w:rPr>
      </w:r>
      <w:r w:rsidR="00774B95" w:rsidRPr="0CB71AAA">
        <w:rPr>
          <w:lang w:eastAsia="en-GB"/>
        </w:rPr>
        <w:fldChar w:fldCharType="separate"/>
      </w:r>
      <w:r w:rsidRPr="0CB71AAA">
        <w:rPr>
          <w:lang w:eastAsia="en-GB"/>
        </w:rPr>
        <w:t>2.3</w:t>
      </w:r>
      <w:r w:rsidR="00774B95" w:rsidRPr="0CB71AAA">
        <w:rPr>
          <w:lang w:eastAsia="en-GB"/>
        </w:rPr>
        <w:fldChar w:fldCharType="end"/>
      </w:r>
      <w:r w:rsidRPr="0CB71AAA">
        <w:rPr>
          <w:lang w:eastAsia="en-GB"/>
        </w:rPr>
        <w:t>.</w:t>
      </w:r>
    </w:p>
    <w:p w14:paraId="6CE5FB50" w14:textId="297E2F83" w:rsidR="00774B95" w:rsidRPr="00774B95" w:rsidRDefault="009A7BD2" w:rsidP="009A7BD2">
      <w:pPr>
        <w:pStyle w:val="Caption"/>
        <w:rPr>
          <w:rFonts w:eastAsia="Times New Roman" w:cstheme="minorBidi"/>
          <w:noProof/>
        </w:rPr>
      </w:pPr>
      <w:bookmarkStart w:id="119" w:name="_Ref144721011"/>
      <w:bookmarkStart w:id="120" w:name="_Toc144049471"/>
      <w:bookmarkStart w:id="121" w:name="_Toc144721398"/>
      <w:r>
        <w:t xml:space="preserve">Box </w:t>
      </w:r>
      <w:r>
        <w:fldChar w:fldCharType="begin"/>
      </w:r>
      <w:r>
        <w:instrText>SEQ Box \* ARABIC</w:instrText>
      </w:r>
      <w:r>
        <w:fldChar w:fldCharType="separate"/>
      </w:r>
      <w:r>
        <w:rPr>
          <w:noProof/>
        </w:rPr>
        <w:t>3</w:t>
      </w:r>
      <w:r>
        <w:fldChar w:fldCharType="end"/>
      </w:r>
      <w:bookmarkEnd w:id="119"/>
      <w:r w:rsidR="00DD7C3B">
        <w:rPr>
          <w:noProof/>
        </w:rPr>
        <w:t>:</w:t>
      </w:r>
      <w:r w:rsidR="333AE810">
        <w:t xml:space="preserve"> Strategic focus for Fleming Fund phase 2</w:t>
      </w:r>
      <w:bookmarkEnd w:id="120"/>
      <w:bookmarkEnd w:id="121"/>
    </w:p>
    <w:p w14:paraId="6D8876EB" w14:textId="58739699" w:rsidR="00774B95" w:rsidRPr="00774B95" w:rsidRDefault="333AE810" w:rsidP="00337010">
      <w:pPr>
        <w:shd w:val="clear" w:color="auto" w:fill="F9E2D5" w:themeFill="accent2" w:themeFillTint="33"/>
        <w:spacing w:after="120"/>
        <w:rPr>
          <w:rFonts w:cstheme="minorBidi"/>
          <w:color w:val="3B3B3C" w:themeColor="text1"/>
          <w:sz w:val="21"/>
          <w:szCs w:val="21"/>
        </w:rPr>
      </w:pPr>
      <w:r w:rsidRPr="0CB71AAA">
        <w:rPr>
          <w:rFonts w:cstheme="minorBidi"/>
          <w:color w:val="3B3B3C" w:themeColor="text1"/>
          <w:sz w:val="21"/>
          <w:szCs w:val="21"/>
        </w:rPr>
        <w:t>A second phase of the Fleming Fund, worth up to £193.5 million over three years (FY2022/23 to FY2024/25) has been approved. There is a high degree of continuity in the Fleming Fund</w:t>
      </w:r>
      <w:r w:rsidR="00AA6A7B">
        <w:rPr>
          <w:rFonts w:cstheme="minorBidi"/>
          <w:color w:val="3B3B3C" w:themeColor="text1"/>
          <w:sz w:val="21"/>
          <w:szCs w:val="21"/>
        </w:rPr>
        <w:t>’</w:t>
      </w:r>
      <w:r w:rsidRPr="0CB71AAA">
        <w:rPr>
          <w:rFonts w:cstheme="minorBidi"/>
          <w:color w:val="3B3B3C" w:themeColor="text1"/>
          <w:sz w:val="21"/>
          <w:szCs w:val="21"/>
        </w:rPr>
        <w:t>s purpose and focus activities for phase 2 – i.e. continued investment in AMR surveillance systems in order to consolidate gains made during phase 1.</w:t>
      </w:r>
    </w:p>
    <w:p w14:paraId="437AAD71" w14:textId="644D02B8" w:rsidR="00774B95" w:rsidRPr="00774B95" w:rsidRDefault="333AE810" w:rsidP="00337010">
      <w:pPr>
        <w:shd w:val="clear" w:color="auto" w:fill="F9E2D5" w:themeFill="accent2" w:themeFillTint="33"/>
        <w:spacing w:after="120"/>
        <w:rPr>
          <w:rFonts w:cstheme="minorBidi"/>
          <w:color w:val="3B3B3C" w:themeColor="text1"/>
          <w:sz w:val="21"/>
          <w:szCs w:val="21"/>
        </w:rPr>
      </w:pPr>
      <w:r w:rsidRPr="0CB71AAA">
        <w:rPr>
          <w:rFonts w:cstheme="minorBidi"/>
          <w:color w:val="3B3B3C" w:themeColor="text1"/>
          <w:sz w:val="21"/>
          <w:szCs w:val="21"/>
        </w:rPr>
        <w:t xml:space="preserve">A number of strategic and programmatic shifts have also been defined for phase 2, to maximise the effectiveness and value of Fleming Fund investments in the following areas: </w:t>
      </w:r>
      <w:r w:rsidR="004323DA">
        <w:rPr>
          <w:rFonts w:cstheme="minorBidi"/>
          <w:color w:val="3B3B3C" w:themeColor="text1"/>
          <w:sz w:val="21"/>
          <w:szCs w:val="21"/>
        </w:rPr>
        <w:t>(</w:t>
      </w:r>
      <w:r w:rsidRPr="0CB71AAA">
        <w:rPr>
          <w:rFonts w:cstheme="minorBidi"/>
          <w:color w:val="3B3B3C" w:themeColor="text1"/>
          <w:sz w:val="21"/>
          <w:szCs w:val="21"/>
        </w:rPr>
        <w:t xml:space="preserve">1) Data use and clinical engagement; </w:t>
      </w:r>
      <w:r w:rsidR="004323DA">
        <w:rPr>
          <w:rFonts w:cstheme="minorBidi"/>
          <w:color w:val="3B3B3C" w:themeColor="text1"/>
          <w:sz w:val="21"/>
          <w:szCs w:val="21"/>
        </w:rPr>
        <w:t>(</w:t>
      </w:r>
      <w:r w:rsidRPr="0CB71AAA">
        <w:rPr>
          <w:rFonts w:cstheme="minorBidi"/>
          <w:color w:val="3B3B3C" w:themeColor="text1"/>
          <w:sz w:val="21"/>
          <w:szCs w:val="21"/>
        </w:rPr>
        <w:t xml:space="preserve">2) The Economic Case for AMR; </w:t>
      </w:r>
      <w:r w:rsidR="004323DA">
        <w:rPr>
          <w:rFonts w:cstheme="minorBidi"/>
          <w:color w:val="3B3B3C" w:themeColor="text1"/>
          <w:sz w:val="21"/>
          <w:szCs w:val="21"/>
        </w:rPr>
        <w:t>(</w:t>
      </w:r>
      <w:r w:rsidRPr="0CB71AAA">
        <w:rPr>
          <w:rFonts w:cstheme="minorBidi"/>
          <w:color w:val="3B3B3C" w:themeColor="text1"/>
          <w:sz w:val="21"/>
          <w:szCs w:val="21"/>
        </w:rPr>
        <w:t xml:space="preserve">3) Regional Animal Health Approach; </w:t>
      </w:r>
      <w:r w:rsidR="004323DA">
        <w:rPr>
          <w:rFonts w:cstheme="minorBidi"/>
          <w:color w:val="3B3B3C" w:themeColor="text1"/>
          <w:sz w:val="21"/>
          <w:szCs w:val="21"/>
        </w:rPr>
        <w:t>(</w:t>
      </w:r>
      <w:r w:rsidRPr="0CB71AAA">
        <w:rPr>
          <w:rFonts w:cstheme="minorBidi"/>
          <w:color w:val="3B3B3C" w:themeColor="text1"/>
          <w:sz w:val="21"/>
          <w:szCs w:val="21"/>
        </w:rPr>
        <w:t xml:space="preserve">4) One Health Environment; </w:t>
      </w:r>
      <w:r w:rsidR="004323DA">
        <w:rPr>
          <w:rFonts w:cstheme="minorBidi"/>
          <w:color w:val="3B3B3C" w:themeColor="text1"/>
          <w:sz w:val="21"/>
          <w:szCs w:val="21"/>
        </w:rPr>
        <w:t>and (</w:t>
      </w:r>
      <w:r w:rsidRPr="0CB71AAA">
        <w:rPr>
          <w:rFonts w:cstheme="minorBidi"/>
          <w:color w:val="3B3B3C" w:themeColor="text1"/>
          <w:sz w:val="21"/>
          <w:szCs w:val="21"/>
        </w:rPr>
        <w:t>5) Substandard and falsified medicines. Gender and Equity has also been added as an underpinning principle.</w:t>
      </w:r>
    </w:p>
    <w:p w14:paraId="192C67E9" w14:textId="345A2E84" w:rsidR="00774B95" w:rsidRPr="00774B95" w:rsidRDefault="333AE810" w:rsidP="00337010">
      <w:pPr>
        <w:shd w:val="clear" w:color="auto" w:fill="F9E2D5" w:themeFill="accent2" w:themeFillTint="33"/>
        <w:spacing w:after="120"/>
        <w:rPr>
          <w:rFonts w:cstheme="minorBidi"/>
          <w:color w:val="3B3B3C" w:themeColor="text1"/>
          <w:sz w:val="21"/>
          <w:szCs w:val="21"/>
        </w:rPr>
      </w:pPr>
      <w:r w:rsidRPr="0CB71AAA">
        <w:rPr>
          <w:rFonts w:cstheme="minorBidi"/>
          <w:color w:val="3B3B3C" w:themeColor="text1"/>
          <w:sz w:val="21"/>
          <w:szCs w:val="21"/>
        </w:rPr>
        <w:t>Important adaptations to Fleming Fund processes have also been proposed – in particular the introduction of country investment strategies which will establish agreed country-specific goals, as the basis for stronger coordination with country partners and review of expected results and the Fleming Fund</w:t>
      </w:r>
      <w:r w:rsidR="00AA6A7B">
        <w:rPr>
          <w:rFonts w:cstheme="minorBidi"/>
          <w:color w:val="3B3B3C" w:themeColor="text1"/>
          <w:sz w:val="21"/>
          <w:szCs w:val="21"/>
        </w:rPr>
        <w:t>’</w:t>
      </w:r>
      <w:r w:rsidRPr="0CB71AAA">
        <w:rPr>
          <w:rFonts w:cstheme="minorBidi"/>
          <w:color w:val="3B3B3C" w:themeColor="text1"/>
          <w:sz w:val="21"/>
          <w:szCs w:val="21"/>
        </w:rPr>
        <w:t>s contribution to these.</w:t>
      </w:r>
    </w:p>
    <w:p w14:paraId="1F562EEC" w14:textId="3375A918" w:rsidR="00774B95" w:rsidRPr="00774B95" w:rsidRDefault="333AE810" w:rsidP="004323DA">
      <w:pPr>
        <w:pStyle w:val="ItadNormalText"/>
        <w:rPr>
          <w:lang w:eastAsia="en-GB"/>
        </w:rPr>
      </w:pPr>
      <w:r w:rsidRPr="004323DA">
        <w:rPr>
          <w:b/>
          <w:bCs/>
          <w:lang w:eastAsia="en-GB"/>
        </w:rPr>
        <w:lastRenderedPageBreak/>
        <w:t>Responding to COVID-19 also created additional transaction costs for the DHSC and the MA, as well as financial uncertainty for the Fleming Fund which impacted on planned delivery.</w:t>
      </w:r>
      <w:r w:rsidRPr="0CB71AAA">
        <w:rPr>
          <w:lang w:eastAsia="en-GB"/>
        </w:rPr>
        <w:t xml:space="preserve"> The UK government</w:t>
      </w:r>
      <w:r w:rsidR="00AA6A7B">
        <w:rPr>
          <w:lang w:eastAsia="en-GB"/>
        </w:rPr>
        <w:t>’</w:t>
      </w:r>
      <w:r w:rsidRPr="0CB71AAA">
        <w:rPr>
          <w:lang w:eastAsia="en-GB"/>
        </w:rPr>
        <w:t xml:space="preserve">s response to the challenges brought about by COVID-19 included a temporary reduction in its commitment to Official Development Assistance (ODA), from 0.7% to 0.5% </w:t>
      </w:r>
      <w:r w:rsidR="007926BD">
        <w:rPr>
          <w:lang w:eastAsia="en-GB"/>
        </w:rPr>
        <w:t>gross national income</w:t>
      </w:r>
      <w:r w:rsidRPr="0CB71AAA">
        <w:rPr>
          <w:lang w:eastAsia="en-GB"/>
        </w:rPr>
        <w:t>.</w:t>
      </w:r>
      <w:r w:rsidR="00774B95" w:rsidRPr="0CB71AAA">
        <w:rPr>
          <w:rStyle w:val="FootnoteReference"/>
          <w:rFonts w:eastAsia="Times New Roman" w:cstheme="minorBidi"/>
          <w:color w:val="3B3B3C" w:themeColor="text1"/>
          <w:lang w:eastAsia="en-GB"/>
        </w:rPr>
        <w:footnoteReference w:id="49"/>
      </w:r>
      <w:r w:rsidRPr="0CB71AAA">
        <w:rPr>
          <w:lang w:eastAsia="en-GB"/>
        </w:rPr>
        <w:t xml:space="preserve"> This initiated a series of cuts to existing UK aid programmes, and the MA had to reduce budgets for existing grants by up to 30% during 2021/22. This was time-consuming, diverting attention from grant implementation, and limited the extent to which original plans could be implemented. Financial uncertainty continued through this period with several spending reviews</w:t>
      </w:r>
      <w:r w:rsidR="00774B95" w:rsidRPr="0CB71AAA">
        <w:rPr>
          <w:rStyle w:val="FootnoteReference"/>
          <w:rFonts w:eastAsia="Times New Roman"/>
          <w:color w:val="3B3B3C" w:themeColor="text1"/>
          <w:lang w:eastAsia="en-GB"/>
        </w:rPr>
        <w:footnoteReference w:id="50"/>
      </w:r>
      <w:r w:rsidRPr="0CB71AAA">
        <w:rPr>
          <w:lang w:eastAsia="en-GB"/>
        </w:rPr>
        <w:t xml:space="preserve"> either completed, postponed or positioned as one-year extensions instead of the usual three-year cycle. This affected the extent to which the Fleming Fund and MA were able to make medium-term plans, including on sustainability (as discussed in section </w:t>
      </w:r>
      <w:r w:rsidR="00774B95" w:rsidRPr="0CB71AAA">
        <w:rPr>
          <w:lang w:eastAsia="en-GB"/>
        </w:rPr>
        <w:fldChar w:fldCharType="begin"/>
      </w:r>
      <w:r w:rsidR="00774B95" w:rsidRPr="0CB71AAA">
        <w:rPr>
          <w:lang w:eastAsia="en-GB"/>
        </w:rPr>
        <w:instrText xml:space="preserve"> REF _Ref128749358 \r \h  \* MERGEFORMAT </w:instrText>
      </w:r>
      <w:r w:rsidR="00774B95" w:rsidRPr="0CB71AAA">
        <w:rPr>
          <w:lang w:eastAsia="en-GB"/>
        </w:rPr>
      </w:r>
      <w:r w:rsidR="00774B95" w:rsidRPr="0CB71AAA">
        <w:rPr>
          <w:lang w:eastAsia="en-GB"/>
        </w:rPr>
        <w:fldChar w:fldCharType="separate"/>
      </w:r>
      <w:r w:rsidRPr="0CB71AAA">
        <w:rPr>
          <w:lang w:eastAsia="en-GB"/>
        </w:rPr>
        <w:t>2.3</w:t>
      </w:r>
      <w:r w:rsidR="00774B95" w:rsidRPr="0CB71AAA">
        <w:rPr>
          <w:lang w:eastAsia="en-GB"/>
        </w:rPr>
        <w:fldChar w:fldCharType="end"/>
      </w:r>
      <w:r w:rsidRPr="0CB71AAA">
        <w:rPr>
          <w:lang w:eastAsia="en-GB"/>
        </w:rPr>
        <w:t>).</w:t>
      </w:r>
    </w:p>
    <w:p w14:paraId="54B4516E" w14:textId="5F9E54AB" w:rsidR="00774B95" w:rsidRPr="00774B95" w:rsidRDefault="333AE810" w:rsidP="004323DA">
      <w:pPr>
        <w:pStyle w:val="ItadNormalText"/>
      </w:pPr>
      <w:r w:rsidRPr="004323DA">
        <w:rPr>
          <w:b/>
          <w:bCs/>
          <w:lang w:eastAsia="en-GB"/>
        </w:rPr>
        <w:t>At the same time, AMR has continued to feature prominently on the global agenda, receiving support within HMG and from country governments, and creating opportunities for the Fleming Fund to build on.</w:t>
      </w:r>
      <w:r w:rsidRPr="0CB71AAA">
        <w:rPr>
          <w:lang w:eastAsia="en-GB"/>
        </w:rPr>
        <w:t xml:space="preserve"> Building on the 2015 AMR GAP and United Nations General Assembly political declaration (2016), the World Health Organization (WHO) subsequently declared AMR as one of the top </w:t>
      </w:r>
      <w:r w:rsidR="004323DA">
        <w:rPr>
          <w:lang w:eastAsia="en-GB"/>
        </w:rPr>
        <w:t>10</w:t>
      </w:r>
      <w:r w:rsidR="004323DA" w:rsidRPr="0CB71AAA">
        <w:rPr>
          <w:lang w:eastAsia="en-GB"/>
        </w:rPr>
        <w:t xml:space="preserve"> </w:t>
      </w:r>
      <w:r w:rsidRPr="0CB71AAA">
        <w:rPr>
          <w:lang w:eastAsia="en-GB"/>
        </w:rPr>
        <w:t>global public health threats facing humanity,</w:t>
      </w:r>
      <w:r w:rsidR="00774B95" w:rsidRPr="31046424">
        <w:rPr>
          <w:rStyle w:val="FootnoteReference"/>
          <w:rFonts w:eastAsia="Times New Roman" w:cstheme="minorBidi"/>
          <w:color w:val="3B3B3C" w:themeColor="text1"/>
          <w:lang w:eastAsia="en-GB"/>
        </w:rPr>
        <w:footnoteReference w:id="51"/>
      </w:r>
      <w:r w:rsidRPr="0CB71AAA">
        <w:rPr>
          <w:lang w:eastAsia="en-GB"/>
        </w:rPr>
        <w:t xml:space="preserve"> the tripartite has continued to work to promote action on AMR – including through establishing the Multi-Partner Trust Fund,</w:t>
      </w:r>
      <w:r w:rsidR="00774B95" w:rsidRPr="31046424">
        <w:rPr>
          <w:rStyle w:val="FootnoteReference"/>
          <w:rFonts w:eastAsia="Times New Roman" w:cstheme="minorBidi"/>
          <w:color w:val="3B3B3C" w:themeColor="text1"/>
          <w:lang w:eastAsia="en-GB"/>
        </w:rPr>
        <w:footnoteReference w:id="52"/>
      </w:r>
      <w:r w:rsidRPr="0CB71AAA">
        <w:rPr>
          <w:lang w:eastAsia="en-GB"/>
        </w:rPr>
        <w:t xml:space="preserve"> establishing the global leaders</w:t>
      </w:r>
      <w:r w:rsidR="00AA6A7B">
        <w:rPr>
          <w:lang w:eastAsia="en-GB"/>
        </w:rPr>
        <w:t>’</w:t>
      </w:r>
      <w:r w:rsidRPr="0CB71AAA">
        <w:rPr>
          <w:lang w:eastAsia="en-GB"/>
        </w:rPr>
        <w:t xml:space="preserve"> group,</w:t>
      </w:r>
      <w:r w:rsidR="00774B95" w:rsidRPr="31046424">
        <w:rPr>
          <w:rStyle w:val="FootnoteReference"/>
          <w:rFonts w:eastAsia="Times New Roman" w:cstheme="minorBidi"/>
          <w:color w:val="3B3B3C" w:themeColor="text1"/>
          <w:lang w:eastAsia="en-GB"/>
        </w:rPr>
        <w:footnoteReference w:id="53"/>
      </w:r>
      <w:r w:rsidRPr="0CB71AAA">
        <w:rPr>
          <w:lang w:eastAsia="en-GB"/>
        </w:rPr>
        <w:t xml:space="preserve"> and incorporating United Nations Environment Programme (UNEP) to become the </w:t>
      </w:r>
      <w:r w:rsidR="00AA6A7B">
        <w:rPr>
          <w:lang w:eastAsia="en-GB"/>
        </w:rPr>
        <w:t>‘</w:t>
      </w:r>
      <w:r w:rsidRPr="0CB71AAA">
        <w:rPr>
          <w:lang w:eastAsia="en-GB"/>
        </w:rPr>
        <w:t>quadripartite</w:t>
      </w:r>
      <w:r w:rsidR="00AA6A7B">
        <w:rPr>
          <w:lang w:eastAsia="en-GB"/>
        </w:rPr>
        <w:t>’</w:t>
      </w:r>
      <w:r w:rsidRPr="0CB71AAA">
        <w:rPr>
          <w:lang w:eastAsia="en-GB"/>
        </w:rPr>
        <w:t xml:space="preserve">. COVID-19 has created a clear and pressing case for investment in AMR-relevant capabilities under the framework of global health security. </w:t>
      </w:r>
      <w:r w:rsidRPr="0CB71AAA">
        <w:t>As noted above, a second phase of funding for the Fleming Fund was approved in late 2021.</w:t>
      </w:r>
    </w:p>
    <w:p w14:paraId="5461224F" w14:textId="4207147D" w:rsidR="31046424" w:rsidRDefault="31046424">
      <w:r>
        <w:br w:type="page"/>
      </w:r>
    </w:p>
    <w:p w14:paraId="52E04D88" w14:textId="45563CA3" w:rsidR="31046424" w:rsidRDefault="31046424" w:rsidP="31046424">
      <w:pPr>
        <w:pStyle w:val="ItadNormalText"/>
      </w:pPr>
    </w:p>
    <w:p w14:paraId="20D93BC3" w14:textId="7EF92D0C" w:rsidR="00012EE7" w:rsidRDefault="00012EE7" w:rsidP="00E55ABA">
      <w:pPr>
        <w:pStyle w:val="ItadH2Numbered"/>
        <w:tabs>
          <w:tab w:val="clear" w:pos="567"/>
          <w:tab w:val="clear" w:pos="680"/>
          <w:tab w:val="left" w:pos="0"/>
        </w:tabs>
        <w:rPr>
          <w:rFonts w:eastAsia="Times New Roman"/>
          <w:lang w:eastAsia="en-GB"/>
        </w:rPr>
      </w:pPr>
      <w:bookmarkStart w:id="122" w:name="_Ref121387401"/>
      <w:bookmarkStart w:id="123" w:name="_Toc144715806"/>
      <w:r w:rsidRPr="0CB71AAA">
        <w:rPr>
          <w:rFonts w:eastAsia="Times New Roman"/>
          <w:lang w:eastAsia="en-GB"/>
        </w:rPr>
        <w:t>Evaluation approach and methodology</w:t>
      </w:r>
      <w:bookmarkEnd w:id="96"/>
      <w:bookmarkEnd w:id="97"/>
      <w:bookmarkEnd w:id="98"/>
      <w:bookmarkEnd w:id="122"/>
      <w:bookmarkEnd w:id="123"/>
      <w:r w:rsidRPr="0CB71AAA">
        <w:rPr>
          <w:rFonts w:eastAsia="Times New Roman"/>
          <w:lang w:eastAsia="en-GB"/>
        </w:rPr>
        <w:t xml:space="preserve"> </w:t>
      </w:r>
    </w:p>
    <w:p w14:paraId="11789B4E" w14:textId="35792BA4" w:rsidR="00750CD1" w:rsidRDefault="002B782D" w:rsidP="00012EE7">
      <w:pPr>
        <w:pStyle w:val="ItadNormalText"/>
        <w:rPr>
          <w:b/>
        </w:rPr>
      </w:pPr>
      <w:bookmarkStart w:id="124" w:name="_Hlk496104394"/>
      <w:bookmarkStart w:id="125" w:name="_Hlk129085328"/>
      <w:r>
        <w:rPr>
          <w:noProof/>
        </w:rPr>
        <w:drawing>
          <wp:inline distT="0" distB="0" distL="0" distR="0" wp14:anchorId="51DFEEE6" wp14:editId="0C3DF11D">
            <wp:extent cx="5021451" cy="6679465"/>
            <wp:effectExtent l="0" t="0" r="8255" b="7620"/>
            <wp:docPr id="141491611" name="Picture 141491611" descr="A diagram of a business strateg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611" name="Picture 1" descr="A diagram of a business strategy&#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5021451" cy="6679465"/>
                    </a:xfrm>
                    <a:prstGeom prst="rect">
                      <a:avLst/>
                    </a:prstGeom>
                  </pic:spPr>
                </pic:pic>
              </a:graphicData>
            </a:graphic>
          </wp:inline>
        </w:drawing>
      </w:r>
    </w:p>
    <w:p w14:paraId="1C4663C7" w14:textId="73E72D51" w:rsidR="00750CD1" w:rsidRPr="00794C76" w:rsidRDefault="00794C76" w:rsidP="00794C76">
      <w:pPr>
        <w:pStyle w:val="ItadFigureCap"/>
        <w:spacing w:before="0" w:after="0"/>
        <w:jc w:val="left"/>
        <w:rPr>
          <w:b/>
          <w:color w:val="3B3B3C"/>
          <w:lang w:eastAsia="en-US"/>
        </w:rPr>
      </w:pPr>
      <w:bookmarkStart w:id="126" w:name="_Ref144718512"/>
      <w:bookmarkStart w:id="127" w:name="_Toc144717849"/>
      <w:r>
        <w:t xml:space="preserve">Figure </w:t>
      </w:r>
      <w:r>
        <w:fldChar w:fldCharType="begin"/>
      </w:r>
      <w:r>
        <w:instrText>SEQ Figure \* ARABIC</w:instrText>
      </w:r>
      <w:r>
        <w:fldChar w:fldCharType="separate"/>
      </w:r>
      <w:r>
        <w:rPr>
          <w:noProof/>
        </w:rPr>
        <w:t>7</w:t>
      </w:r>
      <w:r>
        <w:fldChar w:fldCharType="end"/>
      </w:r>
      <w:bookmarkEnd w:id="126"/>
      <w:r>
        <w:t>: Overview of evaluation approach</w:t>
      </w:r>
      <w:bookmarkEnd w:id="127"/>
    </w:p>
    <w:p w14:paraId="48D65BEA" w14:textId="61E586FF" w:rsidR="00012EE7" w:rsidRDefault="00DE1D9D" w:rsidP="00012EE7">
      <w:pPr>
        <w:pStyle w:val="ItadNormalText"/>
      </w:pPr>
      <w:r>
        <w:rPr>
          <w:b/>
        </w:rPr>
        <w:t>In 2016</w:t>
      </w:r>
      <w:r w:rsidR="00C53FE4">
        <w:rPr>
          <w:b/>
        </w:rPr>
        <w:t>, during the design phase of the Fleming Fund,</w:t>
      </w:r>
      <w:r>
        <w:rPr>
          <w:b/>
        </w:rPr>
        <w:t xml:space="preserve"> </w:t>
      </w:r>
      <w:r w:rsidR="00C53FE4">
        <w:rPr>
          <w:b/>
        </w:rPr>
        <w:t>t</w:t>
      </w:r>
      <w:r w:rsidR="00AD6D2E">
        <w:rPr>
          <w:b/>
        </w:rPr>
        <w:t xml:space="preserve">he </w:t>
      </w:r>
      <w:r w:rsidR="00012EE7">
        <w:rPr>
          <w:b/>
        </w:rPr>
        <w:t xml:space="preserve">DHSC commissioned Itad to </w:t>
      </w:r>
      <w:r w:rsidR="00355D8F">
        <w:rPr>
          <w:b/>
        </w:rPr>
        <w:t>work</w:t>
      </w:r>
      <w:r w:rsidR="003859CA">
        <w:rPr>
          <w:b/>
        </w:rPr>
        <w:t xml:space="preserve"> alongside </w:t>
      </w:r>
      <w:r w:rsidR="00517976">
        <w:rPr>
          <w:b/>
        </w:rPr>
        <w:t xml:space="preserve">its portfolio of country and regional projects and </w:t>
      </w:r>
      <w:r w:rsidR="00012EE7">
        <w:rPr>
          <w:b/>
        </w:rPr>
        <w:t xml:space="preserve">undertake an independent evaluation of the </w:t>
      </w:r>
      <w:r w:rsidR="00012EE7" w:rsidRPr="00115A7D">
        <w:rPr>
          <w:b/>
        </w:rPr>
        <w:t>Fleming Fund</w:t>
      </w:r>
      <w:r w:rsidR="00012EE7">
        <w:rPr>
          <w:b/>
        </w:rPr>
        <w:t xml:space="preserve"> grants programme (workstream 5 </w:t>
      </w:r>
      <w:r w:rsidR="005D1724">
        <w:rPr>
          <w:b/>
        </w:rPr>
        <w:t>–</w:t>
      </w:r>
      <w:r w:rsidR="00012EE7">
        <w:rPr>
          <w:b/>
        </w:rPr>
        <w:t xml:space="preserve"> </w:t>
      </w:r>
      <w:r w:rsidR="00012EE7" w:rsidRPr="008829F1">
        <w:rPr>
          <w:b/>
          <w:bCs/>
        </w:rPr>
        <w:fldChar w:fldCharType="begin"/>
      </w:r>
      <w:r w:rsidR="00012EE7" w:rsidRPr="008829F1">
        <w:rPr>
          <w:b/>
          <w:bCs/>
        </w:rPr>
        <w:instrText xml:space="preserve"> REF _Ref118193813 \h </w:instrText>
      </w:r>
      <w:r w:rsidR="008829F1" w:rsidRPr="008829F1">
        <w:rPr>
          <w:b/>
          <w:bCs/>
        </w:rPr>
        <w:instrText xml:space="preserve"> \* MERGEFORMAT </w:instrText>
      </w:r>
      <w:r w:rsidR="00012EE7" w:rsidRPr="008829F1">
        <w:rPr>
          <w:b/>
          <w:bCs/>
        </w:rPr>
      </w:r>
      <w:r w:rsidR="00012EE7" w:rsidRPr="008829F1">
        <w:rPr>
          <w:b/>
          <w:bCs/>
        </w:rPr>
        <w:fldChar w:fldCharType="separate"/>
      </w:r>
      <w:r w:rsidR="00970C56" w:rsidRPr="008A5F96">
        <w:rPr>
          <w:b/>
          <w:bCs/>
        </w:rPr>
        <w:t xml:space="preserve">Figure </w:t>
      </w:r>
      <w:r w:rsidR="00970C56" w:rsidRPr="008A5F96">
        <w:rPr>
          <w:b/>
          <w:bCs/>
          <w:noProof/>
        </w:rPr>
        <w:t>2</w:t>
      </w:r>
      <w:r w:rsidR="00012EE7" w:rsidRPr="008829F1">
        <w:rPr>
          <w:b/>
          <w:bCs/>
        </w:rPr>
        <w:fldChar w:fldCharType="end"/>
      </w:r>
      <w:r w:rsidR="00012EE7" w:rsidRPr="008829F1">
        <w:rPr>
          <w:b/>
          <w:bCs/>
        </w:rPr>
        <w:t>)</w:t>
      </w:r>
      <w:r w:rsidR="00012EE7" w:rsidRPr="00433FCA">
        <w:rPr>
          <w:b/>
          <w:bCs/>
        </w:rPr>
        <w:t>.</w:t>
      </w:r>
      <w:r w:rsidR="00012EE7">
        <w:rPr>
          <w:b/>
        </w:rPr>
        <w:t xml:space="preserve"> </w:t>
      </w:r>
      <w:r w:rsidR="008F1F08">
        <w:rPr>
          <w:b/>
        </w:rPr>
        <w:t>As shown in the overview diagram below,</w:t>
      </w:r>
      <w:r w:rsidR="00A520D0">
        <w:rPr>
          <w:b/>
        </w:rPr>
        <w:t xml:space="preserve"> t</w:t>
      </w:r>
      <w:r w:rsidR="00012EE7" w:rsidRPr="00A24222">
        <w:rPr>
          <w:b/>
        </w:rPr>
        <w:t>he</w:t>
      </w:r>
      <w:r w:rsidR="00A520D0">
        <w:rPr>
          <w:b/>
        </w:rPr>
        <w:t xml:space="preserve"> primary </w:t>
      </w:r>
      <w:r w:rsidR="00A520D0" w:rsidDel="008C2C87">
        <w:rPr>
          <w:b/>
        </w:rPr>
        <w:t>objective</w:t>
      </w:r>
      <w:r w:rsidR="00A520D0">
        <w:rPr>
          <w:b/>
        </w:rPr>
        <w:t xml:space="preserve"> </w:t>
      </w:r>
      <w:r w:rsidR="00012EE7">
        <w:rPr>
          <w:b/>
        </w:rPr>
        <w:t xml:space="preserve">of the </w:t>
      </w:r>
      <w:r w:rsidR="00012EE7" w:rsidRPr="00A24222">
        <w:rPr>
          <w:b/>
        </w:rPr>
        <w:t xml:space="preserve">evaluation </w:t>
      </w:r>
      <w:bookmarkStart w:id="128" w:name="_Hlk496796348"/>
      <w:r w:rsidR="00A520D0">
        <w:rPr>
          <w:b/>
        </w:rPr>
        <w:t xml:space="preserve">was to </w:t>
      </w:r>
      <w:r w:rsidR="00962C04">
        <w:rPr>
          <w:b/>
        </w:rPr>
        <w:t>establish</w:t>
      </w:r>
      <w:r w:rsidR="00012EE7">
        <w:rPr>
          <w:b/>
        </w:rPr>
        <w:t xml:space="preserve"> how </w:t>
      </w:r>
      <w:r w:rsidR="00012EE7" w:rsidRPr="00A24222">
        <w:rPr>
          <w:b/>
        </w:rPr>
        <w:t xml:space="preserve">far the </w:t>
      </w:r>
      <w:r w:rsidR="00012EE7" w:rsidRPr="00A24222">
        <w:rPr>
          <w:b/>
          <w:i/>
        </w:rPr>
        <w:t>outputs</w:t>
      </w:r>
      <w:r w:rsidR="00012EE7" w:rsidRPr="00A24222">
        <w:rPr>
          <w:b/>
        </w:rPr>
        <w:t xml:space="preserve"> of the portfolio of </w:t>
      </w:r>
      <w:r w:rsidR="002C041F">
        <w:rPr>
          <w:b/>
        </w:rPr>
        <w:t>CGs</w:t>
      </w:r>
      <w:r w:rsidR="00012EE7" w:rsidRPr="00A24222">
        <w:rPr>
          <w:b/>
        </w:rPr>
        <w:t xml:space="preserve"> and </w:t>
      </w:r>
      <w:r w:rsidR="002C041F">
        <w:rPr>
          <w:b/>
        </w:rPr>
        <w:t>RGs</w:t>
      </w:r>
      <w:r w:rsidR="00012EE7" w:rsidRPr="00A24222">
        <w:rPr>
          <w:b/>
        </w:rPr>
        <w:t xml:space="preserve">, and the Fleming Fellowships </w:t>
      </w:r>
      <w:r w:rsidR="00012EE7">
        <w:rPr>
          <w:b/>
        </w:rPr>
        <w:t xml:space="preserve">have </w:t>
      </w:r>
      <w:r w:rsidR="00012EE7" w:rsidRPr="00A24222">
        <w:rPr>
          <w:b/>
        </w:rPr>
        <w:t>contribute</w:t>
      </w:r>
      <w:r w:rsidR="00012EE7">
        <w:rPr>
          <w:b/>
        </w:rPr>
        <w:t>d</w:t>
      </w:r>
      <w:r w:rsidR="00012EE7" w:rsidRPr="00A24222">
        <w:rPr>
          <w:b/>
        </w:rPr>
        <w:t xml:space="preserve"> to the </w:t>
      </w:r>
      <w:r w:rsidR="00012EE7" w:rsidRPr="00A24222">
        <w:rPr>
          <w:b/>
          <w:i/>
        </w:rPr>
        <w:t xml:space="preserve">outcomes </w:t>
      </w:r>
      <w:r w:rsidR="00012EE7" w:rsidRPr="00A24222">
        <w:rPr>
          <w:b/>
        </w:rPr>
        <w:t xml:space="preserve">identified by </w:t>
      </w:r>
      <w:r w:rsidR="00AD6D2E">
        <w:rPr>
          <w:b/>
        </w:rPr>
        <w:t xml:space="preserve">the </w:t>
      </w:r>
      <w:r w:rsidR="00012EE7" w:rsidRPr="00A24222">
        <w:rPr>
          <w:b/>
        </w:rPr>
        <w:t>DH</w:t>
      </w:r>
      <w:r w:rsidR="00012EE7">
        <w:rPr>
          <w:b/>
        </w:rPr>
        <w:t>SC</w:t>
      </w:r>
      <w:r w:rsidR="00012EE7" w:rsidRPr="00A24222">
        <w:rPr>
          <w:b/>
        </w:rPr>
        <w:t>.</w:t>
      </w:r>
      <w:bookmarkEnd w:id="128"/>
      <w:r w:rsidR="00012EE7" w:rsidRPr="00C64239">
        <w:t xml:space="preserve"> As such</w:t>
      </w:r>
      <w:r w:rsidR="00CB1C46">
        <w:t>,</w:t>
      </w:r>
      <w:r w:rsidR="00012EE7" w:rsidRPr="00C64239">
        <w:t xml:space="preserve"> the results from workstreams 3 and 4 in the overall Fleming Fund (</w:t>
      </w:r>
      <w:r w:rsidR="00012EE7">
        <w:rPr>
          <w:highlight w:val="yellow"/>
        </w:rPr>
        <w:fldChar w:fldCharType="begin"/>
      </w:r>
      <w:r w:rsidR="00012EE7">
        <w:instrText xml:space="preserve"> REF _Ref118193813 \h </w:instrText>
      </w:r>
      <w:r w:rsidR="00012EE7">
        <w:rPr>
          <w:highlight w:val="yellow"/>
        </w:rPr>
      </w:r>
      <w:r w:rsidR="00012EE7">
        <w:rPr>
          <w:highlight w:val="yellow"/>
        </w:rPr>
        <w:fldChar w:fldCharType="separate"/>
      </w:r>
      <w:r w:rsidR="00970C56">
        <w:t xml:space="preserve">Figure </w:t>
      </w:r>
      <w:r w:rsidR="00970C56">
        <w:rPr>
          <w:noProof/>
        </w:rPr>
        <w:t>2</w:t>
      </w:r>
      <w:r w:rsidR="00012EE7">
        <w:rPr>
          <w:highlight w:val="yellow"/>
        </w:rPr>
        <w:fldChar w:fldCharType="end"/>
      </w:r>
      <w:r w:rsidR="00012EE7" w:rsidRPr="00C64239">
        <w:t xml:space="preserve">) are within scope; outputs from </w:t>
      </w:r>
      <w:r w:rsidR="00B06EEC">
        <w:t>workstream</w:t>
      </w:r>
      <w:r w:rsidR="00012EE7" w:rsidRPr="00C64239">
        <w:t xml:space="preserve">s 1 and 2 are </w:t>
      </w:r>
      <w:r w:rsidR="00C44BBF">
        <w:t xml:space="preserve">out of scope and </w:t>
      </w:r>
      <w:r w:rsidR="00012EE7" w:rsidRPr="00C64239">
        <w:t xml:space="preserve">not directly evaluated, except to the extent that they are identified as </w:t>
      </w:r>
      <w:r w:rsidR="001A69C9">
        <w:t>contributing</w:t>
      </w:r>
      <w:r w:rsidR="00012EE7" w:rsidRPr="00C64239">
        <w:t xml:space="preserve"> to change</w:t>
      </w:r>
      <w:r w:rsidR="00F638C9">
        <w:t>s in quan</w:t>
      </w:r>
      <w:r w:rsidR="00034246">
        <w:t>t</w:t>
      </w:r>
      <w:r w:rsidR="00F638C9">
        <w:t>ity and</w:t>
      </w:r>
      <w:r w:rsidR="00034246">
        <w:t xml:space="preserve"> quality of data generated and of shared nationally and internationally</w:t>
      </w:r>
      <w:r w:rsidR="00C0463B">
        <w:t xml:space="preserve"> in our sample countries.</w:t>
      </w:r>
      <w:r w:rsidR="00034246">
        <w:t xml:space="preserve"> </w:t>
      </w:r>
      <w:r w:rsidR="00256706">
        <w:t>The g</w:t>
      </w:r>
      <w:r w:rsidR="009F75ED">
        <w:t xml:space="preserve">eographical scope </w:t>
      </w:r>
      <w:r w:rsidR="00256706">
        <w:t xml:space="preserve">of the evaluation </w:t>
      </w:r>
      <w:r w:rsidR="009F75ED">
        <w:t>is the</w:t>
      </w:r>
      <w:r w:rsidR="00256706">
        <w:t xml:space="preserve"> 23 focus countries </w:t>
      </w:r>
      <w:r w:rsidR="00726C6F">
        <w:t xml:space="preserve">where the MA implemented grants (see below for more on the country sample </w:t>
      </w:r>
      <w:r w:rsidR="00CE31BD">
        <w:t>that the evaluation looked at</w:t>
      </w:r>
      <w:r w:rsidR="00726C6F">
        <w:t>)</w:t>
      </w:r>
      <w:r w:rsidR="00CE31BD">
        <w:t>, and the temporal scope is the entirety of phase 1 (from 2016</w:t>
      </w:r>
      <w:r w:rsidR="0037056C">
        <w:t>/17 to March 2023).</w:t>
      </w:r>
      <w:r w:rsidR="0037056C">
        <w:rPr>
          <w:rStyle w:val="FootnoteReference"/>
        </w:rPr>
        <w:footnoteReference w:id="54"/>
      </w:r>
    </w:p>
    <w:p w14:paraId="4AAA1170" w14:textId="1E3B5185" w:rsidR="00906198" w:rsidRDefault="00012EE7" w:rsidP="00012EE7">
      <w:pPr>
        <w:pStyle w:val="ItadNormalText"/>
      </w:pPr>
      <w:r w:rsidRPr="00C64239">
        <w:rPr>
          <w:b/>
        </w:rPr>
        <w:t xml:space="preserve">Over the </w:t>
      </w:r>
      <w:r w:rsidR="00A234C6">
        <w:rPr>
          <w:b/>
        </w:rPr>
        <w:t>six</w:t>
      </w:r>
      <w:r w:rsidRPr="00C64239">
        <w:rPr>
          <w:b/>
        </w:rPr>
        <w:t xml:space="preserve"> years</w:t>
      </w:r>
      <w:r w:rsidR="00A234C6">
        <w:rPr>
          <w:b/>
        </w:rPr>
        <w:t xml:space="preserve"> of its implementation</w:t>
      </w:r>
      <w:r w:rsidRPr="00C64239">
        <w:rPr>
          <w:b/>
        </w:rPr>
        <w:t xml:space="preserve">, the evaluation has </w:t>
      </w:r>
      <w:r w:rsidR="003242E3">
        <w:rPr>
          <w:b/>
        </w:rPr>
        <w:t>fulfilled</w:t>
      </w:r>
      <w:r w:rsidRPr="00C64239">
        <w:rPr>
          <w:b/>
        </w:rPr>
        <w:t xml:space="preserve"> both learning and accountability objectives.</w:t>
      </w:r>
      <w:r w:rsidRPr="00C64239" w:rsidDel="00C35AE3">
        <w:t xml:space="preserve"> </w:t>
      </w:r>
      <w:bookmarkStart w:id="129" w:name="_Hlk136435924"/>
      <w:r w:rsidR="00DC43B4">
        <w:t>T</w:t>
      </w:r>
      <w:r w:rsidR="00FA633E">
        <w:t xml:space="preserve">he evaluation has </w:t>
      </w:r>
      <w:r w:rsidR="001A18E5">
        <w:t>fulfilled its learning objective</w:t>
      </w:r>
      <w:r w:rsidR="007558B4">
        <w:t>s</w:t>
      </w:r>
      <w:r w:rsidR="00C82784">
        <w:t xml:space="preserve"> (see</w:t>
      </w:r>
      <w:r w:rsidR="002356A6">
        <w:t xml:space="preserve"> </w:t>
      </w:r>
      <w:r w:rsidR="002356A6">
        <w:fldChar w:fldCharType="begin"/>
      </w:r>
      <w:r w:rsidR="002356A6">
        <w:instrText xml:space="preserve"> REF _Ref144718512 \h </w:instrText>
      </w:r>
      <w:r w:rsidR="002356A6">
        <w:fldChar w:fldCharType="separate"/>
      </w:r>
      <w:r w:rsidR="002356A6">
        <w:t xml:space="preserve">Figure </w:t>
      </w:r>
      <w:r w:rsidR="002356A6">
        <w:rPr>
          <w:noProof/>
        </w:rPr>
        <w:t>7</w:t>
      </w:r>
      <w:r w:rsidR="002356A6">
        <w:fldChar w:fldCharType="end"/>
      </w:r>
      <w:r w:rsidR="00C82784">
        <w:t>)</w:t>
      </w:r>
      <w:r w:rsidR="001A18E5">
        <w:t xml:space="preserve"> </w:t>
      </w:r>
      <w:r w:rsidR="00C81FE4">
        <w:t>t</w:t>
      </w:r>
      <w:r w:rsidR="00DC43B4">
        <w:t xml:space="preserve">hrough </w:t>
      </w:r>
      <w:r w:rsidR="00E10AFC">
        <w:t xml:space="preserve">producing </w:t>
      </w:r>
      <w:r w:rsidR="00DC43B4">
        <w:t xml:space="preserve">three unpublished formative deliverables (2018, 2020, 2021), </w:t>
      </w:r>
      <w:r w:rsidR="00E10AFC">
        <w:t>which</w:t>
      </w:r>
      <w:r w:rsidR="00FA633E">
        <w:t xml:space="preserve"> </w:t>
      </w:r>
      <w:r w:rsidR="007558B4">
        <w:t>identified</w:t>
      </w:r>
      <w:r w:rsidR="004323DA">
        <w:t>:</w:t>
      </w:r>
    </w:p>
    <w:p w14:paraId="35EEAB8A" w14:textId="710E69C5" w:rsidR="00593DA7" w:rsidRPr="002B782D" w:rsidRDefault="00012EE7" w:rsidP="00C82784">
      <w:pPr>
        <w:pStyle w:val="ItadNormalText"/>
        <w:numPr>
          <w:ilvl w:val="0"/>
          <w:numId w:val="77"/>
        </w:numPr>
      </w:pPr>
      <w:r w:rsidRPr="00C64239">
        <w:t>instances of good practice to inform course correction and adaptation</w:t>
      </w:r>
      <w:r w:rsidR="006A6F37">
        <w:t xml:space="preserve"> (see </w:t>
      </w:r>
      <w:r w:rsidR="00803F81">
        <w:t>Vol. I</w:t>
      </w:r>
      <w:r w:rsidR="006A6F37">
        <w:t xml:space="preserve">I, </w:t>
      </w:r>
      <w:r w:rsidR="006A6F37" w:rsidRPr="00C40E0B">
        <w:t xml:space="preserve">Annex </w:t>
      </w:r>
      <w:r w:rsidR="00BE2674" w:rsidRPr="00BE2674">
        <w:t>23</w:t>
      </w:r>
      <w:r w:rsidR="006A6F37">
        <w:t>)</w:t>
      </w:r>
      <w:r w:rsidRPr="00C64239">
        <w:t>.</w:t>
      </w:r>
      <w:bookmarkEnd w:id="129"/>
    </w:p>
    <w:p w14:paraId="3A586399" w14:textId="01E8B443" w:rsidR="00CE7C1A" w:rsidRPr="002B782D" w:rsidRDefault="00012EE7" w:rsidP="00C82784">
      <w:pPr>
        <w:pStyle w:val="ItadNormalText"/>
        <w:numPr>
          <w:ilvl w:val="0"/>
          <w:numId w:val="77"/>
        </w:numPr>
        <w:rPr>
          <w:b/>
        </w:rPr>
      </w:pPr>
      <w:r w:rsidRPr="00C64239">
        <w:t xml:space="preserve">challenges to </w:t>
      </w:r>
      <w:r w:rsidR="00E25D6C">
        <w:t xml:space="preserve">the </w:t>
      </w:r>
      <w:r w:rsidRPr="00C64239">
        <w:t xml:space="preserve">achievement of </w:t>
      </w:r>
      <w:r w:rsidRPr="00C64239" w:rsidDel="00052E3D">
        <w:t xml:space="preserve">the </w:t>
      </w:r>
      <w:r w:rsidR="00052E3D">
        <w:t>Fleming Fund</w:t>
      </w:r>
      <w:r w:rsidR="00AA6A7B">
        <w:t>’</w:t>
      </w:r>
      <w:r w:rsidRPr="00C64239">
        <w:t xml:space="preserve">s objectives under </w:t>
      </w:r>
      <w:r w:rsidR="00B06EEC">
        <w:t>workstream</w:t>
      </w:r>
      <w:r w:rsidRPr="00C64239">
        <w:t>s 3 and 4 (</w:t>
      </w:r>
      <w:r>
        <w:rPr>
          <w:highlight w:val="yellow"/>
        </w:rPr>
        <w:fldChar w:fldCharType="begin"/>
      </w:r>
      <w:r>
        <w:instrText xml:space="preserve"> REF _Ref118193813 \h </w:instrText>
      </w:r>
      <w:r>
        <w:rPr>
          <w:highlight w:val="yellow"/>
        </w:rPr>
        <w:instrText xml:space="preserve"> \* MERGEFORMAT </w:instrText>
      </w:r>
      <w:r>
        <w:rPr>
          <w:highlight w:val="yellow"/>
        </w:rPr>
      </w:r>
      <w:r>
        <w:rPr>
          <w:highlight w:val="yellow"/>
        </w:rPr>
        <w:fldChar w:fldCharType="separate"/>
      </w:r>
      <w:r w:rsidR="00970C56">
        <w:t xml:space="preserve">Figure </w:t>
      </w:r>
      <w:r w:rsidR="00970C56">
        <w:rPr>
          <w:noProof/>
        </w:rPr>
        <w:t>2</w:t>
      </w:r>
      <w:r>
        <w:rPr>
          <w:highlight w:val="yellow"/>
        </w:rPr>
        <w:fldChar w:fldCharType="end"/>
      </w:r>
      <w:r w:rsidRPr="00C64239">
        <w:t>).</w:t>
      </w:r>
    </w:p>
    <w:p w14:paraId="62910310" w14:textId="54D94964" w:rsidR="00012EE7" w:rsidRPr="002B782D" w:rsidRDefault="007772BD" w:rsidP="00B34D51">
      <w:pPr>
        <w:pStyle w:val="ItadNormalText"/>
        <w:rPr>
          <w:b/>
        </w:rPr>
      </w:pPr>
      <w:r>
        <w:t>In 2021, t</w:t>
      </w:r>
      <w:r w:rsidR="00012EE7" w:rsidRPr="00C64239">
        <w:t xml:space="preserve">he evaluation outputs </w:t>
      </w:r>
      <w:r w:rsidR="00EE3B3F">
        <w:t>were</w:t>
      </w:r>
      <w:r w:rsidR="00012EE7" w:rsidRPr="00C64239">
        <w:t xml:space="preserve"> used to inform the decision by </w:t>
      </w:r>
      <w:r w:rsidR="000B5A81">
        <w:t xml:space="preserve">the </w:t>
      </w:r>
      <w:r w:rsidR="00012EE7" w:rsidRPr="00C64239">
        <w:t xml:space="preserve">DHSC and </w:t>
      </w:r>
      <w:r w:rsidR="00BF2B4A" w:rsidRPr="00BF2B4A">
        <w:t>H</w:t>
      </w:r>
      <w:r w:rsidR="007832E3">
        <w:t>is Majesty</w:t>
      </w:r>
      <w:r w:rsidR="00AA6A7B">
        <w:t>’</w:t>
      </w:r>
      <w:r w:rsidR="007832E3">
        <w:t>s Treasury (HMT)</w:t>
      </w:r>
      <w:r w:rsidR="00012EE7" w:rsidRPr="00C64239">
        <w:t xml:space="preserve"> on whether to fund another phase of work under the Fleming Fund and how the approach might be strengthened based on experience to date.</w:t>
      </w:r>
    </w:p>
    <w:p w14:paraId="496EE842" w14:textId="2B608CC6" w:rsidR="00FC023C" w:rsidRDefault="00012EE7" w:rsidP="00FB47DB">
      <w:pPr>
        <w:pStyle w:val="ItadNormalText"/>
      </w:pPr>
      <w:bookmarkStart w:id="130" w:name="_Hlk136436160"/>
      <w:r w:rsidRPr="00CF5B94">
        <w:rPr>
          <w:b/>
          <w:bCs/>
        </w:rPr>
        <w:t xml:space="preserve">In 2021, </w:t>
      </w:r>
      <w:r w:rsidR="00943565">
        <w:rPr>
          <w:b/>
          <w:bCs/>
        </w:rPr>
        <w:t xml:space="preserve">after the delivery of its third formative deliverable in January, </w:t>
      </w:r>
      <w:r w:rsidRPr="00CF5B94">
        <w:rPr>
          <w:b/>
          <w:bCs/>
        </w:rPr>
        <w:t xml:space="preserve">the evaluation focus shifted to provide an independent summative judgement of </w:t>
      </w:r>
      <w:r w:rsidRPr="00CF5B94" w:rsidDel="00052E3D">
        <w:rPr>
          <w:b/>
          <w:bCs/>
        </w:rPr>
        <w:t xml:space="preserve">the </w:t>
      </w:r>
      <w:r w:rsidR="00052E3D">
        <w:rPr>
          <w:b/>
          <w:bCs/>
        </w:rPr>
        <w:t>Fleming Fund</w:t>
      </w:r>
      <w:r w:rsidR="00AA6A7B">
        <w:rPr>
          <w:b/>
          <w:bCs/>
        </w:rPr>
        <w:t>’</w:t>
      </w:r>
      <w:r w:rsidRPr="00CF5B94">
        <w:rPr>
          <w:b/>
          <w:bCs/>
        </w:rPr>
        <w:t>s results and achievements</w:t>
      </w:r>
      <w:r w:rsidR="00306D74">
        <w:rPr>
          <w:b/>
          <w:bCs/>
        </w:rPr>
        <w:t xml:space="preserve"> for accountability purposes</w:t>
      </w:r>
      <w:r w:rsidR="00FC023C">
        <w:rPr>
          <w:b/>
          <w:bCs/>
        </w:rPr>
        <w:t>.</w:t>
      </w:r>
      <w:r w:rsidRPr="00CF5B94">
        <w:rPr>
          <w:b/>
          <w:bCs/>
        </w:rPr>
        <w:t xml:space="preserve"> </w:t>
      </w:r>
      <w:bookmarkStart w:id="131" w:name="_Hlk496098881"/>
      <w:bookmarkEnd w:id="124"/>
      <w:bookmarkEnd w:id="130"/>
      <w:r w:rsidR="00FB47DB" w:rsidRPr="007E5774">
        <w:t>The timing of the</w:t>
      </w:r>
      <w:r w:rsidR="00FC023C">
        <w:t xml:space="preserve"> summative phase of the</w:t>
      </w:r>
      <w:r w:rsidR="00FB47DB" w:rsidRPr="007E5774">
        <w:t xml:space="preserve"> evaluation </w:t>
      </w:r>
      <w:r w:rsidR="000B5A81" w:rsidRPr="007E5774" w:rsidDel="00585E7D">
        <w:t>was set</w:t>
      </w:r>
      <w:r w:rsidR="00FB47DB" w:rsidRPr="007E5774">
        <w:t xml:space="preserve"> at the request of DHSC, to </w:t>
      </w:r>
      <w:r w:rsidR="00FB47DB">
        <w:t xml:space="preserve">maximise utility through </w:t>
      </w:r>
      <w:r w:rsidR="00FB47DB" w:rsidRPr="007E5774">
        <w:t>feed</w:t>
      </w:r>
      <w:r w:rsidR="00FB47DB">
        <w:t>ing</w:t>
      </w:r>
      <w:r w:rsidR="00FB47DB" w:rsidRPr="007E5774">
        <w:t xml:space="preserve"> into detailed planning of the second phase of the Fleming Fund, starting in April 2023.</w:t>
      </w:r>
    </w:p>
    <w:p w14:paraId="7A8A6FFE" w14:textId="3195454A" w:rsidR="004248E1" w:rsidRPr="00900D8E" w:rsidRDefault="00536034" w:rsidP="002B782D">
      <w:pPr>
        <w:pStyle w:val="ItadNormalText"/>
        <w:rPr>
          <w:rFonts w:eastAsia="Times New Roman" w:cstheme="minorBidi"/>
          <w:color w:val="3B3B3C" w:themeColor="text1"/>
          <w:lang w:eastAsia="en-GB"/>
        </w:rPr>
      </w:pPr>
      <w:r w:rsidRPr="002B782D">
        <w:rPr>
          <w:b/>
        </w:rPr>
        <w:t xml:space="preserve">The entire evaluation has been guided by </w:t>
      </w:r>
      <w:r w:rsidR="005B6B3D" w:rsidRPr="002B782D">
        <w:rPr>
          <w:b/>
        </w:rPr>
        <w:t>six EQs</w:t>
      </w:r>
      <w:r w:rsidR="005B6B3D" w:rsidRPr="00C64239">
        <w:t xml:space="preserve"> (or </w:t>
      </w:r>
      <w:r w:rsidR="00AA6A7B">
        <w:t>‘</w:t>
      </w:r>
      <w:r w:rsidR="005B6B3D" w:rsidRPr="00C64239">
        <w:t>agreed measures of success</w:t>
      </w:r>
      <w:r w:rsidR="00AA6A7B">
        <w:t>’</w:t>
      </w:r>
      <w:r w:rsidR="005B6B3D" w:rsidRPr="00C64239">
        <w:t xml:space="preserve">) which reflect the priorities of both Ministers and the Chief Medical Officer within </w:t>
      </w:r>
      <w:r w:rsidR="005B6B3D">
        <w:t xml:space="preserve">the </w:t>
      </w:r>
      <w:r w:rsidR="005B6B3D" w:rsidRPr="00C64239">
        <w:t>DHSC</w:t>
      </w:r>
      <w:r w:rsidR="00764566">
        <w:t xml:space="preserve"> (see</w:t>
      </w:r>
      <w:r w:rsidR="002B782D">
        <w:t xml:space="preserve"> </w:t>
      </w:r>
      <w:r w:rsidR="002B782D">
        <w:fldChar w:fldCharType="begin"/>
      </w:r>
      <w:r w:rsidR="002B782D">
        <w:instrText xml:space="preserve"> REF _Ref144030357 \h </w:instrText>
      </w:r>
      <w:r w:rsidR="002B782D">
        <w:fldChar w:fldCharType="separate"/>
      </w:r>
      <w:r w:rsidR="00780277">
        <w:t xml:space="preserve">Figure </w:t>
      </w:r>
      <w:r w:rsidR="00780277">
        <w:rPr>
          <w:noProof/>
        </w:rPr>
        <w:t>8</w:t>
      </w:r>
      <w:r w:rsidR="002B782D">
        <w:fldChar w:fldCharType="end"/>
      </w:r>
      <w:r w:rsidR="00764566">
        <w:t xml:space="preserve"> below).</w:t>
      </w:r>
      <w:r w:rsidR="004248E1">
        <w:t xml:space="preserve"> </w:t>
      </w:r>
      <w:r w:rsidR="004248E1" w:rsidRPr="002B782D">
        <w:rPr>
          <w:rFonts w:cstheme="minorBidi"/>
          <w:color w:val="3B3B3C" w:themeColor="text1"/>
        </w:rPr>
        <w:t xml:space="preserve">EQs are focused on whether </w:t>
      </w:r>
      <w:r w:rsidR="004248E1">
        <w:rPr>
          <w:rFonts w:cstheme="minorBidi"/>
          <w:color w:val="3B3B3C" w:themeColor="text1"/>
        </w:rPr>
        <w:t>Fleming Fund</w:t>
      </w:r>
      <w:r w:rsidR="004248E1" w:rsidRPr="002B782D">
        <w:rPr>
          <w:rFonts w:cstheme="minorBidi"/>
          <w:color w:val="3B3B3C" w:themeColor="text1"/>
        </w:rPr>
        <w:t xml:space="preserve"> outputs contribute to outcomes of interest to the DHSC in terms of the use of AMR surveillance data for policy, regulation and behaviour change at the national and international level.</w:t>
      </w:r>
      <w:r w:rsidR="002233AA">
        <w:rPr>
          <w:rFonts w:cstheme="minorBidi"/>
          <w:color w:val="3B3B3C" w:themeColor="text1"/>
        </w:rPr>
        <w:t xml:space="preserve"> </w:t>
      </w:r>
      <w:r w:rsidR="002233AA" w:rsidRPr="0081582A">
        <w:rPr>
          <w:rFonts w:cstheme="minorBidi"/>
          <w:color w:val="3B3B3C" w:themeColor="text1"/>
        </w:rPr>
        <w:t xml:space="preserve">At the level of inputs and outputs, the Fleming Fund has delivered a substantial amount of renovation, procurement, training, and technical assistance. </w:t>
      </w:r>
      <w:r w:rsidR="002233AA" w:rsidRPr="0081582A">
        <w:rPr>
          <w:rFonts w:cs="Calibri"/>
          <w:color w:val="3B3B3C" w:themeColor="text1"/>
        </w:rPr>
        <w:t>These activities have contributed to strengthening laboratory capacity and workforce to a varying degree across all of our sample countries</w:t>
      </w:r>
      <w:r w:rsidR="002233AA" w:rsidRPr="004248E1">
        <w:rPr>
          <w:rFonts w:cs="Calibri"/>
          <w:color w:val="3B3B3C" w:themeColor="text1"/>
        </w:rPr>
        <w:t xml:space="preserve"> </w:t>
      </w:r>
      <w:r w:rsidR="003E4B10">
        <w:rPr>
          <w:rFonts w:eastAsia="Times New Roman" w:cstheme="minorBidi"/>
          <w:color w:val="3B3B3C" w:themeColor="text1"/>
          <w:lang w:eastAsia="en-GB"/>
        </w:rPr>
        <w:t xml:space="preserve">(see </w:t>
      </w:r>
      <w:r w:rsidR="00E472AC">
        <w:rPr>
          <w:rFonts w:eastAsia="Times New Roman" w:cstheme="minorBidi"/>
          <w:color w:val="3B3B3C" w:themeColor="text1"/>
          <w:lang w:eastAsia="en-GB"/>
        </w:rPr>
        <w:fldChar w:fldCharType="begin"/>
      </w:r>
      <w:r w:rsidR="00E472AC">
        <w:rPr>
          <w:rFonts w:eastAsia="Times New Roman" w:cstheme="minorBidi"/>
          <w:color w:val="3B3B3C" w:themeColor="text1"/>
          <w:lang w:eastAsia="en-GB"/>
        </w:rPr>
        <w:instrText xml:space="preserve"> REF _Ref144718634 \h </w:instrText>
      </w:r>
      <w:r w:rsidR="00E472AC">
        <w:rPr>
          <w:rFonts w:eastAsia="Times New Roman" w:cstheme="minorBidi"/>
          <w:color w:val="3B3B3C" w:themeColor="text1"/>
          <w:lang w:eastAsia="en-GB"/>
        </w:rPr>
      </w:r>
      <w:r w:rsidR="00E472AC">
        <w:rPr>
          <w:rFonts w:eastAsia="Times New Roman" w:cstheme="minorBidi"/>
          <w:color w:val="3B3B3C" w:themeColor="text1"/>
          <w:lang w:eastAsia="en-GB"/>
        </w:rPr>
        <w:fldChar w:fldCharType="separate"/>
      </w:r>
      <w:r w:rsidR="00E472AC">
        <w:t xml:space="preserve">Figure </w:t>
      </w:r>
      <w:r w:rsidR="00E472AC">
        <w:rPr>
          <w:noProof/>
        </w:rPr>
        <w:t>10</w:t>
      </w:r>
      <w:r w:rsidR="00E472AC">
        <w:rPr>
          <w:rFonts w:eastAsia="Times New Roman" w:cstheme="minorBidi"/>
          <w:color w:val="3B3B3C" w:themeColor="text1"/>
          <w:lang w:eastAsia="en-GB"/>
        </w:rPr>
        <w:fldChar w:fldCharType="end"/>
      </w:r>
      <w:r w:rsidR="004248E1" w:rsidRPr="0A3BC318">
        <w:rPr>
          <w:rFonts w:eastAsia="Times New Roman" w:cstheme="minorBidi"/>
          <w:color w:val="3B3B3C" w:themeColor="text1"/>
          <w:lang w:eastAsia="en-GB"/>
        </w:rPr>
        <w:fldChar w:fldCharType="begin"/>
      </w:r>
      <w:r w:rsidR="004248E1" w:rsidRPr="0A3BC318">
        <w:rPr>
          <w:rFonts w:eastAsia="Times New Roman" w:cstheme="minorBidi"/>
          <w:color w:val="3B3B3C" w:themeColor="text1"/>
          <w:lang w:eastAsia="en-GB"/>
        </w:rPr>
        <w:instrText xml:space="preserve"> REF _Ref122420931 \h  \* MERGEFORMAT </w:instrText>
      </w:r>
      <w:r w:rsidR="004248E1" w:rsidRPr="0A3BC318">
        <w:rPr>
          <w:rFonts w:eastAsia="Times New Roman" w:cstheme="minorBidi"/>
          <w:color w:val="3B3B3C" w:themeColor="text1"/>
          <w:lang w:eastAsia="en-GB"/>
        </w:rPr>
      </w:r>
      <w:r w:rsidR="00B33BBD">
        <w:rPr>
          <w:rFonts w:eastAsia="Times New Roman" w:cstheme="minorBidi"/>
          <w:color w:val="3B3B3C" w:themeColor="text1"/>
          <w:lang w:eastAsia="en-GB"/>
        </w:rPr>
        <w:fldChar w:fldCharType="separate"/>
      </w:r>
      <w:r w:rsidR="004248E1" w:rsidRPr="0A3BC318">
        <w:rPr>
          <w:rFonts w:eastAsia="Times New Roman" w:cstheme="minorBidi"/>
          <w:color w:val="3B3B3C" w:themeColor="text1"/>
          <w:lang w:eastAsia="en-GB"/>
        </w:rPr>
        <w:fldChar w:fldCharType="end"/>
      </w:r>
      <w:r w:rsidR="003E4B10">
        <w:rPr>
          <w:rFonts w:eastAsia="Times New Roman" w:cstheme="minorBidi"/>
          <w:color w:val="3B3B3C" w:themeColor="text1"/>
          <w:lang w:eastAsia="en-GB"/>
        </w:rPr>
        <w:t>)</w:t>
      </w:r>
      <w:r w:rsidR="004248E1" w:rsidRPr="0A3BC318">
        <w:rPr>
          <w:rFonts w:eastAsia="Times New Roman" w:cstheme="minorBidi"/>
          <w:color w:val="3B3B3C" w:themeColor="text1"/>
          <w:lang w:eastAsia="en-GB"/>
        </w:rPr>
        <w:t>.</w:t>
      </w:r>
    </w:p>
    <w:bookmarkEnd w:id="125"/>
    <w:p w14:paraId="0C2239F9" w14:textId="02B13CEB" w:rsidR="002B782D" w:rsidRDefault="00625AD4" w:rsidP="002B782D">
      <w:pPr>
        <w:pStyle w:val="ItadNormalText"/>
        <w:keepNext/>
      </w:pPr>
      <w:r>
        <w:rPr>
          <w:noProof/>
        </w:rPr>
        <w:drawing>
          <wp:inline distT="0" distB="0" distL="0" distR="0" wp14:anchorId="5AA2DBF4" wp14:editId="23A4A4D8">
            <wp:extent cx="5784850" cy="3544103"/>
            <wp:effectExtent l="0" t="0" r="6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88986" cy="3546637"/>
                    </a:xfrm>
                    <a:prstGeom prst="rect">
                      <a:avLst/>
                    </a:prstGeom>
                    <a:noFill/>
                    <a:ln>
                      <a:noFill/>
                    </a:ln>
                  </pic:spPr>
                </pic:pic>
              </a:graphicData>
            </a:graphic>
          </wp:inline>
        </w:drawing>
      </w:r>
    </w:p>
    <w:p w14:paraId="38167D30" w14:textId="400B3FBA" w:rsidR="007B14B2" w:rsidRDefault="002B782D" w:rsidP="002A22DA">
      <w:pPr>
        <w:pStyle w:val="ItadFigureCap"/>
      </w:pPr>
      <w:bookmarkStart w:id="132" w:name="_Ref144030357"/>
      <w:bookmarkStart w:id="133" w:name="_Toc144717850"/>
      <w:r>
        <w:t xml:space="preserve">Figure </w:t>
      </w:r>
      <w:r>
        <w:fldChar w:fldCharType="begin"/>
      </w:r>
      <w:r>
        <w:instrText>SEQ Figure \* ARABIC</w:instrText>
      </w:r>
      <w:r>
        <w:fldChar w:fldCharType="separate"/>
      </w:r>
      <w:r w:rsidR="00034AF8">
        <w:rPr>
          <w:noProof/>
        </w:rPr>
        <w:t>8</w:t>
      </w:r>
      <w:r>
        <w:fldChar w:fldCharType="end"/>
      </w:r>
      <w:bookmarkEnd w:id="132"/>
      <w:r>
        <w:t xml:space="preserve">: </w:t>
      </w:r>
      <w:r w:rsidRPr="00541881">
        <w:t>Six EQs or ‘agreed measures of success’</w:t>
      </w:r>
      <w:bookmarkEnd w:id="133"/>
    </w:p>
    <w:p w14:paraId="5A3217B3" w14:textId="09A2C816" w:rsidR="00975547" w:rsidRDefault="00012EE7" w:rsidP="002B782D">
      <w:pPr>
        <w:pStyle w:val="ItadNormalText"/>
      </w:pPr>
      <w:bookmarkStart w:id="134" w:name="_Hlk129089573"/>
      <w:bookmarkEnd w:id="131"/>
      <w:r w:rsidRPr="002B782D">
        <w:rPr>
          <w:b/>
          <w:bCs/>
        </w:rPr>
        <w:t>To address the</w:t>
      </w:r>
      <w:r w:rsidR="003272D3" w:rsidRPr="002B782D">
        <w:rPr>
          <w:b/>
          <w:bCs/>
        </w:rPr>
        <w:t>se</w:t>
      </w:r>
      <w:r w:rsidRPr="002B782D">
        <w:rPr>
          <w:b/>
          <w:bCs/>
        </w:rPr>
        <w:t xml:space="preserve"> EQs</w:t>
      </w:r>
      <w:r w:rsidR="00954F1D" w:rsidRPr="002B782D">
        <w:rPr>
          <w:b/>
          <w:bCs/>
        </w:rPr>
        <w:t>,</w:t>
      </w:r>
      <w:r w:rsidRPr="002B782D">
        <w:rPr>
          <w:b/>
          <w:bCs/>
        </w:rPr>
        <w:t xml:space="preserve"> we have collected data in 16 case study countries </w:t>
      </w:r>
      <w:r w:rsidR="00000053" w:rsidRPr="002B782D">
        <w:rPr>
          <w:b/>
          <w:bCs/>
        </w:rPr>
        <w:t xml:space="preserve">(out of the 23 where Fleming Fund has </w:t>
      </w:r>
      <w:r w:rsidR="00830ADC" w:rsidRPr="002B782D">
        <w:rPr>
          <w:b/>
          <w:bCs/>
        </w:rPr>
        <w:t>implemented activities during phase 1</w:t>
      </w:r>
      <w:r w:rsidR="00000053" w:rsidRPr="002B782D">
        <w:rPr>
          <w:b/>
          <w:bCs/>
        </w:rPr>
        <w:t xml:space="preserve">) </w:t>
      </w:r>
      <w:r w:rsidRPr="002B782D">
        <w:rPr>
          <w:b/>
          <w:bCs/>
        </w:rPr>
        <w:t xml:space="preserve">selected to maximise the extent of implementation evidence. </w:t>
      </w:r>
      <w:r w:rsidR="00000FA9" w:rsidRPr="0CB71AAA">
        <w:t xml:space="preserve">As described in section </w:t>
      </w:r>
      <w:r w:rsidR="00000FA9">
        <w:fldChar w:fldCharType="begin"/>
      </w:r>
      <w:r w:rsidR="00000FA9">
        <w:instrText xml:space="preserve"> REF _Ref118234448 \r \h </w:instrText>
      </w:r>
      <w:r w:rsidR="00000FA9">
        <w:fldChar w:fldCharType="separate"/>
      </w:r>
      <w:r w:rsidR="00597578" w:rsidRPr="0CB71AAA">
        <w:t>1.</w:t>
      </w:r>
      <w:r w:rsidR="00000FA9">
        <w:fldChar w:fldCharType="end"/>
      </w:r>
      <w:r w:rsidR="002B782D">
        <w:t>3</w:t>
      </w:r>
      <w:r w:rsidR="00000FA9">
        <w:t xml:space="preserve">, </w:t>
      </w:r>
      <w:r w:rsidR="002A432A" w:rsidRPr="0CB71AAA">
        <w:t xml:space="preserve">the duration of </w:t>
      </w:r>
      <w:r w:rsidR="002944F0">
        <w:t>CGs</w:t>
      </w:r>
      <w:r w:rsidR="002A432A" w:rsidRPr="0CB71AAA">
        <w:t xml:space="preserve"> varied according to a programme of staggered start dates.</w:t>
      </w:r>
      <w:r w:rsidR="00AF5EA9">
        <w:t xml:space="preserve"> </w:t>
      </w:r>
      <w:r w:rsidR="00597578" w:rsidRPr="0CB71AAA">
        <w:t>Our</w:t>
      </w:r>
      <w:r w:rsidR="00B548D8">
        <w:t xml:space="preserve"> </w:t>
      </w:r>
      <w:r w:rsidR="00597578" w:rsidRPr="0CB71AAA">
        <w:t xml:space="preserve">data collection </w:t>
      </w:r>
      <w:r w:rsidR="00B548D8" w:rsidRPr="0CB71AAA">
        <w:t xml:space="preserve">sample </w:t>
      </w:r>
      <w:r w:rsidR="00597578" w:rsidRPr="0CB71AAA">
        <w:t>included</w:t>
      </w:r>
      <w:r w:rsidR="00B548D8">
        <w:t xml:space="preserve"> </w:t>
      </w:r>
      <w:r w:rsidR="00CB751B" w:rsidRPr="0CB71AAA">
        <w:t>countries that were due</w:t>
      </w:r>
      <w:r w:rsidR="00D716D2" w:rsidRPr="0CB71AAA">
        <w:t>, at the time of finalising our inception report in mid-2018,</w:t>
      </w:r>
      <w:r w:rsidR="00CB751B">
        <w:t xml:space="preserve"> </w:t>
      </w:r>
      <w:r w:rsidR="00B548D8" w:rsidRPr="0CB71AAA">
        <w:t xml:space="preserve">to receive </w:t>
      </w:r>
      <w:r w:rsidR="00326B37" w:rsidRPr="0CB71AAA">
        <w:t xml:space="preserve">at least </w:t>
      </w:r>
      <w:r w:rsidR="00597578" w:rsidRPr="0CB71AAA">
        <w:t>six</w:t>
      </w:r>
      <w:r w:rsidR="00F74242">
        <w:t xml:space="preserve"> </w:t>
      </w:r>
      <w:r w:rsidR="00B548D8" w:rsidRPr="0CB71AAA">
        <w:t>months</w:t>
      </w:r>
      <w:r w:rsidR="002B782D">
        <w:t>’</w:t>
      </w:r>
      <w:r w:rsidR="00B548D8" w:rsidRPr="0CB71AAA">
        <w:t xml:space="preserve"> </w:t>
      </w:r>
      <w:r w:rsidR="00D716D2" w:rsidRPr="0CB71AAA">
        <w:t xml:space="preserve">support under </w:t>
      </w:r>
      <w:r w:rsidR="0063691F" w:rsidRPr="0CB71AAA">
        <w:t xml:space="preserve">second </w:t>
      </w:r>
      <w:r w:rsidR="00FA29A2">
        <w:t>CGs</w:t>
      </w:r>
      <w:r w:rsidR="0063691F" w:rsidRPr="0CB71AAA">
        <w:t xml:space="preserve"> </w:t>
      </w:r>
      <w:r w:rsidR="00827806" w:rsidRPr="0CB71AAA">
        <w:t xml:space="preserve">(as described in section </w:t>
      </w:r>
      <w:r w:rsidR="00B96899">
        <w:fldChar w:fldCharType="begin"/>
      </w:r>
      <w:r w:rsidR="00B96899">
        <w:instrText xml:space="preserve"> REF _Ref118234118 \r \h </w:instrText>
      </w:r>
      <w:r w:rsidR="00B96899">
        <w:fldChar w:fldCharType="separate"/>
      </w:r>
      <w:r w:rsidR="00597578" w:rsidRPr="0CB71AAA">
        <w:t>1.</w:t>
      </w:r>
      <w:r w:rsidR="00B96899">
        <w:fldChar w:fldCharType="end"/>
      </w:r>
      <w:r w:rsidR="002B782D">
        <w:t>2</w:t>
      </w:r>
      <w:r w:rsidR="00B96899">
        <w:t>)</w:t>
      </w:r>
      <w:r w:rsidR="00597578">
        <w:t>.</w:t>
      </w:r>
      <w:r w:rsidR="00326B37">
        <w:t xml:space="preserve"> </w:t>
      </w:r>
      <w:r w:rsidR="00597578" w:rsidRPr="0CB71AAA">
        <w:t>Therefore,</w:t>
      </w:r>
      <w:r w:rsidR="00326B37">
        <w:t xml:space="preserve"> </w:t>
      </w:r>
      <w:r w:rsidR="00B8111B" w:rsidRPr="0CB71AAA">
        <w:t xml:space="preserve">those </w:t>
      </w:r>
      <w:r w:rsidR="00597578" w:rsidRPr="0CB71AAA">
        <w:t xml:space="preserve">countries had </w:t>
      </w:r>
      <w:r w:rsidR="00B8111B" w:rsidRPr="0CB71AAA">
        <w:t>the greatest prospect of substantive results</w:t>
      </w:r>
      <w:r w:rsidR="00597578" w:rsidRPr="0CB71AAA">
        <w:t xml:space="preserve"> and</w:t>
      </w:r>
      <w:r w:rsidR="00827806" w:rsidRPr="0CB71AAA">
        <w:t xml:space="preserve"> were the countries that were most relevant to answering our EQs</w:t>
      </w:r>
      <w:r w:rsidR="00B548D8">
        <w:t>.</w:t>
      </w:r>
    </w:p>
    <w:p w14:paraId="1ACFABBA" w14:textId="47698054" w:rsidR="002B782D" w:rsidRPr="00AA498E" w:rsidRDefault="004541BB" w:rsidP="00AA498E">
      <w:pPr>
        <w:pStyle w:val="ItadNormalText"/>
      </w:pPr>
      <w:r w:rsidRPr="00256E8E">
        <w:rPr>
          <w:rStyle w:val="ItadNormalTextChar"/>
        </w:rPr>
        <w:t xml:space="preserve">In each country we conducted </w:t>
      </w:r>
      <w:r w:rsidR="00181C13" w:rsidRPr="00256E8E">
        <w:rPr>
          <w:rStyle w:val="ItadNormalTextChar"/>
        </w:rPr>
        <w:t xml:space="preserve">three separate rounds </w:t>
      </w:r>
      <w:r w:rsidRPr="00256E8E">
        <w:rPr>
          <w:rStyle w:val="ItadNormalTextChar"/>
        </w:rPr>
        <w:t>of KIIs</w:t>
      </w:r>
      <w:r w:rsidR="00181C13" w:rsidRPr="00256E8E">
        <w:rPr>
          <w:rStyle w:val="ItadNormalTextChar"/>
        </w:rPr>
        <w:t>, each corresponding to a specific evaluation deliverable</w:t>
      </w:r>
      <w:r w:rsidR="00D15697" w:rsidRPr="00256E8E">
        <w:rPr>
          <w:rStyle w:val="ItadNormalTextChar"/>
        </w:rPr>
        <w:t xml:space="preserve"> (see </w:t>
      </w:r>
      <w:r w:rsidR="00654201">
        <w:rPr>
          <w:rStyle w:val="ItadNormalTextChar"/>
        </w:rPr>
        <w:fldChar w:fldCharType="begin"/>
      </w:r>
      <w:r w:rsidR="00654201">
        <w:rPr>
          <w:rStyle w:val="ItadNormalTextChar"/>
        </w:rPr>
        <w:instrText xml:space="preserve"> REF _Ref144101341 \h </w:instrText>
      </w:r>
      <w:r w:rsidR="00654201">
        <w:rPr>
          <w:rStyle w:val="ItadNormalTextChar"/>
        </w:rPr>
      </w:r>
      <w:r w:rsidR="00654201">
        <w:rPr>
          <w:rStyle w:val="ItadNormalTextChar"/>
        </w:rPr>
        <w:fldChar w:fldCharType="separate"/>
      </w:r>
      <w:r w:rsidR="00654201">
        <w:t xml:space="preserve">Figure </w:t>
      </w:r>
      <w:r w:rsidR="00654201">
        <w:rPr>
          <w:noProof/>
        </w:rPr>
        <w:t>9</w:t>
      </w:r>
      <w:r w:rsidR="00654201">
        <w:rPr>
          <w:rStyle w:val="ItadNormalTextChar"/>
        </w:rPr>
        <w:fldChar w:fldCharType="end"/>
      </w:r>
      <w:r w:rsidR="00654201">
        <w:rPr>
          <w:rStyle w:val="ItadNormalTextChar"/>
        </w:rPr>
        <w:t xml:space="preserve"> </w:t>
      </w:r>
      <w:r w:rsidR="00D15697" w:rsidRPr="00256E8E">
        <w:rPr>
          <w:rStyle w:val="ItadNormalTextChar"/>
        </w:rPr>
        <w:t>below)</w:t>
      </w:r>
      <w:r w:rsidR="001F529C" w:rsidRPr="00256E8E">
        <w:rPr>
          <w:rStyle w:val="ItadNormalTextChar"/>
        </w:rPr>
        <w:t xml:space="preserve">; we also visited a number of </w:t>
      </w:r>
      <w:r w:rsidR="001F529C" w:rsidRPr="00256E8E">
        <w:rPr>
          <w:b/>
          <w:bCs/>
        </w:rPr>
        <w:t>surveillance sites</w:t>
      </w:r>
      <w:r w:rsidR="00AA6A7B" w:rsidRPr="00AA498E">
        <w:t>.</w:t>
      </w:r>
      <w:r w:rsidR="00A514DE" w:rsidRPr="00AA498E">
        <w:t xml:space="preserve"> </w:t>
      </w:r>
      <w:r w:rsidR="00D15697" w:rsidRPr="00AA498E">
        <w:t xml:space="preserve">Data collection </w:t>
      </w:r>
      <w:r w:rsidR="001305E1" w:rsidRPr="00AA498E">
        <w:t>us</w:t>
      </w:r>
      <w:r w:rsidR="00D15697" w:rsidRPr="00AA498E">
        <w:t>ed</w:t>
      </w:r>
      <w:r w:rsidR="001305E1" w:rsidRPr="00AA498E">
        <w:t xml:space="preserve"> standard interviewing techniques for qualitative work</w:t>
      </w:r>
      <w:r w:rsidR="00A83FA2" w:rsidRPr="00AA498E">
        <w:t xml:space="preserve"> and standardised data collection ana analysis tools (to facilitate cross-country analysis).</w:t>
      </w:r>
      <w:r w:rsidR="001305E1" w:rsidRPr="00AA498E">
        <w:t xml:space="preserve"> </w:t>
      </w:r>
      <w:r w:rsidR="00AD5F5B" w:rsidRPr="00AA498E">
        <w:t>Key informants</w:t>
      </w:r>
      <w:r w:rsidR="001D1F7D" w:rsidRPr="00AA498E">
        <w:t xml:space="preserve"> (KIs)</w:t>
      </w:r>
      <w:r w:rsidR="00AD5F5B" w:rsidRPr="00AA498E">
        <w:t xml:space="preserve"> </w:t>
      </w:r>
      <w:r w:rsidR="00A71BAD" w:rsidRPr="00AA498E">
        <w:t>and surveillance sites were</w:t>
      </w:r>
      <w:r w:rsidR="00AD5F5B" w:rsidRPr="00AA498E">
        <w:t xml:space="preserve"> purpos</w:t>
      </w:r>
      <w:r w:rsidR="00A71BAD" w:rsidRPr="00AA498E">
        <w:t>ive</w:t>
      </w:r>
      <w:r w:rsidR="00AD5F5B" w:rsidRPr="00AA498E">
        <w:t>ly sampled i</w:t>
      </w:r>
      <w:r w:rsidR="00DD5366" w:rsidRPr="00AA498E">
        <w:t>n each country</w:t>
      </w:r>
      <w:r w:rsidR="00AD5F5B" w:rsidRPr="00AA498E">
        <w:t xml:space="preserve">, </w:t>
      </w:r>
      <w:r w:rsidR="001305E1" w:rsidRPr="00AA498E">
        <w:t>star</w:t>
      </w:r>
      <w:r w:rsidR="00DD5366" w:rsidRPr="00AA498E">
        <w:t>t</w:t>
      </w:r>
      <w:r w:rsidR="00AD5F5B" w:rsidRPr="00AA498E">
        <w:t>ing</w:t>
      </w:r>
      <w:r w:rsidR="001305E1" w:rsidRPr="00AA498E">
        <w:t xml:space="preserve"> with a list of KIs</w:t>
      </w:r>
      <w:r w:rsidR="00A71BAD" w:rsidRPr="00AA498E">
        <w:t>/sites</w:t>
      </w:r>
      <w:r w:rsidR="006D7325" w:rsidRPr="00AA498E">
        <w:t xml:space="preserve"> agreed with the MA</w:t>
      </w:r>
      <w:r w:rsidR="00975547" w:rsidRPr="00AA498E">
        <w:t xml:space="preserve"> on the basis of our </w:t>
      </w:r>
      <w:r w:rsidR="00AD5F5B" w:rsidRPr="00AA498E">
        <w:t>document review</w:t>
      </w:r>
      <w:r w:rsidR="006F5884" w:rsidRPr="00AA498E">
        <w:t xml:space="preserve">, </w:t>
      </w:r>
      <w:r w:rsidR="00BE17B9" w:rsidRPr="00AA498E">
        <w:t>the categories of KIs</w:t>
      </w:r>
      <w:r w:rsidR="00CB19D5" w:rsidRPr="00256E8E">
        <w:rPr>
          <w:vertAlign w:val="superscript"/>
        </w:rPr>
        <w:footnoteReference w:id="55"/>
      </w:r>
      <w:r w:rsidR="00BE17B9" w:rsidRPr="00AA498E">
        <w:t xml:space="preserve"> </w:t>
      </w:r>
      <w:r w:rsidR="00585F19" w:rsidRPr="00AA498E">
        <w:t xml:space="preserve">relevant for each round based on </w:t>
      </w:r>
      <w:r w:rsidR="00975547" w:rsidRPr="00AA498E">
        <w:t>our information needs</w:t>
      </w:r>
      <w:r w:rsidR="00DD5366" w:rsidRPr="00AA498E">
        <w:t xml:space="preserve"> and KIs interviewed in previous rounds for round 2 and 3</w:t>
      </w:r>
      <w:r w:rsidR="00D14F75" w:rsidRPr="00AA498E">
        <w:t xml:space="preserve">. </w:t>
      </w:r>
      <w:r w:rsidR="007A4129" w:rsidRPr="00AA498E">
        <w:t>For KIIs, w</w:t>
      </w:r>
      <w:r w:rsidR="00D14F75" w:rsidRPr="00AA498E">
        <w:t xml:space="preserve">e </w:t>
      </w:r>
      <w:r w:rsidR="001305E1" w:rsidRPr="00AA498E">
        <w:t xml:space="preserve">then </w:t>
      </w:r>
      <w:r w:rsidR="00D14F75" w:rsidRPr="00AA498E">
        <w:t>applied</w:t>
      </w:r>
      <w:r w:rsidR="001305E1" w:rsidRPr="00AA498E">
        <w:t xml:space="preserve"> snowballing</w:t>
      </w:r>
      <w:r w:rsidR="00314A4C" w:rsidRPr="00AA498E">
        <w:t xml:space="preserve"> once KIIs started</w:t>
      </w:r>
      <w:r w:rsidR="006922EB" w:rsidRPr="00AA498E">
        <w:t xml:space="preserve"> by </w:t>
      </w:r>
      <w:r w:rsidR="00620904" w:rsidRPr="00AA498E">
        <w:t>including additional KIs</w:t>
      </w:r>
      <w:r w:rsidR="002E1C50" w:rsidRPr="00AA498E">
        <w:t xml:space="preserve"> suggested by other</w:t>
      </w:r>
      <w:r w:rsidR="001D1F7D" w:rsidRPr="00AA498E">
        <w:t xml:space="preserve"> KI</w:t>
      </w:r>
      <w:r w:rsidR="002E1C50" w:rsidRPr="00AA498E">
        <w:t>s when deemed relevant</w:t>
      </w:r>
      <w:r w:rsidR="00597578" w:rsidRPr="00AA498E">
        <w:t>.</w:t>
      </w:r>
      <w:r w:rsidR="001305E1" w:rsidRPr="00256E8E">
        <w:rPr>
          <w:vertAlign w:val="superscript"/>
        </w:rPr>
        <w:footnoteReference w:id="56"/>
      </w:r>
      <w:r w:rsidR="001305E1" w:rsidRPr="00256E8E">
        <w:rPr>
          <w:vertAlign w:val="superscript"/>
        </w:rPr>
        <w:t xml:space="preserve"> </w:t>
      </w:r>
      <w:r w:rsidR="001305E1" w:rsidRPr="00AA498E">
        <w:t>Technically, we looked to stop interviewing people when we reached analytical saturation</w:t>
      </w:r>
      <w:r w:rsidR="00597578" w:rsidRPr="00AA498E">
        <w:t>;</w:t>
      </w:r>
      <w:r w:rsidR="001305E1" w:rsidRPr="00AA498E">
        <w:rPr>
          <w:vertAlign w:val="superscript"/>
        </w:rPr>
        <w:footnoteReference w:id="57"/>
      </w:r>
      <w:r w:rsidR="001305E1" w:rsidRPr="00AA498E">
        <w:rPr>
          <w:vertAlign w:val="superscript"/>
        </w:rPr>
        <w:t xml:space="preserve"> </w:t>
      </w:r>
      <w:r w:rsidR="001305E1" w:rsidRPr="00AA498E">
        <w:t xml:space="preserve">however, in reality we </w:t>
      </w:r>
      <w:r w:rsidR="001305E1" w:rsidRPr="00F156C9">
        <w:t xml:space="preserve">snowballed to the degree </w:t>
      </w:r>
      <w:r w:rsidR="00597578" w:rsidRPr="00F156C9">
        <w:t>possible</w:t>
      </w:r>
      <w:r w:rsidR="001305E1" w:rsidRPr="00F156C9">
        <w:t xml:space="preserve"> within </w:t>
      </w:r>
      <w:r w:rsidR="00110B79" w:rsidRPr="00F156C9">
        <w:t xml:space="preserve">the </w:t>
      </w:r>
      <w:r w:rsidR="001305E1" w:rsidRPr="00F156C9">
        <w:t xml:space="preserve">available time and resources. </w:t>
      </w:r>
      <w:r w:rsidR="004A4B07" w:rsidRPr="00F156C9">
        <w:t xml:space="preserve">For more details on sampling see </w:t>
      </w:r>
      <w:r w:rsidR="00803F81" w:rsidRPr="00F156C9">
        <w:t>Vol. I</w:t>
      </w:r>
      <w:r w:rsidR="000B2A16" w:rsidRPr="00F156C9">
        <w:t>I, Annex 3</w:t>
      </w:r>
      <w:r w:rsidR="00C8517B" w:rsidRPr="00F156C9">
        <w:t xml:space="preserve">, Table </w:t>
      </w:r>
      <w:r w:rsidR="001D1F7D" w:rsidRPr="00F156C9">
        <w:t>2</w:t>
      </w:r>
      <w:r w:rsidR="000B2A16" w:rsidRPr="00F156C9">
        <w:t>.</w:t>
      </w:r>
      <w:r w:rsidR="007A4129" w:rsidRPr="00F156C9">
        <w:t xml:space="preserve"> For sites, our ob</w:t>
      </w:r>
      <w:r w:rsidR="008230C2" w:rsidRPr="00F156C9">
        <w:t>jective was to generate a more granular understanding of how Fleming Fund support</w:t>
      </w:r>
      <w:r w:rsidR="008230C2" w:rsidRPr="00AA498E">
        <w:t xml:space="preserve"> worked in practice,</w:t>
      </w:r>
      <w:r w:rsidR="009D1943" w:rsidRPr="00AA498E">
        <w:t xml:space="preserve"> albeit on an illustrative rather than representative basis</w:t>
      </w:r>
      <w:r w:rsidR="00C805B4" w:rsidRPr="00AA498E">
        <w:t xml:space="preserve"> (</w:t>
      </w:r>
      <w:r w:rsidR="00C805B4" w:rsidRPr="007F1970">
        <w:t xml:space="preserve">see Annex </w:t>
      </w:r>
      <w:r w:rsidR="00C8517B" w:rsidRPr="007F1970">
        <w:t xml:space="preserve">3, Table </w:t>
      </w:r>
      <w:r w:rsidR="007F1970" w:rsidRPr="007F1970">
        <w:t xml:space="preserve">2 </w:t>
      </w:r>
      <w:r w:rsidR="00C805B4" w:rsidRPr="007F1970">
        <w:t>for</w:t>
      </w:r>
      <w:r w:rsidR="00C805B4" w:rsidRPr="00AA498E">
        <w:t xml:space="preserve"> more details)</w:t>
      </w:r>
      <w:r w:rsidR="009D1943" w:rsidRPr="00AA498E">
        <w:t>.</w:t>
      </w:r>
    </w:p>
    <w:p w14:paraId="2D42ADED" w14:textId="2DBF3136" w:rsidR="002B782D" w:rsidRDefault="002B782D" w:rsidP="00597578">
      <w:pPr>
        <w:pStyle w:val="ItadMainTitle3"/>
        <w:spacing w:after="120"/>
        <w:contextualSpacing w:val="0"/>
        <w:rPr>
          <w:bCs/>
        </w:rPr>
        <w:sectPr w:rsidR="002B782D" w:rsidSect="00372520">
          <w:headerReference w:type="first" r:id="rId30"/>
          <w:footerReference w:type="first" r:id="rId31"/>
          <w:pgSz w:w="11900" w:h="16840"/>
          <w:pgMar w:top="1134" w:right="1191" w:bottom="1134" w:left="1191" w:header="720" w:footer="258" w:gutter="0"/>
          <w:cols w:space="720"/>
          <w:titlePg/>
          <w:docGrid w:linePitch="360"/>
        </w:sectPr>
      </w:pPr>
    </w:p>
    <w:tbl>
      <w:tblPr>
        <w:tblStyle w:val="TableGrid"/>
        <w:tblW w:w="11050" w:type="dxa"/>
        <w:tblInd w:w="-431" w:type="dxa"/>
        <w:tblLook w:val="04A0" w:firstRow="1" w:lastRow="0" w:firstColumn="1" w:lastColumn="0" w:noHBand="0" w:noVBand="1"/>
      </w:tblPr>
      <w:tblGrid>
        <w:gridCol w:w="1236"/>
        <w:gridCol w:w="447"/>
        <w:gridCol w:w="447"/>
        <w:gridCol w:w="446"/>
        <w:gridCol w:w="446"/>
        <w:gridCol w:w="446"/>
        <w:gridCol w:w="446"/>
        <w:gridCol w:w="446"/>
        <w:gridCol w:w="446"/>
        <w:gridCol w:w="446"/>
        <w:gridCol w:w="446"/>
        <w:gridCol w:w="446"/>
        <w:gridCol w:w="446"/>
        <w:gridCol w:w="446"/>
        <w:gridCol w:w="446"/>
        <w:gridCol w:w="446"/>
        <w:gridCol w:w="446"/>
        <w:gridCol w:w="446"/>
        <w:gridCol w:w="446"/>
        <w:gridCol w:w="446"/>
        <w:gridCol w:w="446"/>
        <w:gridCol w:w="446"/>
        <w:gridCol w:w="446"/>
      </w:tblGrid>
      <w:tr w:rsidR="000D4458" w:rsidRPr="001D1F7D" w14:paraId="12E92A4D" w14:textId="77777777" w:rsidTr="005970FA">
        <w:tc>
          <w:tcPr>
            <w:tcW w:w="1236" w:type="dxa"/>
          </w:tcPr>
          <w:p w14:paraId="3EB1F977" w14:textId="77777777" w:rsidR="003D13EB" w:rsidRPr="001D1F7D" w:rsidRDefault="003D13EB" w:rsidP="00693376">
            <w:pPr>
              <w:rPr>
                <w:sz w:val="16"/>
                <w:szCs w:val="16"/>
              </w:rPr>
            </w:pPr>
          </w:p>
        </w:tc>
        <w:tc>
          <w:tcPr>
            <w:tcW w:w="1340" w:type="dxa"/>
            <w:gridSpan w:val="3"/>
            <w:shd w:val="clear" w:color="auto" w:fill="D0E9B4" w:themeFill="accent6" w:themeFillTint="66"/>
          </w:tcPr>
          <w:p w14:paraId="4CBC2245" w14:textId="0DEF9C36" w:rsidR="003D13EB" w:rsidRPr="001D1F7D" w:rsidRDefault="003D13EB" w:rsidP="00693376">
            <w:pPr>
              <w:jc w:val="center"/>
              <w:rPr>
                <w:sz w:val="16"/>
                <w:szCs w:val="16"/>
              </w:rPr>
            </w:pPr>
            <w:r w:rsidRPr="001D1F7D">
              <w:rPr>
                <w:sz w:val="16"/>
                <w:szCs w:val="16"/>
              </w:rPr>
              <w:t>2018</w:t>
            </w:r>
          </w:p>
        </w:tc>
        <w:tc>
          <w:tcPr>
            <w:tcW w:w="1784" w:type="dxa"/>
            <w:gridSpan w:val="4"/>
            <w:shd w:val="clear" w:color="auto" w:fill="D0E9B4" w:themeFill="accent6" w:themeFillTint="66"/>
          </w:tcPr>
          <w:p w14:paraId="687B9B50" w14:textId="77777777" w:rsidR="003D13EB" w:rsidRPr="001D1F7D" w:rsidRDefault="003D13EB" w:rsidP="00693376">
            <w:pPr>
              <w:jc w:val="center"/>
              <w:rPr>
                <w:sz w:val="16"/>
                <w:szCs w:val="16"/>
              </w:rPr>
            </w:pPr>
            <w:r w:rsidRPr="001D1F7D">
              <w:rPr>
                <w:sz w:val="16"/>
                <w:szCs w:val="16"/>
              </w:rPr>
              <w:t>2019</w:t>
            </w:r>
          </w:p>
        </w:tc>
        <w:tc>
          <w:tcPr>
            <w:tcW w:w="1784" w:type="dxa"/>
            <w:gridSpan w:val="4"/>
            <w:shd w:val="clear" w:color="auto" w:fill="D0E9B4" w:themeFill="accent6" w:themeFillTint="66"/>
          </w:tcPr>
          <w:p w14:paraId="69023BA1" w14:textId="77777777" w:rsidR="003D13EB" w:rsidRPr="001D1F7D" w:rsidRDefault="003D13EB" w:rsidP="00693376">
            <w:pPr>
              <w:jc w:val="center"/>
              <w:rPr>
                <w:sz w:val="16"/>
                <w:szCs w:val="16"/>
              </w:rPr>
            </w:pPr>
            <w:r w:rsidRPr="001D1F7D">
              <w:rPr>
                <w:sz w:val="16"/>
                <w:szCs w:val="16"/>
              </w:rPr>
              <w:t>2020</w:t>
            </w:r>
          </w:p>
        </w:tc>
        <w:tc>
          <w:tcPr>
            <w:tcW w:w="1784" w:type="dxa"/>
            <w:gridSpan w:val="4"/>
            <w:shd w:val="clear" w:color="auto" w:fill="D0E9B4" w:themeFill="accent6" w:themeFillTint="66"/>
          </w:tcPr>
          <w:p w14:paraId="15B67B17" w14:textId="77777777" w:rsidR="003D13EB" w:rsidRPr="001D1F7D" w:rsidRDefault="003D13EB" w:rsidP="00693376">
            <w:pPr>
              <w:jc w:val="center"/>
              <w:rPr>
                <w:sz w:val="16"/>
                <w:szCs w:val="16"/>
              </w:rPr>
            </w:pPr>
            <w:r w:rsidRPr="001D1F7D">
              <w:rPr>
                <w:sz w:val="16"/>
                <w:szCs w:val="16"/>
              </w:rPr>
              <w:t>2021</w:t>
            </w:r>
          </w:p>
        </w:tc>
        <w:tc>
          <w:tcPr>
            <w:tcW w:w="1784" w:type="dxa"/>
            <w:gridSpan w:val="4"/>
            <w:shd w:val="clear" w:color="auto" w:fill="D0E9B4" w:themeFill="accent6" w:themeFillTint="66"/>
          </w:tcPr>
          <w:p w14:paraId="149CCE8A" w14:textId="77777777" w:rsidR="003D13EB" w:rsidRPr="001D1F7D" w:rsidRDefault="003D13EB" w:rsidP="00693376">
            <w:pPr>
              <w:jc w:val="center"/>
              <w:rPr>
                <w:sz w:val="16"/>
                <w:szCs w:val="16"/>
              </w:rPr>
            </w:pPr>
            <w:r w:rsidRPr="001D1F7D">
              <w:rPr>
                <w:sz w:val="16"/>
                <w:szCs w:val="16"/>
              </w:rPr>
              <w:t>2022</w:t>
            </w:r>
          </w:p>
        </w:tc>
        <w:tc>
          <w:tcPr>
            <w:tcW w:w="1338" w:type="dxa"/>
            <w:gridSpan w:val="3"/>
            <w:shd w:val="clear" w:color="auto" w:fill="D0E9B4" w:themeFill="accent6" w:themeFillTint="66"/>
          </w:tcPr>
          <w:p w14:paraId="5EAC4BEA" w14:textId="77777777" w:rsidR="003D13EB" w:rsidRPr="001D1F7D" w:rsidRDefault="003D13EB" w:rsidP="00693376">
            <w:pPr>
              <w:jc w:val="center"/>
              <w:rPr>
                <w:sz w:val="16"/>
                <w:szCs w:val="16"/>
              </w:rPr>
            </w:pPr>
            <w:r w:rsidRPr="001D1F7D">
              <w:rPr>
                <w:sz w:val="16"/>
                <w:szCs w:val="16"/>
              </w:rPr>
              <w:t>2023</w:t>
            </w:r>
          </w:p>
        </w:tc>
      </w:tr>
      <w:tr w:rsidR="00C21115" w:rsidRPr="001D1F7D" w14:paraId="7BA976A1" w14:textId="77777777" w:rsidTr="005970FA">
        <w:tc>
          <w:tcPr>
            <w:tcW w:w="1236" w:type="dxa"/>
            <w:shd w:val="clear" w:color="auto" w:fill="B9DF8F" w:themeFill="accent6" w:themeFillTint="99"/>
          </w:tcPr>
          <w:p w14:paraId="16087ABB" w14:textId="366CB21E" w:rsidR="003D13EB" w:rsidRPr="001D1F7D" w:rsidRDefault="003D13EB" w:rsidP="00FF3529">
            <w:pPr>
              <w:rPr>
                <w:sz w:val="16"/>
                <w:szCs w:val="16"/>
              </w:rPr>
            </w:pPr>
            <w:r w:rsidRPr="001D1F7D">
              <w:rPr>
                <w:sz w:val="16"/>
                <w:szCs w:val="16"/>
              </w:rPr>
              <w:t>Data collection &amp; analysis</w:t>
            </w:r>
          </w:p>
        </w:tc>
        <w:tc>
          <w:tcPr>
            <w:tcW w:w="447" w:type="dxa"/>
            <w:shd w:val="clear" w:color="auto" w:fill="B9DF8F" w:themeFill="accent6" w:themeFillTint="99"/>
          </w:tcPr>
          <w:p w14:paraId="07EAD413" w14:textId="77777777" w:rsidR="003D13EB" w:rsidRPr="001D1F7D" w:rsidRDefault="003D13EB" w:rsidP="00FF3529">
            <w:pPr>
              <w:jc w:val="center"/>
              <w:rPr>
                <w:sz w:val="16"/>
                <w:szCs w:val="16"/>
              </w:rPr>
            </w:pPr>
            <w:r w:rsidRPr="001D1F7D">
              <w:rPr>
                <w:sz w:val="16"/>
                <w:szCs w:val="16"/>
              </w:rPr>
              <w:t>Q3</w:t>
            </w:r>
          </w:p>
        </w:tc>
        <w:tc>
          <w:tcPr>
            <w:tcW w:w="447" w:type="dxa"/>
            <w:shd w:val="clear" w:color="auto" w:fill="B9DF8F" w:themeFill="accent6" w:themeFillTint="99"/>
          </w:tcPr>
          <w:p w14:paraId="56D6A056" w14:textId="77777777" w:rsidR="003D13EB" w:rsidRPr="001D1F7D" w:rsidRDefault="003D13EB" w:rsidP="00FF3529">
            <w:pPr>
              <w:jc w:val="center"/>
              <w:rPr>
                <w:sz w:val="16"/>
                <w:szCs w:val="16"/>
              </w:rPr>
            </w:pPr>
            <w:r w:rsidRPr="001D1F7D">
              <w:rPr>
                <w:sz w:val="16"/>
                <w:szCs w:val="16"/>
              </w:rPr>
              <w:t>Q4</w:t>
            </w:r>
          </w:p>
        </w:tc>
        <w:tc>
          <w:tcPr>
            <w:tcW w:w="446" w:type="dxa"/>
            <w:shd w:val="clear" w:color="auto" w:fill="B9DF8F" w:themeFill="accent6" w:themeFillTint="99"/>
          </w:tcPr>
          <w:p w14:paraId="02D1EF5E" w14:textId="77777777" w:rsidR="003D13EB" w:rsidRPr="001D1F7D" w:rsidRDefault="003D13EB" w:rsidP="00FF3529">
            <w:pPr>
              <w:jc w:val="center"/>
              <w:rPr>
                <w:sz w:val="16"/>
                <w:szCs w:val="16"/>
              </w:rPr>
            </w:pPr>
            <w:r w:rsidRPr="001D1F7D">
              <w:rPr>
                <w:sz w:val="16"/>
                <w:szCs w:val="16"/>
              </w:rPr>
              <w:t>Q1</w:t>
            </w:r>
          </w:p>
        </w:tc>
        <w:tc>
          <w:tcPr>
            <w:tcW w:w="446" w:type="dxa"/>
            <w:shd w:val="clear" w:color="auto" w:fill="B9DF8F" w:themeFill="accent6" w:themeFillTint="99"/>
          </w:tcPr>
          <w:p w14:paraId="4AD8A0BF" w14:textId="77777777" w:rsidR="003D13EB" w:rsidRPr="001D1F7D" w:rsidRDefault="003D13EB" w:rsidP="00FF3529">
            <w:pPr>
              <w:jc w:val="center"/>
              <w:rPr>
                <w:sz w:val="16"/>
                <w:szCs w:val="16"/>
              </w:rPr>
            </w:pPr>
            <w:r w:rsidRPr="001D1F7D">
              <w:rPr>
                <w:sz w:val="16"/>
                <w:szCs w:val="16"/>
              </w:rPr>
              <w:t>Q2</w:t>
            </w:r>
          </w:p>
        </w:tc>
        <w:tc>
          <w:tcPr>
            <w:tcW w:w="446" w:type="dxa"/>
            <w:shd w:val="clear" w:color="auto" w:fill="B9DF8F" w:themeFill="accent6" w:themeFillTint="99"/>
          </w:tcPr>
          <w:p w14:paraId="739B90AF" w14:textId="77777777" w:rsidR="003D13EB" w:rsidRPr="001D1F7D" w:rsidRDefault="003D13EB" w:rsidP="00FF3529">
            <w:pPr>
              <w:jc w:val="center"/>
              <w:rPr>
                <w:sz w:val="16"/>
                <w:szCs w:val="16"/>
              </w:rPr>
            </w:pPr>
            <w:r w:rsidRPr="001D1F7D">
              <w:rPr>
                <w:sz w:val="16"/>
                <w:szCs w:val="16"/>
              </w:rPr>
              <w:t>Q3</w:t>
            </w:r>
          </w:p>
        </w:tc>
        <w:tc>
          <w:tcPr>
            <w:tcW w:w="446" w:type="dxa"/>
            <w:shd w:val="clear" w:color="auto" w:fill="B9DF8F" w:themeFill="accent6" w:themeFillTint="99"/>
          </w:tcPr>
          <w:p w14:paraId="320A7D7D" w14:textId="77777777" w:rsidR="003D13EB" w:rsidRPr="001D1F7D" w:rsidRDefault="003D13EB" w:rsidP="00FF3529">
            <w:pPr>
              <w:jc w:val="center"/>
              <w:rPr>
                <w:sz w:val="16"/>
                <w:szCs w:val="16"/>
              </w:rPr>
            </w:pPr>
            <w:r w:rsidRPr="001D1F7D">
              <w:rPr>
                <w:sz w:val="16"/>
                <w:szCs w:val="16"/>
              </w:rPr>
              <w:t>Q4</w:t>
            </w:r>
          </w:p>
        </w:tc>
        <w:tc>
          <w:tcPr>
            <w:tcW w:w="446" w:type="dxa"/>
            <w:shd w:val="clear" w:color="auto" w:fill="B9DF8F" w:themeFill="accent6" w:themeFillTint="99"/>
          </w:tcPr>
          <w:p w14:paraId="577CFE40" w14:textId="77777777" w:rsidR="003D13EB" w:rsidRPr="001D1F7D" w:rsidRDefault="003D13EB" w:rsidP="00FF3529">
            <w:pPr>
              <w:jc w:val="center"/>
              <w:rPr>
                <w:sz w:val="16"/>
                <w:szCs w:val="16"/>
              </w:rPr>
            </w:pPr>
            <w:r w:rsidRPr="001D1F7D">
              <w:rPr>
                <w:sz w:val="16"/>
                <w:szCs w:val="16"/>
              </w:rPr>
              <w:t>Q1</w:t>
            </w:r>
          </w:p>
        </w:tc>
        <w:tc>
          <w:tcPr>
            <w:tcW w:w="446" w:type="dxa"/>
            <w:shd w:val="clear" w:color="auto" w:fill="B9DF8F" w:themeFill="accent6" w:themeFillTint="99"/>
          </w:tcPr>
          <w:p w14:paraId="7132AEEB" w14:textId="77777777" w:rsidR="003D13EB" w:rsidRPr="001D1F7D" w:rsidRDefault="003D13EB" w:rsidP="00FF3529">
            <w:pPr>
              <w:jc w:val="center"/>
              <w:rPr>
                <w:sz w:val="16"/>
                <w:szCs w:val="16"/>
              </w:rPr>
            </w:pPr>
            <w:r w:rsidRPr="001D1F7D">
              <w:rPr>
                <w:sz w:val="16"/>
                <w:szCs w:val="16"/>
              </w:rPr>
              <w:t>Q2</w:t>
            </w:r>
          </w:p>
        </w:tc>
        <w:tc>
          <w:tcPr>
            <w:tcW w:w="446" w:type="dxa"/>
            <w:shd w:val="clear" w:color="auto" w:fill="B9DF8F" w:themeFill="accent6" w:themeFillTint="99"/>
          </w:tcPr>
          <w:p w14:paraId="406D6D20" w14:textId="77777777" w:rsidR="003D13EB" w:rsidRPr="001D1F7D" w:rsidRDefault="003D13EB" w:rsidP="00FF3529">
            <w:pPr>
              <w:jc w:val="center"/>
              <w:rPr>
                <w:sz w:val="16"/>
                <w:szCs w:val="16"/>
              </w:rPr>
            </w:pPr>
            <w:r w:rsidRPr="001D1F7D">
              <w:rPr>
                <w:sz w:val="16"/>
                <w:szCs w:val="16"/>
              </w:rPr>
              <w:t>Q3</w:t>
            </w:r>
          </w:p>
        </w:tc>
        <w:tc>
          <w:tcPr>
            <w:tcW w:w="446" w:type="dxa"/>
            <w:shd w:val="clear" w:color="auto" w:fill="B9DF8F" w:themeFill="accent6" w:themeFillTint="99"/>
          </w:tcPr>
          <w:p w14:paraId="410032ED" w14:textId="77777777" w:rsidR="003D13EB" w:rsidRPr="001D1F7D" w:rsidRDefault="003D13EB" w:rsidP="00FF3529">
            <w:pPr>
              <w:jc w:val="center"/>
              <w:rPr>
                <w:sz w:val="16"/>
                <w:szCs w:val="16"/>
              </w:rPr>
            </w:pPr>
            <w:r w:rsidRPr="001D1F7D">
              <w:rPr>
                <w:sz w:val="16"/>
                <w:szCs w:val="16"/>
              </w:rPr>
              <w:t>Q4</w:t>
            </w:r>
          </w:p>
        </w:tc>
        <w:tc>
          <w:tcPr>
            <w:tcW w:w="446" w:type="dxa"/>
            <w:shd w:val="clear" w:color="auto" w:fill="B9DF8F" w:themeFill="accent6" w:themeFillTint="99"/>
          </w:tcPr>
          <w:p w14:paraId="3FAE80D2" w14:textId="77777777" w:rsidR="003D13EB" w:rsidRPr="001D1F7D" w:rsidRDefault="003D13EB" w:rsidP="00FF3529">
            <w:pPr>
              <w:jc w:val="center"/>
              <w:rPr>
                <w:sz w:val="16"/>
                <w:szCs w:val="16"/>
              </w:rPr>
            </w:pPr>
            <w:r w:rsidRPr="001D1F7D">
              <w:rPr>
                <w:sz w:val="16"/>
                <w:szCs w:val="16"/>
              </w:rPr>
              <w:t>Q1</w:t>
            </w:r>
          </w:p>
        </w:tc>
        <w:tc>
          <w:tcPr>
            <w:tcW w:w="446" w:type="dxa"/>
            <w:shd w:val="clear" w:color="auto" w:fill="B9DF8F" w:themeFill="accent6" w:themeFillTint="99"/>
          </w:tcPr>
          <w:p w14:paraId="2490C026" w14:textId="77777777" w:rsidR="003D13EB" w:rsidRPr="001D1F7D" w:rsidRDefault="003D13EB" w:rsidP="00FF3529">
            <w:pPr>
              <w:jc w:val="center"/>
              <w:rPr>
                <w:sz w:val="16"/>
                <w:szCs w:val="16"/>
              </w:rPr>
            </w:pPr>
            <w:r w:rsidRPr="001D1F7D">
              <w:rPr>
                <w:sz w:val="16"/>
                <w:szCs w:val="16"/>
              </w:rPr>
              <w:t>Q2</w:t>
            </w:r>
          </w:p>
        </w:tc>
        <w:tc>
          <w:tcPr>
            <w:tcW w:w="446" w:type="dxa"/>
            <w:shd w:val="clear" w:color="auto" w:fill="B9DF8F" w:themeFill="accent6" w:themeFillTint="99"/>
          </w:tcPr>
          <w:p w14:paraId="60282CB2" w14:textId="77777777" w:rsidR="003D13EB" w:rsidRPr="001D1F7D" w:rsidRDefault="003D13EB" w:rsidP="00FF3529">
            <w:pPr>
              <w:jc w:val="center"/>
              <w:rPr>
                <w:sz w:val="16"/>
                <w:szCs w:val="16"/>
              </w:rPr>
            </w:pPr>
            <w:r w:rsidRPr="001D1F7D">
              <w:rPr>
                <w:sz w:val="16"/>
                <w:szCs w:val="16"/>
              </w:rPr>
              <w:t>Q3</w:t>
            </w:r>
          </w:p>
        </w:tc>
        <w:tc>
          <w:tcPr>
            <w:tcW w:w="446" w:type="dxa"/>
            <w:shd w:val="clear" w:color="auto" w:fill="B9DF8F" w:themeFill="accent6" w:themeFillTint="99"/>
          </w:tcPr>
          <w:p w14:paraId="0047A007" w14:textId="77777777" w:rsidR="003D13EB" w:rsidRPr="001D1F7D" w:rsidRDefault="003D13EB" w:rsidP="00FF3529">
            <w:pPr>
              <w:jc w:val="center"/>
              <w:rPr>
                <w:sz w:val="16"/>
                <w:szCs w:val="16"/>
              </w:rPr>
            </w:pPr>
            <w:r w:rsidRPr="001D1F7D">
              <w:rPr>
                <w:sz w:val="16"/>
                <w:szCs w:val="16"/>
              </w:rPr>
              <w:t>Q4</w:t>
            </w:r>
          </w:p>
        </w:tc>
        <w:tc>
          <w:tcPr>
            <w:tcW w:w="446" w:type="dxa"/>
            <w:shd w:val="clear" w:color="auto" w:fill="B9DF8F" w:themeFill="accent6" w:themeFillTint="99"/>
          </w:tcPr>
          <w:p w14:paraId="56D2ED94" w14:textId="77777777" w:rsidR="003D13EB" w:rsidRPr="001D1F7D" w:rsidRDefault="003D13EB" w:rsidP="00FF3529">
            <w:pPr>
              <w:jc w:val="center"/>
              <w:rPr>
                <w:sz w:val="16"/>
                <w:szCs w:val="16"/>
              </w:rPr>
            </w:pPr>
            <w:r w:rsidRPr="001D1F7D">
              <w:rPr>
                <w:sz w:val="16"/>
                <w:szCs w:val="16"/>
              </w:rPr>
              <w:t>Q1</w:t>
            </w:r>
          </w:p>
        </w:tc>
        <w:tc>
          <w:tcPr>
            <w:tcW w:w="446" w:type="dxa"/>
            <w:shd w:val="clear" w:color="auto" w:fill="B9DF8F" w:themeFill="accent6" w:themeFillTint="99"/>
          </w:tcPr>
          <w:p w14:paraId="74F13A14" w14:textId="77777777" w:rsidR="003D13EB" w:rsidRPr="001D1F7D" w:rsidRDefault="003D13EB" w:rsidP="00FF3529">
            <w:pPr>
              <w:jc w:val="center"/>
              <w:rPr>
                <w:sz w:val="16"/>
                <w:szCs w:val="16"/>
              </w:rPr>
            </w:pPr>
            <w:r w:rsidRPr="001D1F7D">
              <w:rPr>
                <w:sz w:val="16"/>
                <w:szCs w:val="16"/>
              </w:rPr>
              <w:t>Q2</w:t>
            </w:r>
          </w:p>
        </w:tc>
        <w:tc>
          <w:tcPr>
            <w:tcW w:w="446" w:type="dxa"/>
            <w:shd w:val="clear" w:color="auto" w:fill="B9DF8F" w:themeFill="accent6" w:themeFillTint="99"/>
          </w:tcPr>
          <w:p w14:paraId="654E0E65" w14:textId="77777777" w:rsidR="003D13EB" w:rsidRPr="001D1F7D" w:rsidRDefault="003D13EB" w:rsidP="00FF3529">
            <w:pPr>
              <w:jc w:val="center"/>
              <w:rPr>
                <w:sz w:val="16"/>
                <w:szCs w:val="16"/>
              </w:rPr>
            </w:pPr>
            <w:r w:rsidRPr="001D1F7D">
              <w:rPr>
                <w:sz w:val="16"/>
                <w:szCs w:val="16"/>
              </w:rPr>
              <w:t>Q3</w:t>
            </w:r>
          </w:p>
        </w:tc>
        <w:tc>
          <w:tcPr>
            <w:tcW w:w="446" w:type="dxa"/>
            <w:shd w:val="clear" w:color="auto" w:fill="B9DF8F" w:themeFill="accent6" w:themeFillTint="99"/>
          </w:tcPr>
          <w:p w14:paraId="7E8B1F91" w14:textId="77777777" w:rsidR="003D13EB" w:rsidRPr="001D1F7D" w:rsidRDefault="003D13EB" w:rsidP="00FF3529">
            <w:pPr>
              <w:jc w:val="center"/>
              <w:rPr>
                <w:sz w:val="16"/>
                <w:szCs w:val="16"/>
              </w:rPr>
            </w:pPr>
            <w:r w:rsidRPr="001D1F7D">
              <w:rPr>
                <w:sz w:val="16"/>
                <w:szCs w:val="16"/>
              </w:rPr>
              <w:t>Q4</w:t>
            </w:r>
          </w:p>
        </w:tc>
        <w:tc>
          <w:tcPr>
            <w:tcW w:w="446" w:type="dxa"/>
            <w:shd w:val="clear" w:color="auto" w:fill="B9DF8F" w:themeFill="accent6" w:themeFillTint="99"/>
          </w:tcPr>
          <w:p w14:paraId="3A46E693" w14:textId="77777777" w:rsidR="003D13EB" w:rsidRPr="001D1F7D" w:rsidRDefault="003D13EB" w:rsidP="00FF3529">
            <w:pPr>
              <w:jc w:val="center"/>
              <w:rPr>
                <w:sz w:val="16"/>
                <w:szCs w:val="16"/>
              </w:rPr>
            </w:pPr>
            <w:r w:rsidRPr="001D1F7D">
              <w:rPr>
                <w:sz w:val="16"/>
                <w:szCs w:val="16"/>
              </w:rPr>
              <w:t>Q1</w:t>
            </w:r>
          </w:p>
        </w:tc>
        <w:tc>
          <w:tcPr>
            <w:tcW w:w="446" w:type="dxa"/>
            <w:shd w:val="clear" w:color="auto" w:fill="B9DF8F" w:themeFill="accent6" w:themeFillTint="99"/>
          </w:tcPr>
          <w:p w14:paraId="4D087AA1" w14:textId="77777777" w:rsidR="003D13EB" w:rsidRPr="001D1F7D" w:rsidRDefault="003D13EB" w:rsidP="00FF3529">
            <w:pPr>
              <w:jc w:val="center"/>
              <w:rPr>
                <w:sz w:val="16"/>
                <w:szCs w:val="16"/>
              </w:rPr>
            </w:pPr>
            <w:r w:rsidRPr="001D1F7D">
              <w:rPr>
                <w:sz w:val="16"/>
                <w:szCs w:val="16"/>
              </w:rPr>
              <w:t>Q2</w:t>
            </w:r>
          </w:p>
        </w:tc>
        <w:tc>
          <w:tcPr>
            <w:tcW w:w="446" w:type="dxa"/>
            <w:shd w:val="clear" w:color="auto" w:fill="B9DF8F" w:themeFill="accent6" w:themeFillTint="99"/>
          </w:tcPr>
          <w:p w14:paraId="59555B89" w14:textId="77777777" w:rsidR="003D13EB" w:rsidRPr="001D1F7D" w:rsidRDefault="003D13EB" w:rsidP="00FF3529">
            <w:pPr>
              <w:jc w:val="center"/>
              <w:rPr>
                <w:sz w:val="16"/>
                <w:szCs w:val="16"/>
              </w:rPr>
            </w:pPr>
            <w:r w:rsidRPr="001D1F7D">
              <w:rPr>
                <w:sz w:val="16"/>
                <w:szCs w:val="16"/>
              </w:rPr>
              <w:t>Q3</w:t>
            </w:r>
          </w:p>
        </w:tc>
        <w:tc>
          <w:tcPr>
            <w:tcW w:w="446" w:type="dxa"/>
            <w:shd w:val="clear" w:color="auto" w:fill="B9DF8F" w:themeFill="accent6" w:themeFillTint="99"/>
          </w:tcPr>
          <w:p w14:paraId="3AA589EF" w14:textId="77777777" w:rsidR="003D13EB" w:rsidRPr="001D1F7D" w:rsidRDefault="003D13EB" w:rsidP="00FF3529">
            <w:pPr>
              <w:jc w:val="center"/>
              <w:rPr>
                <w:sz w:val="16"/>
                <w:szCs w:val="16"/>
              </w:rPr>
            </w:pPr>
            <w:r w:rsidRPr="001D1F7D">
              <w:rPr>
                <w:sz w:val="16"/>
                <w:szCs w:val="16"/>
              </w:rPr>
              <w:t>Q4</w:t>
            </w:r>
          </w:p>
        </w:tc>
      </w:tr>
      <w:tr w:rsidR="00C21115" w:rsidRPr="001D1F7D" w14:paraId="58E31886" w14:textId="77777777" w:rsidTr="005970FA">
        <w:tc>
          <w:tcPr>
            <w:tcW w:w="1236" w:type="dxa"/>
            <w:shd w:val="clear" w:color="auto" w:fill="8CCA45" w:themeFill="accent6"/>
          </w:tcPr>
          <w:p w14:paraId="2F38F267" w14:textId="7A7E3D4C" w:rsidR="003D13EB" w:rsidRPr="001D1F7D" w:rsidRDefault="003D13EB">
            <w:pPr>
              <w:rPr>
                <w:sz w:val="16"/>
                <w:szCs w:val="16"/>
              </w:rPr>
            </w:pPr>
            <w:r w:rsidRPr="001D1F7D">
              <w:rPr>
                <w:sz w:val="16"/>
                <w:szCs w:val="16"/>
              </w:rPr>
              <w:t>Round 1 (formative)</w:t>
            </w:r>
          </w:p>
        </w:tc>
        <w:tc>
          <w:tcPr>
            <w:tcW w:w="447" w:type="dxa"/>
            <w:tcBorders>
              <w:bottom w:val="single" w:sz="4" w:space="0" w:color="auto"/>
            </w:tcBorders>
            <w:shd w:val="clear" w:color="auto" w:fill="8CCA45" w:themeFill="accent6"/>
          </w:tcPr>
          <w:p w14:paraId="528A85B1" w14:textId="5FB87D27" w:rsidR="003D13EB" w:rsidRPr="001D1F7D" w:rsidRDefault="003D13EB">
            <w:pPr>
              <w:rPr>
                <w:sz w:val="16"/>
                <w:szCs w:val="16"/>
              </w:rPr>
            </w:pPr>
          </w:p>
        </w:tc>
        <w:tc>
          <w:tcPr>
            <w:tcW w:w="447" w:type="dxa"/>
            <w:tcBorders>
              <w:bottom w:val="single" w:sz="4" w:space="0" w:color="auto"/>
            </w:tcBorders>
            <w:shd w:val="clear" w:color="auto" w:fill="8CCA45" w:themeFill="accent6"/>
          </w:tcPr>
          <w:p w14:paraId="2737CBE4" w14:textId="43A63023" w:rsidR="003D13EB" w:rsidRPr="001D1F7D" w:rsidRDefault="003D13EB">
            <w:pPr>
              <w:rPr>
                <w:sz w:val="16"/>
                <w:szCs w:val="16"/>
              </w:rPr>
            </w:pPr>
          </w:p>
        </w:tc>
        <w:tc>
          <w:tcPr>
            <w:tcW w:w="446" w:type="dxa"/>
            <w:tcBorders>
              <w:bottom w:val="single" w:sz="4" w:space="0" w:color="auto"/>
            </w:tcBorders>
            <w:shd w:val="clear" w:color="auto" w:fill="8CCA45" w:themeFill="accent6"/>
          </w:tcPr>
          <w:p w14:paraId="2295B595" w14:textId="599188ED" w:rsidR="003D13EB" w:rsidRPr="001D1F7D" w:rsidRDefault="003D13EB">
            <w:pPr>
              <w:rPr>
                <w:sz w:val="16"/>
                <w:szCs w:val="16"/>
              </w:rPr>
            </w:pPr>
          </w:p>
        </w:tc>
        <w:tc>
          <w:tcPr>
            <w:tcW w:w="446" w:type="dxa"/>
            <w:tcBorders>
              <w:bottom w:val="single" w:sz="4" w:space="0" w:color="auto"/>
            </w:tcBorders>
            <w:shd w:val="clear" w:color="auto" w:fill="8CCA45" w:themeFill="accent6"/>
          </w:tcPr>
          <w:p w14:paraId="6463E11B" w14:textId="3F3EE09D" w:rsidR="003D13EB" w:rsidRPr="001D1F7D" w:rsidRDefault="003D13EB">
            <w:pPr>
              <w:rPr>
                <w:sz w:val="16"/>
                <w:szCs w:val="16"/>
              </w:rPr>
            </w:pPr>
          </w:p>
        </w:tc>
        <w:tc>
          <w:tcPr>
            <w:tcW w:w="446" w:type="dxa"/>
            <w:tcBorders>
              <w:bottom w:val="single" w:sz="4" w:space="0" w:color="auto"/>
            </w:tcBorders>
            <w:shd w:val="clear" w:color="auto" w:fill="8CCA45" w:themeFill="accent6"/>
          </w:tcPr>
          <w:p w14:paraId="66BFA9B0" w14:textId="6A3BABD1" w:rsidR="003D13EB" w:rsidRPr="001D1F7D" w:rsidRDefault="003D13EB">
            <w:pPr>
              <w:rPr>
                <w:sz w:val="16"/>
                <w:szCs w:val="16"/>
              </w:rPr>
            </w:pPr>
          </w:p>
        </w:tc>
        <w:tc>
          <w:tcPr>
            <w:tcW w:w="446" w:type="dxa"/>
            <w:tcBorders>
              <w:bottom w:val="single" w:sz="4" w:space="0" w:color="auto"/>
            </w:tcBorders>
            <w:shd w:val="clear" w:color="auto" w:fill="8CCA45" w:themeFill="accent6"/>
          </w:tcPr>
          <w:p w14:paraId="61DDBFD1" w14:textId="0E3B6764" w:rsidR="003D13EB" w:rsidRPr="001D1F7D" w:rsidRDefault="003D13EB">
            <w:pPr>
              <w:rPr>
                <w:sz w:val="16"/>
                <w:szCs w:val="16"/>
              </w:rPr>
            </w:pPr>
          </w:p>
        </w:tc>
        <w:tc>
          <w:tcPr>
            <w:tcW w:w="446" w:type="dxa"/>
            <w:shd w:val="clear" w:color="auto" w:fill="8CCA45" w:themeFill="accent6"/>
          </w:tcPr>
          <w:p w14:paraId="1314B0EF" w14:textId="17FA217A" w:rsidR="003D13EB" w:rsidRPr="001D1F7D" w:rsidRDefault="003D13EB">
            <w:pPr>
              <w:rPr>
                <w:sz w:val="16"/>
                <w:szCs w:val="16"/>
              </w:rPr>
            </w:pPr>
          </w:p>
        </w:tc>
        <w:tc>
          <w:tcPr>
            <w:tcW w:w="446" w:type="dxa"/>
            <w:shd w:val="clear" w:color="auto" w:fill="8CCA45" w:themeFill="accent6"/>
          </w:tcPr>
          <w:p w14:paraId="1BD48BE8" w14:textId="71E2F6FF" w:rsidR="003D13EB" w:rsidRPr="001D1F7D" w:rsidRDefault="003D13EB">
            <w:pPr>
              <w:rPr>
                <w:sz w:val="16"/>
                <w:szCs w:val="16"/>
              </w:rPr>
            </w:pPr>
          </w:p>
        </w:tc>
        <w:tc>
          <w:tcPr>
            <w:tcW w:w="446" w:type="dxa"/>
            <w:shd w:val="clear" w:color="auto" w:fill="8CCA45" w:themeFill="accent6"/>
          </w:tcPr>
          <w:p w14:paraId="4407F6E8" w14:textId="2B2A7EE3" w:rsidR="003D13EB" w:rsidRPr="001D1F7D" w:rsidRDefault="003D13EB">
            <w:pPr>
              <w:rPr>
                <w:sz w:val="16"/>
                <w:szCs w:val="16"/>
              </w:rPr>
            </w:pPr>
          </w:p>
        </w:tc>
        <w:tc>
          <w:tcPr>
            <w:tcW w:w="446" w:type="dxa"/>
            <w:shd w:val="clear" w:color="auto" w:fill="8CCA45" w:themeFill="accent6"/>
          </w:tcPr>
          <w:p w14:paraId="009801E5" w14:textId="185293D3" w:rsidR="003D13EB" w:rsidRPr="001D1F7D" w:rsidRDefault="003D13EB">
            <w:pPr>
              <w:rPr>
                <w:sz w:val="16"/>
                <w:szCs w:val="16"/>
              </w:rPr>
            </w:pPr>
          </w:p>
        </w:tc>
        <w:tc>
          <w:tcPr>
            <w:tcW w:w="446" w:type="dxa"/>
            <w:shd w:val="clear" w:color="auto" w:fill="8CCA45" w:themeFill="accent6"/>
          </w:tcPr>
          <w:p w14:paraId="628D58F9" w14:textId="32FDB276" w:rsidR="003D13EB" w:rsidRPr="001D1F7D" w:rsidRDefault="003D13EB">
            <w:pPr>
              <w:rPr>
                <w:sz w:val="16"/>
                <w:szCs w:val="16"/>
              </w:rPr>
            </w:pPr>
          </w:p>
        </w:tc>
        <w:tc>
          <w:tcPr>
            <w:tcW w:w="446" w:type="dxa"/>
            <w:shd w:val="clear" w:color="auto" w:fill="8CCA45" w:themeFill="accent6"/>
          </w:tcPr>
          <w:p w14:paraId="639B3DCB" w14:textId="49B4242B" w:rsidR="003D13EB" w:rsidRPr="001D1F7D" w:rsidRDefault="003D13EB">
            <w:pPr>
              <w:rPr>
                <w:sz w:val="16"/>
                <w:szCs w:val="16"/>
              </w:rPr>
            </w:pPr>
          </w:p>
        </w:tc>
        <w:tc>
          <w:tcPr>
            <w:tcW w:w="446" w:type="dxa"/>
            <w:shd w:val="clear" w:color="auto" w:fill="8CCA45" w:themeFill="accent6"/>
          </w:tcPr>
          <w:p w14:paraId="559E8B48" w14:textId="1EDC7484" w:rsidR="003D13EB" w:rsidRPr="001D1F7D" w:rsidRDefault="003D13EB">
            <w:pPr>
              <w:rPr>
                <w:sz w:val="16"/>
                <w:szCs w:val="16"/>
              </w:rPr>
            </w:pPr>
          </w:p>
        </w:tc>
        <w:tc>
          <w:tcPr>
            <w:tcW w:w="892" w:type="dxa"/>
            <w:gridSpan w:val="2"/>
            <w:shd w:val="clear" w:color="auto" w:fill="8CCA45" w:themeFill="accent6"/>
          </w:tcPr>
          <w:p w14:paraId="3E5230A2" w14:textId="0A6EBF34" w:rsidR="003D13EB" w:rsidRPr="001D1F7D" w:rsidRDefault="003D13EB">
            <w:pPr>
              <w:rPr>
                <w:sz w:val="16"/>
                <w:szCs w:val="16"/>
              </w:rPr>
            </w:pPr>
          </w:p>
        </w:tc>
        <w:tc>
          <w:tcPr>
            <w:tcW w:w="446" w:type="dxa"/>
            <w:shd w:val="clear" w:color="auto" w:fill="8CCA45" w:themeFill="accent6"/>
          </w:tcPr>
          <w:p w14:paraId="72208AC5" w14:textId="55A9D9CC" w:rsidR="003D13EB" w:rsidRPr="001D1F7D" w:rsidRDefault="003D13EB">
            <w:pPr>
              <w:rPr>
                <w:sz w:val="16"/>
                <w:szCs w:val="16"/>
              </w:rPr>
            </w:pPr>
          </w:p>
        </w:tc>
        <w:tc>
          <w:tcPr>
            <w:tcW w:w="446" w:type="dxa"/>
            <w:shd w:val="clear" w:color="auto" w:fill="8CCA45" w:themeFill="accent6"/>
          </w:tcPr>
          <w:p w14:paraId="65789230" w14:textId="701551E1" w:rsidR="003D13EB" w:rsidRPr="001D1F7D" w:rsidRDefault="003D13EB">
            <w:pPr>
              <w:rPr>
                <w:sz w:val="16"/>
                <w:szCs w:val="16"/>
              </w:rPr>
            </w:pPr>
          </w:p>
        </w:tc>
        <w:tc>
          <w:tcPr>
            <w:tcW w:w="446" w:type="dxa"/>
            <w:shd w:val="clear" w:color="auto" w:fill="8CCA45" w:themeFill="accent6"/>
          </w:tcPr>
          <w:p w14:paraId="5D8D278F" w14:textId="7CF31EB8" w:rsidR="003D13EB" w:rsidRPr="001D1F7D" w:rsidRDefault="003D13EB">
            <w:pPr>
              <w:rPr>
                <w:sz w:val="16"/>
                <w:szCs w:val="16"/>
              </w:rPr>
            </w:pPr>
          </w:p>
        </w:tc>
        <w:tc>
          <w:tcPr>
            <w:tcW w:w="446" w:type="dxa"/>
            <w:shd w:val="clear" w:color="auto" w:fill="8CCA45" w:themeFill="accent6"/>
          </w:tcPr>
          <w:p w14:paraId="0B3376EA" w14:textId="15EE6DF6" w:rsidR="003D13EB" w:rsidRPr="001D1F7D" w:rsidRDefault="003D13EB">
            <w:pPr>
              <w:rPr>
                <w:sz w:val="16"/>
                <w:szCs w:val="16"/>
              </w:rPr>
            </w:pPr>
          </w:p>
        </w:tc>
        <w:tc>
          <w:tcPr>
            <w:tcW w:w="446" w:type="dxa"/>
            <w:shd w:val="clear" w:color="auto" w:fill="8CCA45" w:themeFill="accent6"/>
          </w:tcPr>
          <w:p w14:paraId="506599F1" w14:textId="76FD263E" w:rsidR="003D13EB" w:rsidRPr="001D1F7D" w:rsidRDefault="003D13EB">
            <w:pPr>
              <w:rPr>
                <w:sz w:val="16"/>
                <w:szCs w:val="16"/>
              </w:rPr>
            </w:pPr>
          </w:p>
        </w:tc>
        <w:tc>
          <w:tcPr>
            <w:tcW w:w="446" w:type="dxa"/>
            <w:shd w:val="clear" w:color="auto" w:fill="8CCA45" w:themeFill="accent6"/>
          </w:tcPr>
          <w:p w14:paraId="64CF8F76" w14:textId="68B11B59" w:rsidR="003D13EB" w:rsidRPr="001D1F7D" w:rsidRDefault="003D13EB">
            <w:pPr>
              <w:rPr>
                <w:sz w:val="16"/>
                <w:szCs w:val="16"/>
              </w:rPr>
            </w:pPr>
          </w:p>
        </w:tc>
        <w:tc>
          <w:tcPr>
            <w:tcW w:w="446" w:type="dxa"/>
            <w:shd w:val="clear" w:color="auto" w:fill="8CCA45" w:themeFill="accent6"/>
          </w:tcPr>
          <w:p w14:paraId="09BF84B4" w14:textId="6D7304DD" w:rsidR="003D13EB" w:rsidRPr="001D1F7D" w:rsidRDefault="003D13EB">
            <w:pPr>
              <w:rPr>
                <w:sz w:val="16"/>
                <w:szCs w:val="16"/>
              </w:rPr>
            </w:pPr>
          </w:p>
        </w:tc>
      </w:tr>
      <w:tr w:rsidR="000D4458" w:rsidRPr="001D1F7D" w14:paraId="014E3A30" w14:textId="77777777" w:rsidTr="005970FA">
        <w:tc>
          <w:tcPr>
            <w:tcW w:w="1236" w:type="dxa"/>
          </w:tcPr>
          <w:p w14:paraId="1D84A678" w14:textId="1623B14A" w:rsidR="003D13EB" w:rsidRPr="001D1F7D" w:rsidRDefault="003D13EB">
            <w:pPr>
              <w:rPr>
                <w:sz w:val="16"/>
                <w:szCs w:val="16"/>
              </w:rPr>
            </w:pPr>
            <w:r w:rsidRPr="001D1F7D">
              <w:rPr>
                <w:sz w:val="16"/>
                <w:szCs w:val="16"/>
              </w:rPr>
              <w:t xml:space="preserve">Country visits </w:t>
            </w:r>
          </w:p>
        </w:tc>
        <w:tc>
          <w:tcPr>
            <w:tcW w:w="447" w:type="dxa"/>
            <w:shd w:val="thinReverseDiagStripe" w:color="auto" w:fill="8CCA45" w:themeFill="accent6"/>
            <w:vAlign w:val="center"/>
          </w:tcPr>
          <w:p w14:paraId="66CC3F74" w14:textId="77777777" w:rsidR="003D13EB" w:rsidRPr="001D1F7D" w:rsidRDefault="003D13EB">
            <w:pPr>
              <w:jc w:val="center"/>
              <w:rPr>
                <w:sz w:val="16"/>
                <w:szCs w:val="16"/>
              </w:rPr>
            </w:pPr>
            <w:r w:rsidRPr="001D1F7D">
              <w:rPr>
                <w:sz w:val="16"/>
                <w:szCs w:val="16"/>
              </w:rPr>
              <w:t>1</w:t>
            </w:r>
          </w:p>
        </w:tc>
        <w:tc>
          <w:tcPr>
            <w:tcW w:w="447" w:type="dxa"/>
            <w:shd w:val="thinReverseDiagStripe" w:color="auto" w:fill="8CCA45" w:themeFill="accent6"/>
            <w:vAlign w:val="center"/>
          </w:tcPr>
          <w:p w14:paraId="44AB3D1A" w14:textId="77777777" w:rsidR="003D13EB" w:rsidRPr="001D1F7D" w:rsidRDefault="003D13EB">
            <w:pPr>
              <w:jc w:val="center"/>
              <w:rPr>
                <w:sz w:val="16"/>
                <w:szCs w:val="16"/>
              </w:rPr>
            </w:pPr>
            <w:r w:rsidRPr="001D1F7D">
              <w:rPr>
                <w:sz w:val="16"/>
                <w:szCs w:val="16"/>
              </w:rPr>
              <w:t>1</w:t>
            </w:r>
          </w:p>
        </w:tc>
        <w:tc>
          <w:tcPr>
            <w:tcW w:w="446" w:type="dxa"/>
            <w:shd w:val="thinReverseDiagStripe" w:color="auto" w:fill="8CCA45" w:themeFill="accent6"/>
          </w:tcPr>
          <w:p w14:paraId="7853E0DD" w14:textId="77777777" w:rsidR="003D13EB" w:rsidRPr="001D1F7D" w:rsidRDefault="003D13EB">
            <w:pPr>
              <w:jc w:val="center"/>
              <w:rPr>
                <w:sz w:val="16"/>
                <w:szCs w:val="16"/>
              </w:rPr>
            </w:pPr>
            <w:r w:rsidRPr="001D1F7D">
              <w:rPr>
                <w:sz w:val="16"/>
                <w:szCs w:val="16"/>
              </w:rPr>
              <w:t>1</w:t>
            </w:r>
          </w:p>
        </w:tc>
        <w:tc>
          <w:tcPr>
            <w:tcW w:w="446" w:type="dxa"/>
            <w:shd w:val="thinReverseDiagStripe" w:color="auto" w:fill="8CCA45" w:themeFill="accent6"/>
            <w:vAlign w:val="center"/>
          </w:tcPr>
          <w:p w14:paraId="44E676FF" w14:textId="77777777" w:rsidR="003D13EB" w:rsidRPr="001D1F7D" w:rsidRDefault="003D13EB">
            <w:pPr>
              <w:jc w:val="center"/>
              <w:rPr>
                <w:sz w:val="16"/>
                <w:szCs w:val="16"/>
              </w:rPr>
            </w:pPr>
            <w:r w:rsidRPr="001D1F7D">
              <w:rPr>
                <w:sz w:val="16"/>
                <w:szCs w:val="16"/>
              </w:rPr>
              <w:t>1</w:t>
            </w:r>
          </w:p>
        </w:tc>
        <w:tc>
          <w:tcPr>
            <w:tcW w:w="446" w:type="dxa"/>
            <w:shd w:val="thinReverseDiagStripe" w:color="auto" w:fill="92D050"/>
          </w:tcPr>
          <w:p w14:paraId="586FE017" w14:textId="77777777" w:rsidR="003D13EB" w:rsidRPr="001D1F7D" w:rsidRDefault="003D13EB" w:rsidP="0063641B">
            <w:pPr>
              <w:jc w:val="center"/>
              <w:rPr>
                <w:sz w:val="16"/>
                <w:szCs w:val="16"/>
              </w:rPr>
            </w:pPr>
            <w:r w:rsidRPr="001D1F7D">
              <w:rPr>
                <w:sz w:val="16"/>
                <w:szCs w:val="16"/>
              </w:rPr>
              <w:t>1</w:t>
            </w:r>
          </w:p>
        </w:tc>
        <w:tc>
          <w:tcPr>
            <w:tcW w:w="446" w:type="dxa"/>
            <w:shd w:val="thinReverseDiagStripe" w:color="auto" w:fill="92D050"/>
          </w:tcPr>
          <w:p w14:paraId="56F4A8D2" w14:textId="0E0C13FE" w:rsidR="003D13EB" w:rsidRPr="001D1F7D" w:rsidRDefault="003D13EB" w:rsidP="0063641B">
            <w:pPr>
              <w:jc w:val="center"/>
              <w:rPr>
                <w:sz w:val="16"/>
                <w:szCs w:val="16"/>
              </w:rPr>
            </w:pPr>
            <w:r w:rsidRPr="001D1F7D">
              <w:rPr>
                <w:sz w:val="16"/>
                <w:szCs w:val="16"/>
              </w:rPr>
              <w:t>1</w:t>
            </w:r>
          </w:p>
        </w:tc>
        <w:tc>
          <w:tcPr>
            <w:tcW w:w="446" w:type="dxa"/>
          </w:tcPr>
          <w:p w14:paraId="02FD71A9" w14:textId="77777777" w:rsidR="003D13EB" w:rsidRPr="001D1F7D" w:rsidRDefault="003D13EB">
            <w:pPr>
              <w:rPr>
                <w:sz w:val="16"/>
                <w:szCs w:val="16"/>
              </w:rPr>
            </w:pPr>
          </w:p>
        </w:tc>
        <w:tc>
          <w:tcPr>
            <w:tcW w:w="446" w:type="dxa"/>
          </w:tcPr>
          <w:p w14:paraId="4FFE0D0D" w14:textId="77777777" w:rsidR="003D13EB" w:rsidRPr="001D1F7D" w:rsidRDefault="003D13EB">
            <w:pPr>
              <w:rPr>
                <w:sz w:val="16"/>
                <w:szCs w:val="16"/>
              </w:rPr>
            </w:pPr>
          </w:p>
        </w:tc>
        <w:tc>
          <w:tcPr>
            <w:tcW w:w="446" w:type="dxa"/>
          </w:tcPr>
          <w:p w14:paraId="60478F74" w14:textId="77777777" w:rsidR="003D13EB" w:rsidRPr="001D1F7D" w:rsidRDefault="003D13EB">
            <w:pPr>
              <w:rPr>
                <w:sz w:val="16"/>
                <w:szCs w:val="16"/>
              </w:rPr>
            </w:pPr>
          </w:p>
        </w:tc>
        <w:tc>
          <w:tcPr>
            <w:tcW w:w="446" w:type="dxa"/>
          </w:tcPr>
          <w:p w14:paraId="34573CEB" w14:textId="77777777" w:rsidR="003D13EB" w:rsidRPr="001D1F7D" w:rsidRDefault="003D13EB">
            <w:pPr>
              <w:rPr>
                <w:sz w:val="16"/>
                <w:szCs w:val="16"/>
              </w:rPr>
            </w:pPr>
          </w:p>
        </w:tc>
        <w:tc>
          <w:tcPr>
            <w:tcW w:w="446" w:type="dxa"/>
          </w:tcPr>
          <w:p w14:paraId="11C8CCCE" w14:textId="77777777" w:rsidR="003D13EB" w:rsidRPr="001D1F7D" w:rsidRDefault="003D13EB">
            <w:pPr>
              <w:rPr>
                <w:sz w:val="16"/>
                <w:szCs w:val="16"/>
              </w:rPr>
            </w:pPr>
          </w:p>
        </w:tc>
        <w:tc>
          <w:tcPr>
            <w:tcW w:w="446" w:type="dxa"/>
          </w:tcPr>
          <w:p w14:paraId="5F65AE9C" w14:textId="77777777" w:rsidR="003D13EB" w:rsidRPr="001D1F7D" w:rsidRDefault="003D13EB">
            <w:pPr>
              <w:rPr>
                <w:sz w:val="16"/>
                <w:szCs w:val="16"/>
              </w:rPr>
            </w:pPr>
          </w:p>
        </w:tc>
        <w:tc>
          <w:tcPr>
            <w:tcW w:w="446" w:type="dxa"/>
          </w:tcPr>
          <w:p w14:paraId="5AE88437" w14:textId="77777777" w:rsidR="003D13EB" w:rsidRPr="001D1F7D" w:rsidRDefault="003D13EB">
            <w:pPr>
              <w:rPr>
                <w:sz w:val="16"/>
                <w:szCs w:val="16"/>
              </w:rPr>
            </w:pPr>
          </w:p>
        </w:tc>
        <w:tc>
          <w:tcPr>
            <w:tcW w:w="446" w:type="dxa"/>
          </w:tcPr>
          <w:p w14:paraId="25252140" w14:textId="77777777" w:rsidR="003D13EB" w:rsidRPr="001D1F7D" w:rsidRDefault="003D13EB">
            <w:pPr>
              <w:rPr>
                <w:sz w:val="16"/>
                <w:szCs w:val="16"/>
              </w:rPr>
            </w:pPr>
          </w:p>
        </w:tc>
        <w:tc>
          <w:tcPr>
            <w:tcW w:w="446" w:type="dxa"/>
          </w:tcPr>
          <w:p w14:paraId="1C7963FA" w14:textId="77777777" w:rsidR="003D13EB" w:rsidRPr="001D1F7D" w:rsidRDefault="003D13EB">
            <w:pPr>
              <w:rPr>
                <w:sz w:val="16"/>
                <w:szCs w:val="16"/>
              </w:rPr>
            </w:pPr>
          </w:p>
        </w:tc>
        <w:tc>
          <w:tcPr>
            <w:tcW w:w="446" w:type="dxa"/>
          </w:tcPr>
          <w:p w14:paraId="77FD2B7C" w14:textId="77777777" w:rsidR="003D13EB" w:rsidRPr="001D1F7D" w:rsidRDefault="003D13EB">
            <w:pPr>
              <w:rPr>
                <w:sz w:val="16"/>
                <w:szCs w:val="16"/>
              </w:rPr>
            </w:pPr>
          </w:p>
        </w:tc>
        <w:tc>
          <w:tcPr>
            <w:tcW w:w="446" w:type="dxa"/>
          </w:tcPr>
          <w:p w14:paraId="467A20B1" w14:textId="77777777" w:rsidR="003D13EB" w:rsidRPr="001D1F7D" w:rsidRDefault="003D13EB">
            <w:pPr>
              <w:rPr>
                <w:sz w:val="16"/>
                <w:szCs w:val="16"/>
              </w:rPr>
            </w:pPr>
          </w:p>
        </w:tc>
        <w:tc>
          <w:tcPr>
            <w:tcW w:w="446" w:type="dxa"/>
          </w:tcPr>
          <w:p w14:paraId="56450EAD" w14:textId="77777777" w:rsidR="003D13EB" w:rsidRPr="001D1F7D" w:rsidRDefault="003D13EB">
            <w:pPr>
              <w:rPr>
                <w:sz w:val="16"/>
                <w:szCs w:val="16"/>
              </w:rPr>
            </w:pPr>
          </w:p>
        </w:tc>
        <w:tc>
          <w:tcPr>
            <w:tcW w:w="446" w:type="dxa"/>
          </w:tcPr>
          <w:p w14:paraId="3250DDA9" w14:textId="77777777" w:rsidR="003D13EB" w:rsidRPr="001D1F7D" w:rsidRDefault="003D13EB">
            <w:pPr>
              <w:rPr>
                <w:sz w:val="16"/>
                <w:szCs w:val="16"/>
              </w:rPr>
            </w:pPr>
          </w:p>
        </w:tc>
        <w:tc>
          <w:tcPr>
            <w:tcW w:w="446" w:type="dxa"/>
          </w:tcPr>
          <w:p w14:paraId="63547BED" w14:textId="77777777" w:rsidR="003D13EB" w:rsidRPr="001D1F7D" w:rsidRDefault="003D13EB">
            <w:pPr>
              <w:rPr>
                <w:sz w:val="16"/>
                <w:szCs w:val="16"/>
              </w:rPr>
            </w:pPr>
          </w:p>
        </w:tc>
        <w:tc>
          <w:tcPr>
            <w:tcW w:w="446" w:type="dxa"/>
          </w:tcPr>
          <w:p w14:paraId="3B2323A4" w14:textId="77777777" w:rsidR="003D13EB" w:rsidRPr="001D1F7D" w:rsidRDefault="003D13EB">
            <w:pPr>
              <w:rPr>
                <w:sz w:val="16"/>
                <w:szCs w:val="16"/>
              </w:rPr>
            </w:pPr>
          </w:p>
        </w:tc>
        <w:tc>
          <w:tcPr>
            <w:tcW w:w="446" w:type="dxa"/>
          </w:tcPr>
          <w:p w14:paraId="4E1B1DAC" w14:textId="77777777" w:rsidR="003D13EB" w:rsidRPr="001D1F7D" w:rsidRDefault="003D13EB">
            <w:pPr>
              <w:rPr>
                <w:sz w:val="16"/>
                <w:szCs w:val="16"/>
              </w:rPr>
            </w:pPr>
          </w:p>
        </w:tc>
      </w:tr>
      <w:tr w:rsidR="003D13EB" w:rsidRPr="001D1F7D" w14:paraId="60958B39" w14:textId="77777777" w:rsidTr="005970FA">
        <w:tc>
          <w:tcPr>
            <w:tcW w:w="1236" w:type="dxa"/>
          </w:tcPr>
          <w:p w14:paraId="311AE9BA" w14:textId="77777777" w:rsidR="003D13EB" w:rsidRPr="001D1F7D" w:rsidRDefault="003D13EB">
            <w:pPr>
              <w:rPr>
                <w:sz w:val="16"/>
                <w:szCs w:val="16"/>
              </w:rPr>
            </w:pPr>
            <w:r w:rsidRPr="001D1F7D">
              <w:rPr>
                <w:sz w:val="16"/>
                <w:szCs w:val="16"/>
              </w:rPr>
              <w:t>Analysis &amp; reporting</w:t>
            </w:r>
          </w:p>
        </w:tc>
        <w:tc>
          <w:tcPr>
            <w:tcW w:w="447" w:type="dxa"/>
            <w:shd w:val="clear" w:color="auto" w:fill="auto"/>
          </w:tcPr>
          <w:p w14:paraId="14BAF699" w14:textId="77777777" w:rsidR="003D13EB" w:rsidRPr="001D1F7D" w:rsidRDefault="003D13EB">
            <w:pPr>
              <w:rPr>
                <w:sz w:val="16"/>
                <w:szCs w:val="16"/>
              </w:rPr>
            </w:pPr>
          </w:p>
        </w:tc>
        <w:tc>
          <w:tcPr>
            <w:tcW w:w="447" w:type="dxa"/>
            <w:shd w:val="clear" w:color="auto" w:fill="8CCA45" w:themeFill="accent6"/>
          </w:tcPr>
          <w:p w14:paraId="63930713" w14:textId="77777777" w:rsidR="003D13EB" w:rsidRPr="001D1F7D" w:rsidRDefault="003D13EB">
            <w:pPr>
              <w:rPr>
                <w:sz w:val="16"/>
                <w:szCs w:val="16"/>
              </w:rPr>
            </w:pPr>
          </w:p>
        </w:tc>
        <w:tc>
          <w:tcPr>
            <w:tcW w:w="446" w:type="dxa"/>
          </w:tcPr>
          <w:p w14:paraId="1A834649" w14:textId="77777777" w:rsidR="003D13EB" w:rsidRPr="001D1F7D" w:rsidRDefault="003D13EB">
            <w:pPr>
              <w:rPr>
                <w:sz w:val="16"/>
                <w:szCs w:val="16"/>
              </w:rPr>
            </w:pPr>
          </w:p>
        </w:tc>
        <w:tc>
          <w:tcPr>
            <w:tcW w:w="446" w:type="dxa"/>
          </w:tcPr>
          <w:p w14:paraId="392C24F4" w14:textId="77777777" w:rsidR="003D13EB" w:rsidRPr="001D1F7D" w:rsidRDefault="003D13EB">
            <w:pPr>
              <w:rPr>
                <w:sz w:val="16"/>
                <w:szCs w:val="16"/>
              </w:rPr>
            </w:pPr>
          </w:p>
        </w:tc>
        <w:tc>
          <w:tcPr>
            <w:tcW w:w="446" w:type="dxa"/>
          </w:tcPr>
          <w:p w14:paraId="6D927496" w14:textId="77777777" w:rsidR="003D13EB" w:rsidRPr="001D1F7D" w:rsidRDefault="003D13EB">
            <w:pPr>
              <w:rPr>
                <w:sz w:val="16"/>
                <w:szCs w:val="16"/>
              </w:rPr>
            </w:pPr>
          </w:p>
        </w:tc>
        <w:tc>
          <w:tcPr>
            <w:tcW w:w="446" w:type="dxa"/>
            <w:shd w:val="clear" w:color="auto" w:fill="auto"/>
          </w:tcPr>
          <w:p w14:paraId="268F976E" w14:textId="77777777" w:rsidR="003D13EB" w:rsidRPr="001D1F7D" w:rsidRDefault="003D13EB">
            <w:pPr>
              <w:rPr>
                <w:sz w:val="16"/>
                <w:szCs w:val="16"/>
              </w:rPr>
            </w:pPr>
          </w:p>
        </w:tc>
        <w:tc>
          <w:tcPr>
            <w:tcW w:w="446" w:type="dxa"/>
          </w:tcPr>
          <w:p w14:paraId="6DB110E1" w14:textId="77777777" w:rsidR="003D13EB" w:rsidRPr="001D1F7D" w:rsidRDefault="003D13EB">
            <w:pPr>
              <w:rPr>
                <w:sz w:val="16"/>
                <w:szCs w:val="16"/>
              </w:rPr>
            </w:pPr>
          </w:p>
        </w:tc>
        <w:tc>
          <w:tcPr>
            <w:tcW w:w="446" w:type="dxa"/>
          </w:tcPr>
          <w:p w14:paraId="3CE1713D" w14:textId="77777777" w:rsidR="003D13EB" w:rsidRPr="001D1F7D" w:rsidRDefault="003D13EB">
            <w:pPr>
              <w:rPr>
                <w:sz w:val="16"/>
                <w:szCs w:val="16"/>
              </w:rPr>
            </w:pPr>
          </w:p>
        </w:tc>
        <w:tc>
          <w:tcPr>
            <w:tcW w:w="446" w:type="dxa"/>
          </w:tcPr>
          <w:p w14:paraId="2FC20169" w14:textId="77777777" w:rsidR="003D13EB" w:rsidRPr="001D1F7D" w:rsidRDefault="003D13EB">
            <w:pPr>
              <w:rPr>
                <w:sz w:val="16"/>
                <w:szCs w:val="16"/>
              </w:rPr>
            </w:pPr>
          </w:p>
        </w:tc>
        <w:tc>
          <w:tcPr>
            <w:tcW w:w="446" w:type="dxa"/>
          </w:tcPr>
          <w:p w14:paraId="40BCE13A" w14:textId="77777777" w:rsidR="003D13EB" w:rsidRPr="001D1F7D" w:rsidRDefault="003D13EB">
            <w:pPr>
              <w:rPr>
                <w:sz w:val="16"/>
                <w:szCs w:val="16"/>
              </w:rPr>
            </w:pPr>
          </w:p>
        </w:tc>
        <w:tc>
          <w:tcPr>
            <w:tcW w:w="446" w:type="dxa"/>
          </w:tcPr>
          <w:p w14:paraId="29193DDF" w14:textId="77777777" w:rsidR="003D13EB" w:rsidRPr="001D1F7D" w:rsidRDefault="003D13EB">
            <w:pPr>
              <w:rPr>
                <w:sz w:val="16"/>
                <w:szCs w:val="16"/>
              </w:rPr>
            </w:pPr>
          </w:p>
        </w:tc>
        <w:tc>
          <w:tcPr>
            <w:tcW w:w="446" w:type="dxa"/>
          </w:tcPr>
          <w:p w14:paraId="486758A5" w14:textId="77777777" w:rsidR="003D13EB" w:rsidRPr="001D1F7D" w:rsidRDefault="003D13EB">
            <w:pPr>
              <w:rPr>
                <w:sz w:val="16"/>
                <w:szCs w:val="16"/>
              </w:rPr>
            </w:pPr>
          </w:p>
        </w:tc>
        <w:tc>
          <w:tcPr>
            <w:tcW w:w="446" w:type="dxa"/>
          </w:tcPr>
          <w:p w14:paraId="3FC09A77" w14:textId="77777777" w:rsidR="003D13EB" w:rsidRPr="001D1F7D" w:rsidRDefault="003D13EB">
            <w:pPr>
              <w:rPr>
                <w:sz w:val="16"/>
                <w:szCs w:val="16"/>
              </w:rPr>
            </w:pPr>
          </w:p>
        </w:tc>
        <w:tc>
          <w:tcPr>
            <w:tcW w:w="446" w:type="dxa"/>
          </w:tcPr>
          <w:p w14:paraId="5AF2AFFB" w14:textId="77777777" w:rsidR="003D13EB" w:rsidRPr="001D1F7D" w:rsidRDefault="003D13EB">
            <w:pPr>
              <w:rPr>
                <w:sz w:val="16"/>
                <w:szCs w:val="16"/>
              </w:rPr>
            </w:pPr>
          </w:p>
        </w:tc>
        <w:tc>
          <w:tcPr>
            <w:tcW w:w="446" w:type="dxa"/>
          </w:tcPr>
          <w:p w14:paraId="2B56077A" w14:textId="77777777" w:rsidR="003D13EB" w:rsidRPr="001D1F7D" w:rsidRDefault="003D13EB">
            <w:pPr>
              <w:rPr>
                <w:sz w:val="16"/>
                <w:szCs w:val="16"/>
              </w:rPr>
            </w:pPr>
          </w:p>
        </w:tc>
        <w:tc>
          <w:tcPr>
            <w:tcW w:w="446" w:type="dxa"/>
          </w:tcPr>
          <w:p w14:paraId="1E699E40" w14:textId="77777777" w:rsidR="003D13EB" w:rsidRPr="001D1F7D" w:rsidRDefault="003D13EB">
            <w:pPr>
              <w:rPr>
                <w:sz w:val="16"/>
                <w:szCs w:val="16"/>
              </w:rPr>
            </w:pPr>
          </w:p>
        </w:tc>
        <w:tc>
          <w:tcPr>
            <w:tcW w:w="446" w:type="dxa"/>
          </w:tcPr>
          <w:p w14:paraId="54E8C94D" w14:textId="77777777" w:rsidR="003D13EB" w:rsidRPr="001D1F7D" w:rsidRDefault="003D13EB">
            <w:pPr>
              <w:rPr>
                <w:sz w:val="16"/>
                <w:szCs w:val="16"/>
              </w:rPr>
            </w:pPr>
          </w:p>
        </w:tc>
        <w:tc>
          <w:tcPr>
            <w:tcW w:w="446" w:type="dxa"/>
          </w:tcPr>
          <w:p w14:paraId="017F76D4" w14:textId="77777777" w:rsidR="003D13EB" w:rsidRPr="001D1F7D" w:rsidRDefault="003D13EB">
            <w:pPr>
              <w:rPr>
                <w:sz w:val="16"/>
                <w:szCs w:val="16"/>
              </w:rPr>
            </w:pPr>
          </w:p>
        </w:tc>
        <w:tc>
          <w:tcPr>
            <w:tcW w:w="446" w:type="dxa"/>
          </w:tcPr>
          <w:p w14:paraId="11FE4D0E" w14:textId="77777777" w:rsidR="003D13EB" w:rsidRPr="001D1F7D" w:rsidRDefault="003D13EB">
            <w:pPr>
              <w:rPr>
                <w:sz w:val="16"/>
                <w:szCs w:val="16"/>
              </w:rPr>
            </w:pPr>
          </w:p>
        </w:tc>
        <w:tc>
          <w:tcPr>
            <w:tcW w:w="446" w:type="dxa"/>
          </w:tcPr>
          <w:p w14:paraId="63DEC1BD" w14:textId="77777777" w:rsidR="003D13EB" w:rsidRPr="001D1F7D" w:rsidRDefault="003D13EB">
            <w:pPr>
              <w:rPr>
                <w:sz w:val="16"/>
                <w:szCs w:val="16"/>
              </w:rPr>
            </w:pPr>
          </w:p>
        </w:tc>
        <w:tc>
          <w:tcPr>
            <w:tcW w:w="446" w:type="dxa"/>
          </w:tcPr>
          <w:p w14:paraId="73BB6914" w14:textId="77777777" w:rsidR="003D13EB" w:rsidRPr="001D1F7D" w:rsidRDefault="003D13EB">
            <w:pPr>
              <w:rPr>
                <w:sz w:val="16"/>
                <w:szCs w:val="16"/>
              </w:rPr>
            </w:pPr>
          </w:p>
        </w:tc>
        <w:tc>
          <w:tcPr>
            <w:tcW w:w="446" w:type="dxa"/>
          </w:tcPr>
          <w:p w14:paraId="77BB1EB2" w14:textId="77777777" w:rsidR="003D13EB" w:rsidRPr="001D1F7D" w:rsidRDefault="003D13EB">
            <w:pPr>
              <w:rPr>
                <w:sz w:val="16"/>
                <w:szCs w:val="16"/>
              </w:rPr>
            </w:pPr>
          </w:p>
        </w:tc>
      </w:tr>
      <w:tr w:rsidR="003D13EB" w:rsidRPr="001D1F7D" w14:paraId="6DAD8983" w14:textId="77777777" w:rsidTr="005970FA">
        <w:tc>
          <w:tcPr>
            <w:tcW w:w="1236" w:type="dxa"/>
          </w:tcPr>
          <w:p w14:paraId="640AED96" w14:textId="206D1880" w:rsidR="003D13EB" w:rsidRPr="001D1F7D" w:rsidRDefault="003D13EB">
            <w:pPr>
              <w:rPr>
                <w:sz w:val="16"/>
                <w:szCs w:val="16"/>
              </w:rPr>
            </w:pPr>
            <w:r w:rsidRPr="001D1F7D">
              <w:rPr>
                <w:sz w:val="16"/>
                <w:szCs w:val="16"/>
              </w:rPr>
              <w:t xml:space="preserve">Deliverable 1 submission </w:t>
            </w:r>
          </w:p>
        </w:tc>
        <w:tc>
          <w:tcPr>
            <w:tcW w:w="447" w:type="dxa"/>
            <w:shd w:val="clear" w:color="auto" w:fill="auto"/>
          </w:tcPr>
          <w:p w14:paraId="227F0882" w14:textId="77777777" w:rsidR="003D13EB" w:rsidRPr="001D1F7D" w:rsidRDefault="003D13EB">
            <w:pPr>
              <w:rPr>
                <w:sz w:val="16"/>
                <w:szCs w:val="16"/>
              </w:rPr>
            </w:pPr>
          </w:p>
        </w:tc>
        <w:tc>
          <w:tcPr>
            <w:tcW w:w="447" w:type="dxa"/>
            <w:shd w:val="clear" w:color="auto" w:fill="auto"/>
          </w:tcPr>
          <w:p w14:paraId="7E762370" w14:textId="77777777" w:rsidR="003D13EB" w:rsidRPr="001D1F7D" w:rsidRDefault="003D13EB">
            <w:pPr>
              <w:rPr>
                <w:sz w:val="16"/>
                <w:szCs w:val="16"/>
              </w:rPr>
            </w:pPr>
          </w:p>
        </w:tc>
        <w:tc>
          <w:tcPr>
            <w:tcW w:w="446" w:type="dxa"/>
            <w:shd w:val="clear" w:color="auto" w:fill="8CCA45" w:themeFill="accent6"/>
          </w:tcPr>
          <w:p w14:paraId="153A7314" w14:textId="77777777" w:rsidR="003D13EB" w:rsidRPr="001D1F7D" w:rsidRDefault="003D13EB">
            <w:pPr>
              <w:rPr>
                <w:sz w:val="16"/>
                <w:szCs w:val="16"/>
              </w:rPr>
            </w:pPr>
          </w:p>
        </w:tc>
        <w:tc>
          <w:tcPr>
            <w:tcW w:w="446" w:type="dxa"/>
          </w:tcPr>
          <w:p w14:paraId="7E5D959C" w14:textId="77777777" w:rsidR="003D13EB" w:rsidRPr="001D1F7D" w:rsidRDefault="003D13EB">
            <w:pPr>
              <w:rPr>
                <w:sz w:val="16"/>
                <w:szCs w:val="16"/>
              </w:rPr>
            </w:pPr>
          </w:p>
        </w:tc>
        <w:tc>
          <w:tcPr>
            <w:tcW w:w="446" w:type="dxa"/>
          </w:tcPr>
          <w:p w14:paraId="67418F95" w14:textId="77777777" w:rsidR="003D13EB" w:rsidRPr="001D1F7D" w:rsidRDefault="003D13EB">
            <w:pPr>
              <w:rPr>
                <w:sz w:val="16"/>
                <w:szCs w:val="16"/>
              </w:rPr>
            </w:pPr>
          </w:p>
        </w:tc>
        <w:tc>
          <w:tcPr>
            <w:tcW w:w="446" w:type="dxa"/>
            <w:shd w:val="clear" w:color="auto" w:fill="auto"/>
          </w:tcPr>
          <w:p w14:paraId="592E4861" w14:textId="77777777" w:rsidR="003D13EB" w:rsidRPr="001D1F7D" w:rsidRDefault="003D13EB">
            <w:pPr>
              <w:rPr>
                <w:sz w:val="16"/>
                <w:szCs w:val="16"/>
              </w:rPr>
            </w:pPr>
          </w:p>
        </w:tc>
        <w:tc>
          <w:tcPr>
            <w:tcW w:w="446" w:type="dxa"/>
            <w:shd w:val="clear" w:color="auto" w:fill="auto"/>
          </w:tcPr>
          <w:p w14:paraId="5F9B97BD" w14:textId="77777777" w:rsidR="003D13EB" w:rsidRPr="001D1F7D" w:rsidRDefault="003D13EB">
            <w:pPr>
              <w:rPr>
                <w:sz w:val="16"/>
                <w:szCs w:val="16"/>
              </w:rPr>
            </w:pPr>
          </w:p>
        </w:tc>
        <w:tc>
          <w:tcPr>
            <w:tcW w:w="446" w:type="dxa"/>
            <w:shd w:val="clear" w:color="auto" w:fill="auto"/>
          </w:tcPr>
          <w:p w14:paraId="6F191A14" w14:textId="77777777" w:rsidR="003D13EB" w:rsidRPr="001D1F7D" w:rsidRDefault="003D13EB">
            <w:pPr>
              <w:rPr>
                <w:sz w:val="16"/>
                <w:szCs w:val="16"/>
              </w:rPr>
            </w:pPr>
          </w:p>
        </w:tc>
        <w:tc>
          <w:tcPr>
            <w:tcW w:w="446" w:type="dxa"/>
          </w:tcPr>
          <w:p w14:paraId="310A6B1A" w14:textId="77777777" w:rsidR="003D13EB" w:rsidRPr="001D1F7D" w:rsidRDefault="003D13EB">
            <w:pPr>
              <w:rPr>
                <w:sz w:val="16"/>
                <w:szCs w:val="16"/>
              </w:rPr>
            </w:pPr>
          </w:p>
        </w:tc>
        <w:tc>
          <w:tcPr>
            <w:tcW w:w="446" w:type="dxa"/>
          </w:tcPr>
          <w:p w14:paraId="77BB8541" w14:textId="77777777" w:rsidR="003D13EB" w:rsidRPr="001D1F7D" w:rsidRDefault="003D13EB">
            <w:pPr>
              <w:rPr>
                <w:sz w:val="16"/>
                <w:szCs w:val="16"/>
              </w:rPr>
            </w:pPr>
          </w:p>
        </w:tc>
        <w:tc>
          <w:tcPr>
            <w:tcW w:w="446" w:type="dxa"/>
          </w:tcPr>
          <w:p w14:paraId="6FF41362" w14:textId="77777777" w:rsidR="003D13EB" w:rsidRPr="001D1F7D" w:rsidRDefault="003D13EB">
            <w:pPr>
              <w:rPr>
                <w:sz w:val="16"/>
                <w:szCs w:val="16"/>
              </w:rPr>
            </w:pPr>
          </w:p>
        </w:tc>
        <w:tc>
          <w:tcPr>
            <w:tcW w:w="446" w:type="dxa"/>
          </w:tcPr>
          <w:p w14:paraId="019891B6" w14:textId="77777777" w:rsidR="003D13EB" w:rsidRPr="001D1F7D" w:rsidRDefault="003D13EB">
            <w:pPr>
              <w:rPr>
                <w:sz w:val="16"/>
                <w:szCs w:val="16"/>
              </w:rPr>
            </w:pPr>
          </w:p>
        </w:tc>
        <w:tc>
          <w:tcPr>
            <w:tcW w:w="446" w:type="dxa"/>
          </w:tcPr>
          <w:p w14:paraId="551AB760" w14:textId="77777777" w:rsidR="003D13EB" w:rsidRPr="001D1F7D" w:rsidRDefault="003D13EB">
            <w:pPr>
              <w:rPr>
                <w:sz w:val="16"/>
                <w:szCs w:val="16"/>
              </w:rPr>
            </w:pPr>
          </w:p>
        </w:tc>
        <w:tc>
          <w:tcPr>
            <w:tcW w:w="446" w:type="dxa"/>
          </w:tcPr>
          <w:p w14:paraId="7CF9C9EB" w14:textId="77777777" w:rsidR="003D13EB" w:rsidRPr="001D1F7D" w:rsidRDefault="003D13EB">
            <w:pPr>
              <w:rPr>
                <w:sz w:val="16"/>
                <w:szCs w:val="16"/>
              </w:rPr>
            </w:pPr>
          </w:p>
        </w:tc>
        <w:tc>
          <w:tcPr>
            <w:tcW w:w="446" w:type="dxa"/>
          </w:tcPr>
          <w:p w14:paraId="15C44531" w14:textId="77777777" w:rsidR="003D13EB" w:rsidRPr="001D1F7D" w:rsidRDefault="003D13EB">
            <w:pPr>
              <w:rPr>
                <w:sz w:val="16"/>
                <w:szCs w:val="16"/>
              </w:rPr>
            </w:pPr>
          </w:p>
        </w:tc>
        <w:tc>
          <w:tcPr>
            <w:tcW w:w="446" w:type="dxa"/>
          </w:tcPr>
          <w:p w14:paraId="259F3634" w14:textId="77777777" w:rsidR="003D13EB" w:rsidRPr="001D1F7D" w:rsidRDefault="003D13EB">
            <w:pPr>
              <w:rPr>
                <w:sz w:val="16"/>
                <w:szCs w:val="16"/>
              </w:rPr>
            </w:pPr>
          </w:p>
        </w:tc>
        <w:tc>
          <w:tcPr>
            <w:tcW w:w="446" w:type="dxa"/>
          </w:tcPr>
          <w:p w14:paraId="67EF34B7" w14:textId="77777777" w:rsidR="003D13EB" w:rsidRPr="001D1F7D" w:rsidRDefault="003D13EB">
            <w:pPr>
              <w:rPr>
                <w:sz w:val="16"/>
                <w:szCs w:val="16"/>
              </w:rPr>
            </w:pPr>
          </w:p>
        </w:tc>
        <w:tc>
          <w:tcPr>
            <w:tcW w:w="446" w:type="dxa"/>
          </w:tcPr>
          <w:p w14:paraId="5EC649CA" w14:textId="77777777" w:rsidR="003D13EB" w:rsidRPr="001D1F7D" w:rsidRDefault="003D13EB">
            <w:pPr>
              <w:rPr>
                <w:sz w:val="16"/>
                <w:szCs w:val="16"/>
              </w:rPr>
            </w:pPr>
          </w:p>
        </w:tc>
        <w:tc>
          <w:tcPr>
            <w:tcW w:w="446" w:type="dxa"/>
          </w:tcPr>
          <w:p w14:paraId="7809A724" w14:textId="77777777" w:rsidR="003D13EB" w:rsidRPr="001D1F7D" w:rsidRDefault="003D13EB">
            <w:pPr>
              <w:rPr>
                <w:sz w:val="16"/>
                <w:szCs w:val="16"/>
              </w:rPr>
            </w:pPr>
          </w:p>
        </w:tc>
        <w:tc>
          <w:tcPr>
            <w:tcW w:w="446" w:type="dxa"/>
          </w:tcPr>
          <w:p w14:paraId="255E0B56" w14:textId="77777777" w:rsidR="003D13EB" w:rsidRPr="001D1F7D" w:rsidRDefault="003D13EB">
            <w:pPr>
              <w:rPr>
                <w:sz w:val="16"/>
                <w:szCs w:val="16"/>
              </w:rPr>
            </w:pPr>
          </w:p>
        </w:tc>
        <w:tc>
          <w:tcPr>
            <w:tcW w:w="446" w:type="dxa"/>
          </w:tcPr>
          <w:p w14:paraId="23E5B471" w14:textId="77777777" w:rsidR="003D13EB" w:rsidRPr="001D1F7D" w:rsidRDefault="003D13EB">
            <w:pPr>
              <w:rPr>
                <w:sz w:val="16"/>
                <w:szCs w:val="16"/>
              </w:rPr>
            </w:pPr>
          </w:p>
        </w:tc>
        <w:tc>
          <w:tcPr>
            <w:tcW w:w="446" w:type="dxa"/>
          </w:tcPr>
          <w:p w14:paraId="3E48107E" w14:textId="77777777" w:rsidR="003D13EB" w:rsidRPr="001D1F7D" w:rsidRDefault="003D13EB">
            <w:pPr>
              <w:rPr>
                <w:sz w:val="16"/>
                <w:szCs w:val="16"/>
              </w:rPr>
            </w:pPr>
          </w:p>
        </w:tc>
      </w:tr>
      <w:tr w:rsidR="00C21115" w:rsidRPr="001D1F7D" w14:paraId="1B30A9F8" w14:textId="77777777" w:rsidTr="005970FA">
        <w:tc>
          <w:tcPr>
            <w:tcW w:w="1236" w:type="dxa"/>
            <w:shd w:val="clear" w:color="auto" w:fill="FFC000"/>
          </w:tcPr>
          <w:p w14:paraId="261DEFF6" w14:textId="71750049" w:rsidR="003D13EB" w:rsidRPr="001D1F7D" w:rsidRDefault="003D13EB">
            <w:pPr>
              <w:rPr>
                <w:sz w:val="16"/>
                <w:szCs w:val="16"/>
              </w:rPr>
            </w:pPr>
            <w:r w:rsidRPr="001D1F7D">
              <w:rPr>
                <w:sz w:val="16"/>
                <w:szCs w:val="16"/>
              </w:rPr>
              <w:t>Round 2 (formative)</w:t>
            </w:r>
          </w:p>
        </w:tc>
        <w:tc>
          <w:tcPr>
            <w:tcW w:w="447" w:type="dxa"/>
            <w:shd w:val="clear" w:color="auto" w:fill="FFC000"/>
          </w:tcPr>
          <w:p w14:paraId="20DB442B" w14:textId="21F744B7" w:rsidR="003D13EB" w:rsidRPr="001D1F7D" w:rsidRDefault="003D13EB">
            <w:pPr>
              <w:rPr>
                <w:sz w:val="16"/>
                <w:szCs w:val="16"/>
              </w:rPr>
            </w:pPr>
          </w:p>
        </w:tc>
        <w:tc>
          <w:tcPr>
            <w:tcW w:w="447" w:type="dxa"/>
            <w:shd w:val="clear" w:color="auto" w:fill="FFC000"/>
          </w:tcPr>
          <w:p w14:paraId="16D2E52A" w14:textId="2613E797" w:rsidR="003D13EB" w:rsidRPr="001D1F7D" w:rsidRDefault="003D13EB">
            <w:pPr>
              <w:rPr>
                <w:sz w:val="16"/>
                <w:szCs w:val="16"/>
              </w:rPr>
            </w:pPr>
          </w:p>
        </w:tc>
        <w:tc>
          <w:tcPr>
            <w:tcW w:w="446" w:type="dxa"/>
            <w:shd w:val="clear" w:color="auto" w:fill="FFC000"/>
          </w:tcPr>
          <w:p w14:paraId="33AE30EF" w14:textId="64A84DCA" w:rsidR="003D13EB" w:rsidRPr="001D1F7D" w:rsidRDefault="003D13EB">
            <w:pPr>
              <w:rPr>
                <w:sz w:val="16"/>
                <w:szCs w:val="16"/>
              </w:rPr>
            </w:pPr>
          </w:p>
        </w:tc>
        <w:tc>
          <w:tcPr>
            <w:tcW w:w="446" w:type="dxa"/>
            <w:shd w:val="clear" w:color="auto" w:fill="FFC000"/>
          </w:tcPr>
          <w:p w14:paraId="3C980EE6" w14:textId="27BD3898" w:rsidR="003D13EB" w:rsidRPr="001D1F7D" w:rsidRDefault="003D13EB">
            <w:pPr>
              <w:rPr>
                <w:sz w:val="16"/>
                <w:szCs w:val="16"/>
              </w:rPr>
            </w:pPr>
          </w:p>
        </w:tc>
        <w:tc>
          <w:tcPr>
            <w:tcW w:w="446" w:type="dxa"/>
            <w:shd w:val="clear" w:color="auto" w:fill="FFC000"/>
          </w:tcPr>
          <w:p w14:paraId="308071BC" w14:textId="2130DC83" w:rsidR="003D13EB" w:rsidRPr="001D1F7D" w:rsidRDefault="003D13EB">
            <w:pPr>
              <w:rPr>
                <w:sz w:val="16"/>
                <w:szCs w:val="16"/>
              </w:rPr>
            </w:pPr>
          </w:p>
        </w:tc>
        <w:tc>
          <w:tcPr>
            <w:tcW w:w="446" w:type="dxa"/>
            <w:shd w:val="clear" w:color="auto" w:fill="FFC000"/>
          </w:tcPr>
          <w:p w14:paraId="4A980D84" w14:textId="6A885764" w:rsidR="003D13EB" w:rsidRPr="001D1F7D" w:rsidRDefault="003D13EB">
            <w:pPr>
              <w:rPr>
                <w:sz w:val="16"/>
                <w:szCs w:val="16"/>
              </w:rPr>
            </w:pPr>
          </w:p>
        </w:tc>
        <w:tc>
          <w:tcPr>
            <w:tcW w:w="446" w:type="dxa"/>
            <w:shd w:val="clear" w:color="auto" w:fill="FFC000"/>
          </w:tcPr>
          <w:p w14:paraId="464B6116" w14:textId="0B8D9450" w:rsidR="003D13EB" w:rsidRPr="001D1F7D" w:rsidRDefault="003D13EB">
            <w:pPr>
              <w:rPr>
                <w:sz w:val="16"/>
                <w:szCs w:val="16"/>
              </w:rPr>
            </w:pPr>
          </w:p>
        </w:tc>
        <w:tc>
          <w:tcPr>
            <w:tcW w:w="446" w:type="dxa"/>
            <w:shd w:val="clear" w:color="auto" w:fill="FFC000"/>
          </w:tcPr>
          <w:p w14:paraId="54D8648E" w14:textId="517F73A3" w:rsidR="003D13EB" w:rsidRPr="001D1F7D" w:rsidRDefault="003D13EB">
            <w:pPr>
              <w:rPr>
                <w:sz w:val="16"/>
                <w:szCs w:val="16"/>
              </w:rPr>
            </w:pPr>
          </w:p>
        </w:tc>
        <w:tc>
          <w:tcPr>
            <w:tcW w:w="446" w:type="dxa"/>
            <w:shd w:val="clear" w:color="auto" w:fill="FFC000"/>
          </w:tcPr>
          <w:p w14:paraId="0C967414" w14:textId="2184255C" w:rsidR="003D13EB" w:rsidRPr="001D1F7D" w:rsidRDefault="003D13EB">
            <w:pPr>
              <w:rPr>
                <w:sz w:val="16"/>
                <w:szCs w:val="16"/>
              </w:rPr>
            </w:pPr>
          </w:p>
        </w:tc>
        <w:tc>
          <w:tcPr>
            <w:tcW w:w="446" w:type="dxa"/>
            <w:shd w:val="clear" w:color="auto" w:fill="FFC000"/>
          </w:tcPr>
          <w:p w14:paraId="02EFEA9A" w14:textId="6599F889" w:rsidR="003D13EB" w:rsidRPr="001D1F7D" w:rsidRDefault="003D13EB">
            <w:pPr>
              <w:rPr>
                <w:sz w:val="16"/>
                <w:szCs w:val="16"/>
              </w:rPr>
            </w:pPr>
          </w:p>
        </w:tc>
        <w:tc>
          <w:tcPr>
            <w:tcW w:w="446" w:type="dxa"/>
            <w:shd w:val="clear" w:color="auto" w:fill="FFC000"/>
          </w:tcPr>
          <w:p w14:paraId="4907C66C" w14:textId="5EE08FDC" w:rsidR="003D13EB" w:rsidRPr="001D1F7D" w:rsidRDefault="003D13EB">
            <w:pPr>
              <w:rPr>
                <w:sz w:val="16"/>
                <w:szCs w:val="16"/>
              </w:rPr>
            </w:pPr>
          </w:p>
        </w:tc>
        <w:tc>
          <w:tcPr>
            <w:tcW w:w="446" w:type="dxa"/>
            <w:shd w:val="clear" w:color="auto" w:fill="FFC000"/>
          </w:tcPr>
          <w:p w14:paraId="4A540B15" w14:textId="67FBE0EF" w:rsidR="003D13EB" w:rsidRPr="001D1F7D" w:rsidRDefault="003D13EB">
            <w:pPr>
              <w:rPr>
                <w:sz w:val="16"/>
                <w:szCs w:val="16"/>
              </w:rPr>
            </w:pPr>
          </w:p>
        </w:tc>
        <w:tc>
          <w:tcPr>
            <w:tcW w:w="446" w:type="dxa"/>
            <w:shd w:val="clear" w:color="auto" w:fill="FFC000"/>
          </w:tcPr>
          <w:p w14:paraId="1539FA0D" w14:textId="44F10DE3" w:rsidR="003D13EB" w:rsidRPr="001D1F7D" w:rsidRDefault="003D13EB">
            <w:pPr>
              <w:rPr>
                <w:sz w:val="16"/>
                <w:szCs w:val="16"/>
              </w:rPr>
            </w:pPr>
          </w:p>
        </w:tc>
        <w:tc>
          <w:tcPr>
            <w:tcW w:w="892" w:type="dxa"/>
            <w:gridSpan w:val="2"/>
            <w:shd w:val="clear" w:color="auto" w:fill="FFC000"/>
          </w:tcPr>
          <w:p w14:paraId="6C3A7AE5" w14:textId="6EAE87DE" w:rsidR="003D13EB" w:rsidRPr="001D1F7D" w:rsidRDefault="003D13EB">
            <w:pPr>
              <w:rPr>
                <w:sz w:val="16"/>
                <w:szCs w:val="16"/>
              </w:rPr>
            </w:pPr>
          </w:p>
        </w:tc>
        <w:tc>
          <w:tcPr>
            <w:tcW w:w="446" w:type="dxa"/>
            <w:shd w:val="clear" w:color="auto" w:fill="FFC000"/>
          </w:tcPr>
          <w:p w14:paraId="1A89898C" w14:textId="389F37A6" w:rsidR="003D13EB" w:rsidRPr="001D1F7D" w:rsidRDefault="003D13EB">
            <w:pPr>
              <w:rPr>
                <w:sz w:val="16"/>
                <w:szCs w:val="16"/>
              </w:rPr>
            </w:pPr>
          </w:p>
        </w:tc>
        <w:tc>
          <w:tcPr>
            <w:tcW w:w="446" w:type="dxa"/>
            <w:shd w:val="clear" w:color="auto" w:fill="FFC000"/>
          </w:tcPr>
          <w:p w14:paraId="296E77FB" w14:textId="4F26B9A4" w:rsidR="003D13EB" w:rsidRPr="001D1F7D" w:rsidRDefault="003D13EB">
            <w:pPr>
              <w:rPr>
                <w:sz w:val="16"/>
                <w:szCs w:val="16"/>
              </w:rPr>
            </w:pPr>
          </w:p>
        </w:tc>
        <w:tc>
          <w:tcPr>
            <w:tcW w:w="446" w:type="dxa"/>
            <w:shd w:val="clear" w:color="auto" w:fill="FFC000"/>
          </w:tcPr>
          <w:p w14:paraId="0DFDB3E6" w14:textId="1BAC965B" w:rsidR="003D13EB" w:rsidRPr="001D1F7D" w:rsidRDefault="003D13EB">
            <w:pPr>
              <w:rPr>
                <w:sz w:val="16"/>
                <w:szCs w:val="16"/>
              </w:rPr>
            </w:pPr>
          </w:p>
        </w:tc>
        <w:tc>
          <w:tcPr>
            <w:tcW w:w="446" w:type="dxa"/>
            <w:shd w:val="clear" w:color="auto" w:fill="FFC000"/>
          </w:tcPr>
          <w:p w14:paraId="58EB3E9E" w14:textId="4710E95D" w:rsidR="003D13EB" w:rsidRPr="001D1F7D" w:rsidRDefault="003D13EB">
            <w:pPr>
              <w:rPr>
                <w:sz w:val="16"/>
                <w:szCs w:val="16"/>
              </w:rPr>
            </w:pPr>
          </w:p>
        </w:tc>
        <w:tc>
          <w:tcPr>
            <w:tcW w:w="446" w:type="dxa"/>
            <w:shd w:val="clear" w:color="auto" w:fill="FFC000"/>
          </w:tcPr>
          <w:p w14:paraId="53CE18DA" w14:textId="6ED5797C" w:rsidR="003D13EB" w:rsidRPr="001D1F7D" w:rsidRDefault="003D13EB">
            <w:pPr>
              <w:rPr>
                <w:sz w:val="16"/>
                <w:szCs w:val="16"/>
              </w:rPr>
            </w:pPr>
          </w:p>
        </w:tc>
        <w:tc>
          <w:tcPr>
            <w:tcW w:w="446" w:type="dxa"/>
            <w:shd w:val="clear" w:color="auto" w:fill="FFC000"/>
          </w:tcPr>
          <w:p w14:paraId="249C3ACA" w14:textId="0EA28F0C" w:rsidR="003D13EB" w:rsidRPr="001D1F7D" w:rsidRDefault="003D13EB">
            <w:pPr>
              <w:rPr>
                <w:sz w:val="16"/>
                <w:szCs w:val="16"/>
              </w:rPr>
            </w:pPr>
          </w:p>
        </w:tc>
        <w:tc>
          <w:tcPr>
            <w:tcW w:w="446" w:type="dxa"/>
            <w:shd w:val="clear" w:color="auto" w:fill="FFC000"/>
          </w:tcPr>
          <w:p w14:paraId="188817D3" w14:textId="0D5682B9" w:rsidR="003D13EB" w:rsidRPr="001D1F7D" w:rsidRDefault="003D13EB">
            <w:pPr>
              <w:rPr>
                <w:sz w:val="16"/>
                <w:szCs w:val="16"/>
              </w:rPr>
            </w:pPr>
          </w:p>
        </w:tc>
      </w:tr>
      <w:tr w:rsidR="003D13EB" w:rsidRPr="001D1F7D" w14:paraId="42B63B03" w14:textId="77777777" w:rsidTr="005970FA">
        <w:tc>
          <w:tcPr>
            <w:tcW w:w="1236" w:type="dxa"/>
          </w:tcPr>
          <w:p w14:paraId="173784FA" w14:textId="4A871E5B" w:rsidR="003D13EB" w:rsidRPr="001D1F7D" w:rsidRDefault="003D13EB">
            <w:pPr>
              <w:rPr>
                <w:sz w:val="16"/>
                <w:szCs w:val="16"/>
              </w:rPr>
            </w:pPr>
            <w:r w:rsidRPr="001D1F7D">
              <w:rPr>
                <w:sz w:val="16"/>
                <w:szCs w:val="16"/>
              </w:rPr>
              <w:t xml:space="preserve">Country visits </w:t>
            </w:r>
          </w:p>
        </w:tc>
        <w:tc>
          <w:tcPr>
            <w:tcW w:w="447" w:type="dxa"/>
          </w:tcPr>
          <w:p w14:paraId="29871C58" w14:textId="77777777" w:rsidR="003D13EB" w:rsidRPr="001D1F7D" w:rsidRDefault="003D13EB">
            <w:pPr>
              <w:rPr>
                <w:sz w:val="16"/>
                <w:szCs w:val="16"/>
              </w:rPr>
            </w:pPr>
          </w:p>
        </w:tc>
        <w:tc>
          <w:tcPr>
            <w:tcW w:w="447" w:type="dxa"/>
          </w:tcPr>
          <w:p w14:paraId="3F57215A" w14:textId="77777777" w:rsidR="003D13EB" w:rsidRPr="001D1F7D" w:rsidRDefault="003D13EB">
            <w:pPr>
              <w:rPr>
                <w:sz w:val="16"/>
                <w:szCs w:val="16"/>
              </w:rPr>
            </w:pPr>
          </w:p>
        </w:tc>
        <w:tc>
          <w:tcPr>
            <w:tcW w:w="446" w:type="dxa"/>
            <w:shd w:val="clear" w:color="auto" w:fill="auto"/>
          </w:tcPr>
          <w:p w14:paraId="0CA75B2E" w14:textId="77777777" w:rsidR="003D13EB" w:rsidRPr="001D1F7D" w:rsidRDefault="003D13EB">
            <w:pPr>
              <w:jc w:val="center"/>
              <w:rPr>
                <w:sz w:val="16"/>
                <w:szCs w:val="16"/>
              </w:rPr>
            </w:pPr>
          </w:p>
        </w:tc>
        <w:tc>
          <w:tcPr>
            <w:tcW w:w="446" w:type="dxa"/>
            <w:shd w:val="clear" w:color="auto" w:fill="auto"/>
            <w:vAlign w:val="center"/>
          </w:tcPr>
          <w:p w14:paraId="0B61B341" w14:textId="77777777" w:rsidR="003D13EB" w:rsidRPr="001D1F7D" w:rsidRDefault="003D13EB">
            <w:pPr>
              <w:jc w:val="center"/>
              <w:rPr>
                <w:sz w:val="16"/>
                <w:szCs w:val="16"/>
              </w:rPr>
            </w:pPr>
          </w:p>
        </w:tc>
        <w:tc>
          <w:tcPr>
            <w:tcW w:w="446" w:type="dxa"/>
            <w:shd w:val="clear" w:color="auto" w:fill="auto"/>
            <w:vAlign w:val="center"/>
          </w:tcPr>
          <w:p w14:paraId="3E26794A" w14:textId="77777777" w:rsidR="003D13EB" w:rsidRPr="001D1F7D" w:rsidRDefault="003D13EB">
            <w:pPr>
              <w:rPr>
                <w:sz w:val="16"/>
                <w:szCs w:val="16"/>
              </w:rPr>
            </w:pPr>
          </w:p>
        </w:tc>
        <w:tc>
          <w:tcPr>
            <w:tcW w:w="446" w:type="dxa"/>
            <w:shd w:val="thinReverseDiagStripe" w:color="auto" w:fill="F1B249" w:themeFill="accent4"/>
            <w:vAlign w:val="center"/>
          </w:tcPr>
          <w:p w14:paraId="6507D9F5" w14:textId="77777777" w:rsidR="003D13EB" w:rsidRPr="001D1F7D" w:rsidRDefault="003D13EB">
            <w:pPr>
              <w:rPr>
                <w:sz w:val="16"/>
                <w:szCs w:val="16"/>
              </w:rPr>
            </w:pPr>
            <w:r w:rsidRPr="001D1F7D">
              <w:rPr>
                <w:sz w:val="16"/>
                <w:szCs w:val="16"/>
              </w:rPr>
              <w:t>2</w:t>
            </w:r>
          </w:p>
        </w:tc>
        <w:tc>
          <w:tcPr>
            <w:tcW w:w="446" w:type="dxa"/>
            <w:shd w:val="thinReverseDiagStripe" w:color="auto" w:fill="F1B249" w:themeFill="accent4"/>
            <w:vAlign w:val="center"/>
          </w:tcPr>
          <w:p w14:paraId="7941702E" w14:textId="77777777" w:rsidR="003D13EB" w:rsidRPr="001D1F7D" w:rsidRDefault="003D13EB">
            <w:pPr>
              <w:rPr>
                <w:sz w:val="16"/>
                <w:szCs w:val="16"/>
              </w:rPr>
            </w:pPr>
            <w:r w:rsidRPr="001D1F7D">
              <w:rPr>
                <w:sz w:val="16"/>
                <w:szCs w:val="16"/>
              </w:rPr>
              <w:t>2</w:t>
            </w:r>
          </w:p>
        </w:tc>
        <w:tc>
          <w:tcPr>
            <w:tcW w:w="446" w:type="dxa"/>
            <w:shd w:val="clear" w:color="auto" w:fill="auto"/>
            <w:vAlign w:val="center"/>
          </w:tcPr>
          <w:p w14:paraId="5E798F4B" w14:textId="77777777" w:rsidR="003D13EB" w:rsidRPr="001D1F7D" w:rsidRDefault="003D13EB">
            <w:pPr>
              <w:rPr>
                <w:sz w:val="16"/>
                <w:szCs w:val="16"/>
              </w:rPr>
            </w:pPr>
          </w:p>
        </w:tc>
        <w:tc>
          <w:tcPr>
            <w:tcW w:w="446" w:type="dxa"/>
          </w:tcPr>
          <w:p w14:paraId="787B1060" w14:textId="77777777" w:rsidR="003D13EB" w:rsidRPr="001D1F7D" w:rsidRDefault="003D13EB">
            <w:pPr>
              <w:rPr>
                <w:sz w:val="16"/>
                <w:szCs w:val="16"/>
              </w:rPr>
            </w:pPr>
          </w:p>
        </w:tc>
        <w:tc>
          <w:tcPr>
            <w:tcW w:w="446" w:type="dxa"/>
          </w:tcPr>
          <w:p w14:paraId="243034CD" w14:textId="77777777" w:rsidR="003D13EB" w:rsidRPr="001D1F7D" w:rsidRDefault="003D13EB">
            <w:pPr>
              <w:rPr>
                <w:sz w:val="16"/>
                <w:szCs w:val="16"/>
              </w:rPr>
            </w:pPr>
          </w:p>
        </w:tc>
        <w:tc>
          <w:tcPr>
            <w:tcW w:w="446" w:type="dxa"/>
          </w:tcPr>
          <w:p w14:paraId="686674F6" w14:textId="77777777" w:rsidR="003D13EB" w:rsidRPr="001D1F7D" w:rsidRDefault="003D13EB">
            <w:pPr>
              <w:rPr>
                <w:sz w:val="16"/>
                <w:szCs w:val="16"/>
              </w:rPr>
            </w:pPr>
          </w:p>
        </w:tc>
        <w:tc>
          <w:tcPr>
            <w:tcW w:w="446" w:type="dxa"/>
          </w:tcPr>
          <w:p w14:paraId="3DA1EF10" w14:textId="77777777" w:rsidR="003D13EB" w:rsidRPr="001D1F7D" w:rsidRDefault="003D13EB">
            <w:pPr>
              <w:rPr>
                <w:sz w:val="16"/>
                <w:szCs w:val="16"/>
              </w:rPr>
            </w:pPr>
          </w:p>
        </w:tc>
        <w:tc>
          <w:tcPr>
            <w:tcW w:w="446" w:type="dxa"/>
          </w:tcPr>
          <w:p w14:paraId="085D0FA8" w14:textId="77777777" w:rsidR="003D13EB" w:rsidRPr="001D1F7D" w:rsidRDefault="003D13EB">
            <w:pPr>
              <w:rPr>
                <w:sz w:val="16"/>
                <w:szCs w:val="16"/>
              </w:rPr>
            </w:pPr>
          </w:p>
        </w:tc>
        <w:tc>
          <w:tcPr>
            <w:tcW w:w="446" w:type="dxa"/>
          </w:tcPr>
          <w:p w14:paraId="752E6783" w14:textId="77777777" w:rsidR="003D13EB" w:rsidRPr="001D1F7D" w:rsidRDefault="003D13EB">
            <w:pPr>
              <w:rPr>
                <w:sz w:val="16"/>
                <w:szCs w:val="16"/>
              </w:rPr>
            </w:pPr>
          </w:p>
        </w:tc>
        <w:tc>
          <w:tcPr>
            <w:tcW w:w="446" w:type="dxa"/>
          </w:tcPr>
          <w:p w14:paraId="1045F15F" w14:textId="77777777" w:rsidR="003D13EB" w:rsidRPr="001D1F7D" w:rsidRDefault="003D13EB">
            <w:pPr>
              <w:rPr>
                <w:sz w:val="16"/>
                <w:szCs w:val="16"/>
              </w:rPr>
            </w:pPr>
          </w:p>
        </w:tc>
        <w:tc>
          <w:tcPr>
            <w:tcW w:w="446" w:type="dxa"/>
          </w:tcPr>
          <w:p w14:paraId="664988D3" w14:textId="77777777" w:rsidR="003D13EB" w:rsidRPr="001D1F7D" w:rsidRDefault="003D13EB">
            <w:pPr>
              <w:rPr>
                <w:sz w:val="16"/>
                <w:szCs w:val="16"/>
              </w:rPr>
            </w:pPr>
          </w:p>
        </w:tc>
        <w:tc>
          <w:tcPr>
            <w:tcW w:w="446" w:type="dxa"/>
          </w:tcPr>
          <w:p w14:paraId="2E12F326" w14:textId="77777777" w:rsidR="003D13EB" w:rsidRPr="001D1F7D" w:rsidRDefault="003D13EB">
            <w:pPr>
              <w:rPr>
                <w:sz w:val="16"/>
                <w:szCs w:val="16"/>
              </w:rPr>
            </w:pPr>
          </w:p>
        </w:tc>
        <w:tc>
          <w:tcPr>
            <w:tcW w:w="446" w:type="dxa"/>
          </w:tcPr>
          <w:p w14:paraId="2806D33F" w14:textId="77777777" w:rsidR="003D13EB" w:rsidRPr="001D1F7D" w:rsidRDefault="003D13EB">
            <w:pPr>
              <w:rPr>
                <w:sz w:val="16"/>
                <w:szCs w:val="16"/>
              </w:rPr>
            </w:pPr>
          </w:p>
        </w:tc>
        <w:tc>
          <w:tcPr>
            <w:tcW w:w="446" w:type="dxa"/>
          </w:tcPr>
          <w:p w14:paraId="28E2D495" w14:textId="77777777" w:rsidR="003D13EB" w:rsidRPr="001D1F7D" w:rsidRDefault="003D13EB">
            <w:pPr>
              <w:rPr>
                <w:sz w:val="16"/>
                <w:szCs w:val="16"/>
              </w:rPr>
            </w:pPr>
          </w:p>
        </w:tc>
        <w:tc>
          <w:tcPr>
            <w:tcW w:w="446" w:type="dxa"/>
          </w:tcPr>
          <w:p w14:paraId="2102108D" w14:textId="77777777" w:rsidR="003D13EB" w:rsidRPr="001D1F7D" w:rsidRDefault="003D13EB">
            <w:pPr>
              <w:rPr>
                <w:sz w:val="16"/>
                <w:szCs w:val="16"/>
              </w:rPr>
            </w:pPr>
          </w:p>
        </w:tc>
        <w:tc>
          <w:tcPr>
            <w:tcW w:w="446" w:type="dxa"/>
          </w:tcPr>
          <w:p w14:paraId="6741C271" w14:textId="77777777" w:rsidR="003D13EB" w:rsidRPr="001D1F7D" w:rsidRDefault="003D13EB">
            <w:pPr>
              <w:rPr>
                <w:sz w:val="16"/>
                <w:szCs w:val="16"/>
              </w:rPr>
            </w:pPr>
          </w:p>
        </w:tc>
        <w:tc>
          <w:tcPr>
            <w:tcW w:w="446" w:type="dxa"/>
          </w:tcPr>
          <w:p w14:paraId="60CD655B" w14:textId="77777777" w:rsidR="003D13EB" w:rsidRPr="001D1F7D" w:rsidRDefault="003D13EB">
            <w:pPr>
              <w:rPr>
                <w:sz w:val="16"/>
                <w:szCs w:val="16"/>
              </w:rPr>
            </w:pPr>
          </w:p>
        </w:tc>
      </w:tr>
      <w:tr w:rsidR="005970FA" w:rsidRPr="001D1F7D" w14:paraId="5A60B462" w14:textId="77777777" w:rsidTr="00A27A91">
        <w:tc>
          <w:tcPr>
            <w:tcW w:w="1236" w:type="dxa"/>
          </w:tcPr>
          <w:p w14:paraId="7D5BFEE5" w14:textId="77777777" w:rsidR="005970FA" w:rsidRPr="001D1F7D" w:rsidRDefault="005970FA" w:rsidP="005970FA">
            <w:pPr>
              <w:rPr>
                <w:sz w:val="16"/>
                <w:szCs w:val="16"/>
              </w:rPr>
            </w:pPr>
            <w:r w:rsidRPr="001D1F7D">
              <w:rPr>
                <w:sz w:val="16"/>
                <w:szCs w:val="16"/>
              </w:rPr>
              <w:t>Analysis &amp; reporting</w:t>
            </w:r>
          </w:p>
        </w:tc>
        <w:tc>
          <w:tcPr>
            <w:tcW w:w="447" w:type="dxa"/>
            <w:shd w:val="clear" w:color="auto" w:fill="auto"/>
          </w:tcPr>
          <w:p w14:paraId="4D4E9DE9" w14:textId="77777777" w:rsidR="005970FA" w:rsidRPr="001D1F7D" w:rsidRDefault="005970FA" w:rsidP="005970FA">
            <w:pPr>
              <w:rPr>
                <w:sz w:val="16"/>
                <w:szCs w:val="16"/>
              </w:rPr>
            </w:pPr>
          </w:p>
        </w:tc>
        <w:tc>
          <w:tcPr>
            <w:tcW w:w="447" w:type="dxa"/>
            <w:shd w:val="clear" w:color="auto" w:fill="auto"/>
          </w:tcPr>
          <w:p w14:paraId="5C0CE443" w14:textId="77777777" w:rsidR="005970FA" w:rsidRPr="001D1F7D" w:rsidRDefault="005970FA" w:rsidP="005970FA">
            <w:pPr>
              <w:rPr>
                <w:sz w:val="16"/>
                <w:szCs w:val="16"/>
              </w:rPr>
            </w:pPr>
          </w:p>
        </w:tc>
        <w:tc>
          <w:tcPr>
            <w:tcW w:w="446" w:type="dxa"/>
            <w:shd w:val="clear" w:color="auto" w:fill="auto"/>
          </w:tcPr>
          <w:p w14:paraId="759DB867" w14:textId="77777777" w:rsidR="005970FA" w:rsidRPr="001D1F7D" w:rsidRDefault="005970FA" w:rsidP="005970FA">
            <w:pPr>
              <w:rPr>
                <w:sz w:val="16"/>
                <w:szCs w:val="16"/>
              </w:rPr>
            </w:pPr>
          </w:p>
        </w:tc>
        <w:tc>
          <w:tcPr>
            <w:tcW w:w="446" w:type="dxa"/>
          </w:tcPr>
          <w:p w14:paraId="3EB82DFF" w14:textId="77777777" w:rsidR="005970FA" w:rsidRPr="001D1F7D" w:rsidRDefault="005970FA" w:rsidP="005970FA">
            <w:pPr>
              <w:rPr>
                <w:sz w:val="16"/>
                <w:szCs w:val="16"/>
              </w:rPr>
            </w:pPr>
          </w:p>
        </w:tc>
        <w:tc>
          <w:tcPr>
            <w:tcW w:w="446" w:type="dxa"/>
          </w:tcPr>
          <w:p w14:paraId="3AC95CBD" w14:textId="77777777" w:rsidR="005970FA" w:rsidRPr="001D1F7D" w:rsidRDefault="005970FA" w:rsidP="005970FA">
            <w:pPr>
              <w:rPr>
                <w:sz w:val="16"/>
                <w:szCs w:val="16"/>
              </w:rPr>
            </w:pPr>
          </w:p>
        </w:tc>
        <w:tc>
          <w:tcPr>
            <w:tcW w:w="446" w:type="dxa"/>
            <w:shd w:val="clear" w:color="auto" w:fill="F1B249" w:themeFill="accent4"/>
          </w:tcPr>
          <w:p w14:paraId="59F794FA" w14:textId="77777777" w:rsidR="005970FA" w:rsidRPr="001D1F7D" w:rsidRDefault="005970FA" w:rsidP="005970FA">
            <w:pPr>
              <w:rPr>
                <w:sz w:val="16"/>
                <w:szCs w:val="16"/>
              </w:rPr>
            </w:pPr>
          </w:p>
        </w:tc>
        <w:tc>
          <w:tcPr>
            <w:tcW w:w="446" w:type="dxa"/>
            <w:shd w:val="clear" w:color="auto" w:fill="auto"/>
          </w:tcPr>
          <w:p w14:paraId="0A1B1E41" w14:textId="77777777" w:rsidR="005970FA" w:rsidRPr="001D1F7D" w:rsidRDefault="005970FA" w:rsidP="005970FA">
            <w:pPr>
              <w:rPr>
                <w:sz w:val="16"/>
                <w:szCs w:val="16"/>
              </w:rPr>
            </w:pPr>
          </w:p>
        </w:tc>
        <w:tc>
          <w:tcPr>
            <w:tcW w:w="446" w:type="dxa"/>
            <w:shd w:val="clear" w:color="auto" w:fill="auto"/>
          </w:tcPr>
          <w:p w14:paraId="4D645883" w14:textId="77777777" w:rsidR="005970FA" w:rsidRPr="001D1F7D" w:rsidRDefault="005970FA" w:rsidP="005970FA">
            <w:pPr>
              <w:rPr>
                <w:sz w:val="16"/>
                <w:szCs w:val="16"/>
              </w:rPr>
            </w:pPr>
          </w:p>
        </w:tc>
        <w:tc>
          <w:tcPr>
            <w:tcW w:w="446" w:type="dxa"/>
          </w:tcPr>
          <w:p w14:paraId="1DA47C93" w14:textId="77777777" w:rsidR="005970FA" w:rsidRPr="001D1F7D" w:rsidRDefault="005970FA" w:rsidP="005970FA">
            <w:pPr>
              <w:rPr>
                <w:sz w:val="16"/>
                <w:szCs w:val="16"/>
              </w:rPr>
            </w:pPr>
          </w:p>
        </w:tc>
        <w:tc>
          <w:tcPr>
            <w:tcW w:w="446" w:type="dxa"/>
          </w:tcPr>
          <w:p w14:paraId="4A4BC4DB" w14:textId="77777777" w:rsidR="005970FA" w:rsidRPr="001D1F7D" w:rsidRDefault="005970FA" w:rsidP="005970FA">
            <w:pPr>
              <w:rPr>
                <w:sz w:val="16"/>
                <w:szCs w:val="16"/>
              </w:rPr>
            </w:pPr>
          </w:p>
        </w:tc>
        <w:tc>
          <w:tcPr>
            <w:tcW w:w="446" w:type="dxa"/>
          </w:tcPr>
          <w:p w14:paraId="57CBDAE7" w14:textId="77777777" w:rsidR="005970FA" w:rsidRPr="001D1F7D" w:rsidRDefault="005970FA" w:rsidP="005970FA">
            <w:pPr>
              <w:rPr>
                <w:sz w:val="16"/>
                <w:szCs w:val="16"/>
              </w:rPr>
            </w:pPr>
          </w:p>
        </w:tc>
        <w:tc>
          <w:tcPr>
            <w:tcW w:w="446" w:type="dxa"/>
          </w:tcPr>
          <w:p w14:paraId="4299A57C" w14:textId="77777777" w:rsidR="005970FA" w:rsidRPr="001D1F7D" w:rsidRDefault="005970FA" w:rsidP="005970FA">
            <w:pPr>
              <w:rPr>
                <w:sz w:val="16"/>
                <w:szCs w:val="16"/>
              </w:rPr>
            </w:pPr>
          </w:p>
        </w:tc>
        <w:tc>
          <w:tcPr>
            <w:tcW w:w="446" w:type="dxa"/>
          </w:tcPr>
          <w:p w14:paraId="1B6E7086" w14:textId="77777777" w:rsidR="005970FA" w:rsidRPr="001D1F7D" w:rsidRDefault="005970FA" w:rsidP="005970FA">
            <w:pPr>
              <w:rPr>
                <w:sz w:val="16"/>
                <w:szCs w:val="16"/>
              </w:rPr>
            </w:pPr>
          </w:p>
        </w:tc>
        <w:tc>
          <w:tcPr>
            <w:tcW w:w="446" w:type="dxa"/>
          </w:tcPr>
          <w:p w14:paraId="72286D08" w14:textId="77777777" w:rsidR="005970FA" w:rsidRPr="001D1F7D" w:rsidRDefault="005970FA" w:rsidP="005970FA">
            <w:pPr>
              <w:rPr>
                <w:sz w:val="16"/>
                <w:szCs w:val="16"/>
              </w:rPr>
            </w:pPr>
          </w:p>
        </w:tc>
        <w:tc>
          <w:tcPr>
            <w:tcW w:w="446" w:type="dxa"/>
          </w:tcPr>
          <w:p w14:paraId="76DF7C6C" w14:textId="6944095F" w:rsidR="005970FA" w:rsidRPr="001D1F7D" w:rsidRDefault="005970FA" w:rsidP="005970FA">
            <w:pPr>
              <w:rPr>
                <w:sz w:val="16"/>
                <w:szCs w:val="16"/>
              </w:rPr>
            </w:pPr>
          </w:p>
        </w:tc>
        <w:tc>
          <w:tcPr>
            <w:tcW w:w="446" w:type="dxa"/>
          </w:tcPr>
          <w:p w14:paraId="76B540D4" w14:textId="77777777" w:rsidR="005970FA" w:rsidRPr="001D1F7D" w:rsidRDefault="005970FA" w:rsidP="005970FA">
            <w:pPr>
              <w:rPr>
                <w:sz w:val="16"/>
                <w:szCs w:val="16"/>
              </w:rPr>
            </w:pPr>
          </w:p>
        </w:tc>
        <w:tc>
          <w:tcPr>
            <w:tcW w:w="446" w:type="dxa"/>
          </w:tcPr>
          <w:p w14:paraId="22850020" w14:textId="77777777" w:rsidR="005970FA" w:rsidRPr="001D1F7D" w:rsidRDefault="005970FA" w:rsidP="005970FA">
            <w:pPr>
              <w:rPr>
                <w:sz w:val="16"/>
                <w:szCs w:val="16"/>
              </w:rPr>
            </w:pPr>
          </w:p>
        </w:tc>
        <w:tc>
          <w:tcPr>
            <w:tcW w:w="446" w:type="dxa"/>
          </w:tcPr>
          <w:p w14:paraId="63628FE2" w14:textId="77777777" w:rsidR="005970FA" w:rsidRPr="001D1F7D" w:rsidRDefault="005970FA" w:rsidP="005970FA">
            <w:pPr>
              <w:rPr>
                <w:sz w:val="16"/>
                <w:szCs w:val="16"/>
              </w:rPr>
            </w:pPr>
          </w:p>
        </w:tc>
        <w:tc>
          <w:tcPr>
            <w:tcW w:w="446" w:type="dxa"/>
          </w:tcPr>
          <w:p w14:paraId="5736BD26" w14:textId="77777777" w:rsidR="005970FA" w:rsidRPr="001D1F7D" w:rsidRDefault="005970FA" w:rsidP="005970FA">
            <w:pPr>
              <w:rPr>
                <w:sz w:val="16"/>
                <w:szCs w:val="16"/>
              </w:rPr>
            </w:pPr>
          </w:p>
        </w:tc>
        <w:tc>
          <w:tcPr>
            <w:tcW w:w="446" w:type="dxa"/>
          </w:tcPr>
          <w:p w14:paraId="6A0331CB" w14:textId="77777777" w:rsidR="005970FA" w:rsidRPr="001D1F7D" w:rsidRDefault="005970FA" w:rsidP="005970FA">
            <w:pPr>
              <w:rPr>
                <w:sz w:val="16"/>
                <w:szCs w:val="16"/>
              </w:rPr>
            </w:pPr>
          </w:p>
        </w:tc>
        <w:tc>
          <w:tcPr>
            <w:tcW w:w="446" w:type="dxa"/>
          </w:tcPr>
          <w:p w14:paraId="179A3488" w14:textId="77777777" w:rsidR="005970FA" w:rsidRPr="001D1F7D" w:rsidRDefault="005970FA" w:rsidP="005970FA">
            <w:pPr>
              <w:rPr>
                <w:sz w:val="16"/>
                <w:szCs w:val="16"/>
              </w:rPr>
            </w:pPr>
          </w:p>
        </w:tc>
        <w:tc>
          <w:tcPr>
            <w:tcW w:w="446" w:type="dxa"/>
          </w:tcPr>
          <w:p w14:paraId="11DDFB95" w14:textId="77777777" w:rsidR="005970FA" w:rsidRPr="001D1F7D" w:rsidRDefault="005970FA" w:rsidP="005970FA">
            <w:pPr>
              <w:rPr>
                <w:sz w:val="16"/>
                <w:szCs w:val="16"/>
              </w:rPr>
            </w:pPr>
          </w:p>
        </w:tc>
      </w:tr>
      <w:tr w:rsidR="005970FA" w:rsidRPr="001D1F7D" w14:paraId="257E841F" w14:textId="77777777" w:rsidTr="00D84E21">
        <w:tc>
          <w:tcPr>
            <w:tcW w:w="1236" w:type="dxa"/>
          </w:tcPr>
          <w:p w14:paraId="4AF4EF50" w14:textId="68EF5C85" w:rsidR="005970FA" w:rsidRPr="001D1F7D" w:rsidRDefault="005970FA" w:rsidP="005970FA">
            <w:pPr>
              <w:rPr>
                <w:sz w:val="16"/>
                <w:szCs w:val="16"/>
              </w:rPr>
            </w:pPr>
            <w:r w:rsidRPr="001D1F7D">
              <w:rPr>
                <w:sz w:val="16"/>
                <w:szCs w:val="16"/>
              </w:rPr>
              <w:t>Deliverable 2 submission</w:t>
            </w:r>
          </w:p>
        </w:tc>
        <w:tc>
          <w:tcPr>
            <w:tcW w:w="447" w:type="dxa"/>
            <w:shd w:val="clear" w:color="auto" w:fill="auto"/>
          </w:tcPr>
          <w:p w14:paraId="318DB67E" w14:textId="77777777" w:rsidR="005970FA" w:rsidRPr="001D1F7D" w:rsidRDefault="005970FA" w:rsidP="005970FA">
            <w:pPr>
              <w:rPr>
                <w:sz w:val="16"/>
                <w:szCs w:val="16"/>
              </w:rPr>
            </w:pPr>
          </w:p>
        </w:tc>
        <w:tc>
          <w:tcPr>
            <w:tcW w:w="447" w:type="dxa"/>
            <w:shd w:val="clear" w:color="auto" w:fill="auto"/>
          </w:tcPr>
          <w:p w14:paraId="249EBEDD" w14:textId="77777777" w:rsidR="005970FA" w:rsidRPr="001D1F7D" w:rsidRDefault="005970FA" w:rsidP="005970FA">
            <w:pPr>
              <w:rPr>
                <w:sz w:val="16"/>
                <w:szCs w:val="16"/>
              </w:rPr>
            </w:pPr>
          </w:p>
        </w:tc>
        <w:tc>
          <w:tcPr>
            <w:tcW w:w="446" w:type="dxa"/>
            <w:shd w:val="clear" w:color="auto" w:fill="auto"/>
          </w:tcPr>
          <w:p w14:paraId="790CFBE0" w14:textId="77777777" w:rsidR="005970FA" w:rsidRPr="001D1F7D" w:rsidRDefault="005970FA" w:rsidP="005970FA">
            <w:pPr>
              <w:rPr>
                <w:sz w:val="16"/>
                <w:szCs w:val="16"/>
              </w:rPr>
            </w:pPr>
          </w:p>
        </w:tc>
        <w:tc>
          <w:tcPr>
            <w:tcW w:w="446" w:type="dxa"/>
          </w:tcPr>
          <w:p w14:paraId="0227A72E" w14:textId="77777777" w:rsidR="005970FA" w:rsidRPr="001D1F7D" w:rsidRDefault="005970FA" w:rsidP="005970FA">
            <w:pPr>
              <w:rPr>
                <w:sz w:val="16"/>
                <w:szCs w:val="16"/>
              </w:rPr>
            </w:pPr>
          </w:p>
        </w:tc>
        <w:tc>
          <w:tcPr>
            <w:tcW w:w="446" w:type="dxa"/>
          </w:tcPr>
          <w:p w14:paraId="46454B47" w14:textId="77777777" w:rsidR="005970FA" w:rsidRPr="001D1F7D" w:rsidRDefault="005970FA" w:rsidP="005970FA">
            <w:pPr>
              <w:rPr>
                <w:sz w:val="16"/>
                <w:szCs w:val="16"/>
              </w:rPr>
            </w:pPr>
          </w:p>
        </w:tc>
        <w:tc>
          <w:tcPr>
            <w:tcW w:w="446" w:type="dxa"/>
            <w:shd w:val="clear" w:color="auto" w:fill="auto"/>
          </w:tcPr>
          <w:p w14:paraId="6B65CC24" w14:textId="77777777" w:rsidR="005970FA" w:rsidRPr="001D1F7D" w:rsidRDefault="005970FA" w:rsidP="005970FA">
            <w:pPr>
              <w:rPr>
                <w:sz w:val="16"/>
                <w:szCs w:val="16"/>
              </w:rPr>
            </w:pPr>
          </w:p>
        </w:tc>
        <w:tc>
          <w:tcPr>
            <w:tcW w:w="446" w:type="dxa"/>
            <w:shd w:val="clear" w:color="auto" w:fill="F1B249" w:themeFill="accent4"/>
          </w:tcPr>
          <w:p w14:paraId="3B5580C2" w14:textId="77777777" w:rsidR="005970FA" w:rsidRPr="001D1F7D" w:rsidRDefault="005970FA" w:rsidP="005970FA">
            <w:pPr>
              <w:rPr>
                <w:sz w:val="16"/>
                <w:szCs w:val="16"/>
              </w:rPr>
            </w:pPr>
          </w:p>
        </w:tc>
        <w:tc>
          <w:tcPr>
            <w:tcW w:w="446" w:type="dxa"/>
            <w:shd w:val="clear" w:color="auto" w:fill="auto"/>
          </w:tcPr>
          <w:p w14:paraId="5A3959BB" w14:textId="77777777" w:rsidR="005970FA" w:rsidRPr="001D1F7D" w:rsidRDefault="005970FA" w:rsidP="005970FA">
            <w:pPr>
              <w:rPr>
                <w:sz w:val="16"/>
                <w:szCs w:val="16"/>
              </w:rPr>
            </w:pPr>
          </w:p>
        </w:tc>
        <w:tc>
          <w:tcPr>
            <w:tcW w:w="446" w:type="dxa"/>
          </w:tcPr>
          <w:p w14:paraId="6534512B" w14:textId="77777777" w:rsidR="005970FA" w:rsidRPr="001D1F7D" w:rsidRDefault="005970FA" w:rsidP="005970FA">
            <w:pPr>
              <w:rPr>
                <w:sz w:val="16"/>
                <w:szCs w:val="16"/>
              </w:rPr>
            </w:pPr>
          </w:p>
        </w:tc>
        <w:tc>
          <w:tcPr>
            <w:tcW w:w="446" w:type="dxa"/>
          </w:tcPr>
          <w:p w14:paraId="231AD097" w14:textId="77777777" w:rsidR="005970FA" w:rsidRPr="001D1F7D" w:rsidRDefault="005970FA" w:rsidP="005970FA">
            <w:pPr>
              <w:rPr>
                <w:sz w:val="16"/>
                <w:szCs w:val="16"/>
              </w:rPr>
            </w:pPr>
          </w:p>
        </w:tc>
        <w:tc>
          <w:tcPr>
            <w:tcW w:w="446" w:type="dxa"/>
          </w:tcPr>
          <w:p w14:paraId="56C0EEE5" w14:textId="77777777" w:rsidR="005970FA" w:rsidRPr="001D1F7D" w:rsidRDefault="005970FA" w:rsidP="005970FA">
            <w:pPr>
              <w:rPr>
                <w:sz w:val="16"/>
                <w:szCs w:val="16"/>
              </w:rPr>
            </w:pPr>
          </w:p>
        </w:tc>
        <w:tc>
          <w:tcPr>
            <w:tcW w:w="446" w:type="dxa"/>
          </w:tcPr>
          <w:p w14:paraId="4299B051" w14:textId="77777777" w:rsidR="005970FA" w:rsidRPr="001D1F7D" w:rsidRDefault="005970FA" w:rsidP="005970FA">
            <w:pPr>
              <w:rPr>
                <w:sz w:val="16"/>
                <w:szCs w:val="16"/>
              </w:rPr>
            </w:pPr>
          </w:p>
        </w:tc>
        <w:tc>
          <w:tcPr>
            <w:tcW w:w="446" w:type="dxa"/>
          </w:tcPr>
          <w:p w14:paraId="1D0DE733" w14:textId="77777777" w:rsidR="005970FA" w:rsidRPr="001D1F7D" w:rsidRDefault="005970FA" w:rsidP="005970FA">
            <w:pPr>
              <w:rPr>
                <w:sz w:val="16"/>
                <w:szCs w:val="16"/>
              </w:rPr>
            </w:pPr>
          </w:p>
        </w:tc>
        <w:tc>
          <w:tcPr>
            <w:tcW w:w="446" w:type="dxa"/>
          </w:tcPr>
          <w:p w14:paraId="5A97809F" w14:textId="77777777" w:rsidR="005970FA" w:rsidRPr="001D1F7D" w:rsidRDefault="005970FA" w:rsidP="005970FA">
            <w:pPr>
              <w:rPr>
                <w:sz w:val="16"/>
                <w:szCs w:val="16"/>
              </w:rPr>
            </w:pPr>
          </w:p>
        </w:tc>
        <w:tc>
          <w:tcPr>
            <w:tcW w:w="446" w:type="dxa"/>
          </w:tcPr>
          <w:p w14:paraId="396B45DA" w14:textId="05B06175" w:rsidR="005970FA" w:rsidRPr="001D1F7D" w:rsidRDefault="005970FA" w:rsidP="005970FA">
            <w:pPr>
              <w:rPr>
                <w:sz w:val="16"/>
                <w:szCs w:val="16"/>
              </w:rPr>
            </w:pPr>
          </w:p>
        </w:tc>
        <w:tc>
          <w:tcPr>
            <w:tcW w:w="446" w:type="dxa"/>
          </w:tcPr>
          <w:p w14:paraId="63638A1E" w14:textId="77777777" w:rsidR="005970FA" w:rsidRPr="001D1F7D" w:rsidRDefault="005970FA" w:rsidP="005970FA">
            <w:pPr>
              <w:rPr>
                <w:sz w:val="16"/>
                <w:szCs w:val="16"/>
              </w:rPr>
            </w:pPr>
          </w:p>
        </w:tc>
        <w:tc>
          <w:tcPr>
            <w:tcW w:w="446" w:type="dxa"/>
          </w:tcPr>
          <w:p w14:paraId="7CB69D80" w14:textId="77777777" w:rsidR="005970FA" w:rsidRPr="001D1F7D" w:rsidRDefault="005970FA" w:rsidP="005970FA">
            <w:pPr>
              <w:rPr>
                <w:sz w:val="16"/>
                <w:szCs w:val="16"/>
              </w:rPr>
            </w:pPr>
          </w:p>
        </w:tc>
        <w:tc>
          <w:tcPr>
            <w:tcW w:w="446" w:type="dxa"/>
          </w:tcPr>
          <w:p w14:paraId="04C53A54" w14:textId="77777777" w:rsidR="005970FA" w:rsidRPr="001D1F7D" w:rsidRDefault="005970FA" w:rsidP="005970FA">
            <w:pPr>
              <w:rPr>
                <w:sz w:val="16"/>
                <w:szCs w:val="16"/>
              </w:rPr>
            </w:pPr>
          </w:p>
        </w:tc>
        <w:tc>
          <w:tcPr>
            <w:tcW w:w="446" w:type="dxa"/>
          </w:tcPr>
          <w:p w14:paraId="1D5B61B0" w14:textId="77777777" w:rsidR="005970FA" w:rsidRPr="001D1F7D" w:rsidRDefault="005970FA" w:rsidP="005970FA">
            <w:pPr>
              <w:rPr>
                <w:sz w:val="16"/>
                <w:szCs w:val="16"/>
              </w:rPr>
            </w:pPr>
          </w:p>
        </w:tc>
        <w:tc>
          <w:tcPr>
            <w:tcW w:w="446" w:type="dxa"/>
          </w:tcPr>
          <w:p w14:paraId="55BF671E" w14:textId="77777777" w:rsidR="005970FA" w:rsidRPr="001D1F7D" w:rsidRDefault="005970FA" w:rsidP="005970FA">
            <w:pPr>
              <w:rPr>
                <w:sz w:val="16"/>
                <w:szCs w:val="16"/>
              </w:rPr>
            </w:pPr>
          </w:p>
        </w:tc>
        <w:tc>
          <w:tcPr>
            <w:tcW w:w="446" w:type="dxa"/>
          </w:tcPr>
          <w:p w14:paraId="2AE3BCFF" w14:textId="77777777" w:rsidR="005970FA" w:rsidRPr="001D1F7D" w:rsidRDefault="005970FA" w:rsidP="005970FA">
            <w:pPr>
              <w:rPr>
                <w:sz w:val="16"/>
                <w:szCs w:val="16"/>
              </w:rPr>
            </w:pPr>
          </w:p>
        </w:tc>
        <w:tc>
          <w:tcPr>
            <w:tcW w:w="446" w:type="dxa"/>
          </w:tcPr>
          <w:p w14:paraId="7DD646F8" w14:textId="77777777" w:rsidR="005970FA" w:rsidRPr="001D1F7D" w:rsidRDefault="005970FA" w:rsidP="005970FA">
            <w:pPr>
              <w:rPr>
                <w:sz w:val="16"/>
                <w:szCs w:val="16"/>
              </w:rPr>
            </w:pPr>
          </w:p>
        </w:tc>
      </w:tr>
      <w:tr w:rsidR="005970FA" w:rsidRPr="001D1F7D" w14:paraId="684EADF9" w14:textId="77777777" w:rsidTr="005970FA">
        <w:tc>
          <w:tcPr>
            <w:tcW w:w="1236" w:type="dxa"/>
          </w:tcPr>
          <w:p w14:paraId="6402AB98" w14:textId="3140F1EF" w:rsidR="005970FA" w:rsidRPr="001D1F7D" w:rsidRDefault="005970FA" w:rsidP="005970FA">
            <w:pPr>
              <w:rPr>
                <w:sz w:val="16"/>
                <w:szCs w:val="16"/>
              </w:rPr>
            </w:pPr>
            <w:r w:rsidRPr="001D1F7D">
              <w:rPr>
                <w:sz w:val="16"/>
                <w:szCs w:val="16"/>
              </w:rPr>
              <w:t>Revision due to COVID-19</w:t>
            </w:r>
          </w:p>
        </w:tc>
        <w:tc>
          <w:tcPr>
            <w:tcW w:w="447" w:type="dxa"/>
          </w:tcPr>
          <w:p w14:paraId="2B3A8B0C" w14:textId="77777777" w:rsidR="005970FA" w:rsidRPr="001D1F7D" w:rsidRDefault="005970FA" w:rsidP="005970FA">
            <w:pPr>
              <w:rPr>
                <w:sz w:val="16"/>
                <w:szCs w:val="16"/>
              </w:rPr>
            </w:pPr>
          </w:p>
        </w:tc>
        <w:tc>
          <w:tcPr>
            <w:tcW w:w="447" w:type="dxa"/>
          </w:tcPr>
          <w:p w14:paraId="7FF5178F" w14:textId="77777777" w:rsidR="005970FA" w:rsidRPr="001D1F7D" w:rsidRDefault="005970FA" w:rsidP="005970FA">
            <w:pPr>
              <w:rPr>
                <w:sz w:val="16"/>
                <w:szCs w:val="16"/>
              </w:rPr>
            </w:pPr>
          </w:p>
        </w:tc>
        <w:tc>
          <w:tcPr>
            <w:tcW w:w="446" w:type="dxa"/>
            <w:shd w:val="clear" w:color="auto" w:fill="auto"/>
          </w:tcPr>
          <w:p w14:paraId="7895BEBC" w14:textId="77777777" w:rsidR="005970FA" w:rsidRPr="001D1F7D" w:rsidRDefault="005970FA" w:rsidP="005970FA">
            <w:pPr>
              <w:jc w:val="center"/>
              <w:rPr>
                <w:sz w:val="16"/>
                <w:szCs w:val="16"/>
              </w:rPr>
            </w:pPr>
          </w:p>
        </w:tc>
        <w:tc>
          <w:tcPr>
            <w:tcW w:w="446" w:type="dxa"/>
            <w:shd w:val="clear" w:color="auto" w:fill="auto"/>
            <w:vAlign w:val="center"/>
          </w:tcPr>
          <w:p w14:paraId="23C320D1" w14:textId="77777777" w:rsidR="005970FA" w:rsidRPr="001D1F7D" w:rsidRDefault="005970FA" w:rsidP="005970FA">
            <w:pPr>
              <w:jc w:val="center"/>
              <w:rPr>
                <w:sz w:val="16"/>
                <w:szCs w:val="16"/>
              </w:rPr>
            </w:pPr>
          </w:p>
        </w:tc>
        <w:tc>
          <w:tcPr>
            <w:tcW w:w="446" w:type="dxa"/>
            <w:shd w:val="clear" w:color="auto" w:fill="auto"/>
            <w:vAlign w:val="center"/>
          </w:tcPr>
          <w:p w14:paraId="0FCEC8C5" w14:textId="77777777" w:rsidR="005970FA" w:rsidRPr="001D1F7D" w:rsidRDefault="005970FA" w:rsidP="005970FA">
            <w:pPr>
              <w:rPr>
                <w:sz w:val="16"/>
                <w:szCs w:val="16"/>
              </w:rPr>
            </w:pPr>
          </w:p>
        </w:tc>
        <w:tc>
          <w:tcPr>
            <w:tcW w:w="446" w:type="dxa"/>
            <w:shd w:val="clear" w:color="auto" w:fill="auto"/>
            <w:vAlign w:val="center"/>
          </w:tcPr>
          <w:p w14:paraId="0AF8F50D" w14:textId="77777777" w:rsidR="005970FA" w:rsidRPr="001D1F7D" w:rsidRDefault="005970FA" w:rsidP="005970FA">
            <w:pPr>
              <w:rPr>
                <w:sz w:val="16"/>
                <w:szCs w:val="16"/>
              </w:rPr>
            </w:pPr>
          </w:p>
        </w:tc>
        <w:tc>
          <w:tcPr>
            <w:tcW w:w="446" w:type="dxa"/>
            <w:shd w:val="clear" w:color="auto" w:fill="auto"/>
            <w:vAlign w:val="center"/>
          </w:tcPr>
          <w:p w14:paraId="0BDDB224" w14:textId="77777777" w:rsidR="005970FA" w:rsidRPr="001D1F7D" w:rsidRDefault="005970FA" w:rsidP="005970FA">
            <w:pPr>
              <w:rPr>
                <w:sz w:val="16"/>
                <w:szCs w:val="16"/>
              </w:rPr>
            </w:pPr>
          </w:p>
        </w:tc>
        <w:tc>
          <w:tcPr>
            <w:tcW w:w="446" w:type="dxa"/>
            <w:shd w:val="clear" w:color="auto" w:fill="F1B249" w:themeFill="accent4"/>
            <w:vAlign w:val="center"/>
          </w:tcPr>
          <w:p w14:paraId="5307CE51" w14:textId="77777777" w:rsidR="005970FA" w:rsidRPr="001D1F7D" w:rsidRDefault="005970FA" w:rsidP="005970FA">
            <w:pPr>
              <w:rPr>
                <w:sz w:val="16"/>
                <w:szCs w:val="16"/>
              </w:rPr>
            </w:pPr>
          </w:p>
        </w:tc>
        <w:tc>
          <w:tcPr>
            <w:tcW w:w="446" w:type="dxa"/>
            <w:tcBorders>
              <w:bottom w:val="single" w:sz="4" w:space="0" w:color="auto"/>
            </w:tcBorders>
            <w:shd w:val="clear" w:color="auto" w:fill="auto"/>
          </w:tcPr>
          <w:p w14:paraId="6D82DEF3" w14:textId="77777777" w:rsidR="005970FA" w:rsidRPr="001D1F7D" w:rsidRDefault="005970FA" w:rsidP="005970FA">
            <w:pPr>
              <w:rPr>
                <w:sz w:val="16"/>
                <w:szCs w:val="16"/>
              </w:rPr>
            </w:pPr>
          </w:p>
        </w:tc>
        <w:tc>
          <w:tcPr>
            <w:tcW w:w="446" w:type="dxa"/>
            <w:tcBorders>
              <w:bottom w:val="single" w:sz="4" w:space="0" w:color="auto"/>
            </w:tcBorders>
            <w:shd w:val="clear" w:color="auto" w:fill="auto"/>
          </w:tcPr>
          <w:p w14:paraId="50B01533" w14:textId="77777777" w:rsidR="005970FA" w:rsidRPr="001D1F7D" w:rsidRDefault="005970FA" w:rsidP="005970FA">
            <w:pPr>
              <w:rPr>
                <w:sz w:val="16"/>
                <w:szCs w:val="16"/>
              </w:rPr>
            </w:pPr>
          </w:p>
        </w:tc>
        <w:tc>
          <w:tcPr>
            <w:tcW w:w="446" w:type="dxa"/>
          </w:tcPr>
          <w:p w14:paraId="0E2A2836" w14:textId="77777777" w:rsidR="005970FA" w:rsidRPr="001D1F7D" w:rsidRDefault="005970FA" w:rsidP="005970FA">
            <w:pPr>
              <w:rPr>
                <w:sz w:val="16"/>
                <w:szCs w:val="16"/>
              </w:rPr>
            </w:pPr>
          </w:p>
        </w:tc>
        <w:tc>
          <w:tcPr>
            <w:tcW w:w="446" w:type="dxa"/>
          </w:tcPr>
          <w:p w14:paraId="02555B90" w14:textId="77777777" w:rsidR="005970FA" w:rsidRPr="001D1F7D" w:rsidRDefault="005970FA" w:rsidP="005970FA">
            <w:pPr>
              <w:rPr>
                <w:sz w:val="16"/>
                <w:szCs w:val="16"/>
              </w:rPr>
            </w:pPr>
          </w:p>
        </w:tc>
        <w:tc>
          <w:tcPr>
            <w:tcW w:w="446" w:type="dxa"/>
          </w:tcPr>
          <w:p w14:paraId="1FA662C7" w14:textId="77777777" w:rsidR="005970FA" w:rsidRPr="001D1F7D" w:rsidRDefault="005970FA" w:rsidP="005970FA">
            <w:pPr>
              <w:rPr>
                <w:sz w:val="16"/>
                <w:szCs w:val="16"/>
              </w:rPr>
            </w:pPr>
          </w:p>
        </w:tc>
        <w:tc>
          <w:tcPr>
            <w:tcW w:w="446" w:type="dxa"/>
          </w:tcPr>
          <w:p w14:paraId="4D28405D" w14:textId="77777777" w:rsidR="005970FA" w:rsidRPr="001D1F7D" w:rsidRDefault="005970FA" w:rsidP="005970FA">
            <w:pPr>
              <w:rPr>
                <w:sz w:val="16"/>
                <w:szCs w:val="16"/>
              </w:rPr>
            </w:pPr>
          </w:p>
        </w:tc>
        <w:tc>
          <w:tcPr>
            <w:tcW w:w="446" w:type="dxa"/>
          </w:tcPr>
          <w:p w14:paraId="1C3A18FD" w14:textId="77777777" w:rsidR="005970FA" w:rsidRPr="001D1F7D" w:rsidRDefault="005970FA" w:rsidP="005970FA">
            <w:pPr>
              <w:rPr>
                <w:sz w:val="16"/>
                <w:szCs w:val="16"/>
              </w:rPr>
            </w:pPr>
          </w:p>
        </w:tc>
        <w:tc>
          <w:tcPr>
            <w:tcW w:w="446" w:type="dxa"/>
          </w:tcPr>
          <w:p w14:paraId="7BDD5648" w14:textId="77777777" w:rsidR="005970FA" w:rsidRPr="001D1F7D" w:rsidRDefault="005970FA" w:rsidP="005970FA">
            <w:pPr>
              <w:rPr>
                <w:sz w:val="16"/>
                <w:szCs w:val="16"/>
              </w:rPr>
            </w:pPr>
          </w:p>
        </w:tc>
        <w:tc>
          <w:tcPr>
            <w:tcW w:w="446" w:type="dxa"/>
          </w:tcPr>
          <w:p w14:paraId="75440715" w14:textId="77777777" w:rsidR="005970FA" w:rsidRPr="001D1F7D" w:rsidRDefault="005970FA" w:rsidP="005970FA">
            <w:pPr>
              <w:rPr>
                <w:sz w:val="16"/>
                <w:szCs w:val="16"/>
              </w:rPr>
            </w:pPr>
          </w:p>
        </w:tc>
        <w:tc>
          <w:tcPr>
            <w:tcW w:w="446" w:type="dxa"/>
          </w:tcPr>
          <w:p w14:paraId="4DD0A54B" w14:textId="77777777" w:rsidR="005970FA" w:rsidRPr="001D1F7D" w:rsidRDefault="005970FA" w:rsidP="005970FA">
            <w:pPr>
              <w:rPr>
                <w:sz w:val="16"/>
                <w:szCs w:val="16"/>
              </w:rPr>
            </w:pPr>
          </w:p>
        </w:tc>
        <w:tc>
          <w:tcPr>
            <w:tcW w:w="446" w:type="dxa"/>
          </w:tcPr>
          <w:p w14:paraId="5862010A" w14:textId="77777777" w:rsidR="005970FA" w:rsidRPr="001D1F7D" w:rsidRDefault="005970FA" w:rsidP="005970FA">
            <w:pPr>
              <w:rPr>
                <w:sz w:val="16"/>
                <w:szCs w:val="16"/>
              </w:rPr>
            </w:pPr>
          </w:p>
        </w:tc>
        <w:tc>
          <w:tcPr>
            <w:tcW w:w="446" w:type="dxa"/>
          </w:tcPr>
          <w:p w14:paraId="42CED1D2" w14:textId="77777777" w:rsidR="005970FA" w:rsidRPr="001D1F7D" w:rsidRDefault="005970FA" w:rsidP="005970FA">
            <w:pPr>
              <w:rPr>
                <w:sz w:val="16"/>
                <w:szCs w:val="16"/>
              </w:rPr>
            </w:pPr>
          </w:p>
        </w:tc>
        <w:tc>
          <w:tcPr>
            <w:tcW w:w="446" w:type="dxa"/>
          </w:tcPr>
          <w:p w14:paraId="1354426E" w14:textId="77777777" w:rsidR="005970FA" w:rsidRPr="001D1F7D" w:rsidRDefault="005970FA" w:rsidP="005970FA">
            <w:pPr>
              <w:rPr>
                <w:sz w:val="16"/>
                <w:szCs w:val="16"/>
              </w:rPr>
            </w:pPr>
          </w:p>
        </w:tc>
        <w:tc>
          <w:tcPr>
            <w:tcW w:w="446" w:type="dxa"/>
          </w:tcPr>
          <w:p w14:paraId="228520F9" w14:textId="77777777" w:rsidR="005970FA" w:rsidRPr="001D1F7D" w:rsidRDefault="005970FA" w:rsidP="005970FA">
            <w:pPr>
              <w:rPr>
                <w:sz w:val="16"/>
                <w:szCs w:val="16"/>
              </w:rPr>
            </w:pPr>
          </w:p>
        </w:tc>
      </w:tr>
      <w:tr w:rsidR="005970FA" w:rsidRPr="001D1F7D" w14:paraId="509A446D" w14:textId="77777777" w:rsidTr="005970FA">
        <w:tc>
          <w:tcPr>
            <w:tcW w:w="1236" w:type="dxa"/>
          </w:tcPr>
          <w:p w14:paraId="2D75082B" w14:textId="140B3E06" w:rsidR="005970FA" w:rsidRPr="001D1F7D" w:rsidRDefault="005970FA" w:rsidP="005970FA">
            <w:pPr>
              <w:rPr>
                <w:sz w:val="16"/>
                <w:szCs w:val="16"/>
              </w:rPr>
            </w:pPr>
            <w:r w:rsidRPr="001D1F7D">
              <w:rPr>
                <w:sz w:val="16"/>
                <w:szCs w:val="16"/>
              </w:rPr>
              <w:t xml:space="preserve">Remote data collection </w:t>
            </w:r>
          </w:p>
        </w:tc>
        <w:tc>
          <w:tcPr>
            <w:tcW w:w="447" w:type="dxa"/>
          </w:tcPr>
          <w:p w14:paraId="420E0944" w14:textId="77777777" w:rsidR="005970FA" w:rsidRPr="001D1F7D" w:rsidRDefault="005970FA" w:rsidP="005970FA">
            <w:pPr>
              <w:rPr>
                <w:sz w:val="16"/>
                <w:szCs w:val="16"/>
              </w:rPr>
            </w:pPr>
          </w:p>
        </w:tc>
        <w:tc>
          <w:tcPr>
            <w:tcW w:w="447" w:type="dxa"/>
          </w:tcPr>
          <w:p w14:paraId="2F8642BB" w14:textId="77777777" w:rsidR="005970FA" w:rsidRPr="001D1F7D" w:rsidRDefault="005970FA" w:rsidP="005970FA">
            <w:pPr>
              <w:rPr>
                <w:sz w:val="16"/>
                <w:szCs w:val="16"/>
              </w:rPr>
            </w:pPr>
          </w:p>
        </w:tc>
        <w:tc>
          <w:tcPr>
            <w:tcW w:w="446" w:type="dxa"/>
            <w:shd w:val="clear" w:color="auto" w:fill="auto"/>
          </w:tcPr>
          <w:p w14:paraId="4CBACF48" w14:textId="77777777" w:rsidR="005970FA" w:rsidRPr="001D1F7D" w:rsidRDefault="005970FA" w:rsidP="005970FA">
            <w:pPr>
              <w:jc w:val="center"/>
              <w:rPr>
                <w:sz w:val="16"/>
                <w:szCs w:val="16"/>
              </w:rPr>
            </w:pPr>
          </w:p>
        </w:tc>
        <w:tc>
          <w:tcPr>
            <w:tcW w:w="446" w:type="dxa"/>
            <w:shd w:val="clear" w:color="auto" w:fill="auto"/>
            <w:vAlign w:val="center"/>
          </w:tcPr>
          <w:p w14:paraId="35AEE4B5" w14:textId="77777777" w:rsidR="005970FA" w:rsidRPr="001D1F7D" w:rsidRDefault="005970FA" w:rsidP="005970FA">
            <w:pPr>
              <w:jc w:val="center"/>
              <w:rPr>
                <w:sz w:val="16"/>
                <w:szCs w:val="16"/>
              </w:rPr>
            </w:pPr>
          </w:p>
        </w:tc>
        <w:tc>
          <w:tcPr>
            <w:tcW w:w="446" w:type="dxa"/>
            <w:shd w:val="clear" w:color="auto" w:fill="auto"/>
            <w:vAlign w:val="center"/>
          </w:tcPr>
          <w:p w14:paraId="1188CEA5" w14:textId="77777777" w:rsidR="005970FA" w:rsidRPr="001D1F7D" w:rsidRDefault="005970FA" w:rsidP="005970FA">
            <w:pPr>
              <w:rPr>
                <w:sz w:val="16"/>
                <w:szCs w:val="16"/>
              </w:rPr>
            </w:pPr>
          </w:p>
        </w:tc>
        <w:tc>
          <w:tcPr>
            <w:tcW w:w="446" w:type="dxa"/>
            <w:shd w:val="clear" w:color="auto" w:fill="auto"/>
            <w:vAlign w:val="center"/>
          </w:tcPr>
          <w:p w14:paraId="486C5014" w14:textId="77777777" w:rsidR="005970FA" w:rsidRPr="001D1F7D" w:rsidRDefault="005970FA" w:rsidP="005970FA">
            <w:pPr>
              <w:rPr>
                <w:sz w:val="16"/>
                <w:szCs w:val="16"/>
              </w:rPr>
            </w:pPr>
          </w:p>
        </w:tc>
        <w:tc>
          <w:tcPr>
            <w:tcW w:w="446" w:type="dxa"/>
            <w:shd w:val="clear" w:color="auto" w:fill="auto"/>
            <w:vAlign w:val="center"/>
          </w:tcPr>
          <w:p w14:paraId="7E48FBAF" w14:textId="77777777" w:rsidR="005970FA" w:rsidRPr="001D1F7D" w:rsidRDefault="005970FA" w:rsidP="005970FA">
            <w:pPr>
              <w:rPr>
                <w:sz w:val="16"/>
                <w:szCs w:val="16"/>
              </w:rPr>
            </w:pPr>
          </w:p>
        </w:tc>
        <w:tc>
          <w:tcPr>
            <w:tcW w:w="446" w:type="dxa"/>
            <w:shd w:val="thinReverseDiagStripe" w:color="auto" w:fill="F1B249" w:themeFill="accent4"/>
            <w:vAlign w:val="center"/>
          </w:tcPr>
          <w:p w14:paraId="50EC6268" w14:textId="77777777" w:rsidR="005970FA" w:rsidRPr="001D1F7D" w:rsidRDefault="005970FA" w:rsidP="005970FA">
            <w:pPr>
              <w:jc w:val="center"/>
              <w:rPr>
                <w:sz w:val="16"/>
                <w:szCs w:val="16"/>
              </w:rPr>
            </w:pPr>
            <w:r w:rsidRPr="001D1F7D">
              <w:rPr>
                <w:sz w:val="16"/>
                <w:szCs w:val="16"/>
              </w:rPr>
              <w:t>2</w:t>
            </w:r>
          </w:p>
        </w:tc>
        <w:tc>
          <w:tcPr>
            <w:tcW w:w="446" w:type="dxa"/>
            <w:shd w:val="thinReverseDiagStripe" w:color="auto" w:fill="F1B249" w:themeFill="accent4"/>
            <w:vAlign w:val="center"/>
          </w:tcPr>
          <w:p w14:paraId="178816F6" w14:textId="77777777" w:rsidR="005970FA" w:rsidRPr="001D1F7D" w:rsidRDefault="005970FA" w:rsidP="005970FA">
            <w:pPr>
              <w:jc w:val="center"/>
              <w:rPr>
                <w:sz w:val="16"/>
                <w:szCs w:val="16"/>
              </w:rPr>
            </w:pPr>
            <w:r w:rsidRPr="001D1F7D">
              <w:rPr>
                <w:sz w:val="16"/>
                <w:szCs w:val="16"/>
              </w:rPr>
              <w:t>2</w:t>
            </w:r>
          </w:p>
        </w:tc>
        <w:tc>
          <w:tcPr>
            <w:tcW w:w="446" w:type="dxa"/>
            <w:shd w:val="thinReverseDiagStripe" w:color="auto" w:fill="F1B249" w:themeFill="accent4"/>
            <w:vAlign w:val="center"/>
          </w:tcPr>
          <w:p w14:paraId="5AE5936A" w14:textId="77777777" w:rsidR="005970FA" w:rsidRPr="001D1F7D" w:rsidRDefault="005970FA" w:rsidP="005970FA">
            <w:pPr>
              <w:jc w:val="center"/>
              <w:rPr>
                <w:sz w:val="16"/>
                <w:szCs w:val="16"/>
              </w:rPr>
            </w:pPr>
            <w:r w:rsidRPr="001D1F7D">
              <w:rPr>
                <w:sz w:val="16"/>
                <w:szCs w:val="16"/>
              </w:rPr>
              <w:t>2</w:t>
            </w:r>
          </w:p>
        </w:tc>
        <w:tc>
          <w:tcPr>
            <w:tcW w:w="446" w:type="dxa"/>
          </w:tcPr>
          <w:p w14:paraId="34551E41" w14:textId="77777777" w:rsidR="005970FA" w:rsidRPr="001D1F7D" w:rsidRDefault="005970FA" w:rsidP="005970FA">
            <w:pPr>
              <w:rPr>
                <w:sz w:val="16"/>
                <w:szCs w:val="16"/>
              </w:rPr>
            </w:pPr>
          </w:p>
        </w:tc>
        <w:tc>
          <w:tcPr>
            <w:tcW w:w="446" w:type="dxa"/>
          </w:tcPr>
          <w:p w14:paraId="407667CC" w14:textId="77777777" w:rsidR="005970FA" w:rsidRPr="001D1F7D" w:rsidRDefault="005970FA" w:rsidP="005970FA">
            <w:pPr>
              <w:rPr>
                <w:sz w:val="16"/>
                <w:szCs w:val="16"/>
              </w:rPr>
            </w:pPr>
          </w:p>
        </w:tc>
        <w:tc>
          <w:tcPr>
            <w:tcW w:w="446" w:type="dxa"/>
          </w:tcPr>
          <w:p w14:paraId="1978E231" w14:textId="77777777" w:rsidR="005970FA" w:rsidRPr="001D1F7D" w:rsidRDefault="005970FA" w:rsidP="005970FA">
            <w:pPr>
              <w:rPr>
                <w:sz w:val="16"/>
                <w:szCs w:val="16"/>
              </w:rPr>
            </w:pPr>
          </w:p>
        </w:tc>
        <w:tc>
          <w:tcPr>
            <w:tcW w:w="446" w:type="dxa"/>
          </w:tcPr>
          <w:p w14:paraId="4D8A268D" w14:textId="77777777" w:rsidR="005970FA" w:rsidRPr="001D1F7D" w:rsidRDefault="005970FA" w:rsidP="005970FA">
            <w:pPr>
              <w:rPr>
                <w:sz w:val="16"/>
                <w:szCs w:val="16"/>
              </w:rPr>
            </w:pPr>
          </w:p>
        </w:tc>
        <w:tc>
          <w:tcPr>
            <w:tcW w:w="446" w:type="dxa"/>
          </w:tcPr>
          <w:p w14:paraId="47F5C444" w14:textId="77777777" w:rsidR="005970FA" w:rsidRPr="001D1F7D" w:rsidRDefault="005970FA" w:rsidP="005970FA">
            <w:pPr>
              <w:rPr>
                <w:sz w:val="16"/>
                <w:szCs w:val="16"/>
              </w:rPr>
            </w:pPr>
          </w:p>
        </w:tc>
        <w:tc>
          <w:tcPr>
            <w:tcW w:w="446" w:type="dxa"/>
          </w:tcPr>
          <w:p w14:paraId="3A7744C3" w14:textId="77777777" w:rsidR="005970FA" w:rsidRPr="001D1F7D" w:rsidRDefault="005970FA" w:rsidP="005970FA">
            <w:pPr>
              <w:rPr>
                <w:sz w:val="16"/>
                <w:szCs w:val="16"/>
              </w:rPr>
            </w:pPr>
          </w:p>
        </w:tc>
        <w:tc>
          <w:tcPr>
            <w:tcW w:w="446" w:type="dxa"/>
          </w:tcPr>
          <w:p w14:paraId="0C95C170" w14:textId="77777777" w:rsidR="005970FA" w:rsidRPr="001D1F7D" w:rsidRDefault="005970FA" w:rsidP="005970FA">
            <w:pPr>
              <w:rPr>
                <w:sz w:val="16"/>
                <w:szCs w:val="16"/>
              </w:rPr>
            </w:pPr>
          </w:p>
        </w:tc>
        <w:tc>
          <w:tcPr>
            <w:tcW w:w="446" w:type="dxa"/>
          </w:tcPr>
          <w:p w14:paraId="682A9BEF" w14:textId="77777777" w:rsidR="005970FA" w:rsidRPr="001D1F7D" w:rsidRDefault="005970FA" w:rsidP="005970FA">
            <w:pPr>
              <w:rPr>
                <w:sz w:val="16"/>
                <w:szCs w:val="16"/>
              </w:rPr>
            </w:pPr>
          </w:p>
        </w:tc>
        <w:tc>
          <w:tcPr>
            <w:tcW w:w="446" w:type="dxa"/>
          </w:tcPr>
          <w:p w14:paraId="45AD0D25" w14:textId="77777777" w:rsidR="005970FA" w:rsidRPr="001D1F7D" w:rsidRDefault="005970FA" w:rsidP="005970FA">
            <w:pPr>
              <w:rPr>
                <w:sz w:val="16"/>
                <w:szCs w:val="16"/>
              </w:rPr>
            </w:pPr>
          </w:p>
        </w:tc>
        <w:tc>
          <w:tcPr>
            <w:tcW w:w="446" w:type="dxa"/>
          </w:tcPr>
          <w:p w14:paraId="1ADE1ECF" w14:textId="77777777" w:rsidR="005970FA" w:rsidRPr="001D1F7D" w:rsidRDefault="005970FA" w:rsidP="005970FA">
            <w:pPr>
              <w:rPr>
                <w:sz w:val="16"/>
                <w:szCs w:val="16"/>
              </w:rPr>
            </w:pPr>
          </w:p>
        </w:tc>
        <w:tc>
          <w:tcPr>
            <w:tcW w:w="446" w:type="dxa"/>
          </w:tcPr>
          <w:p w14:paraId="5650A0EC" w14:textId="77777777" w:rsidR="005970FA" w:rsidRPr="001D1F7D" w:rsidRDefault="005970FA" w:rsidP="005970FA">
            <w:pPr>
              <w:rPr>
                <w:sz w:val="16"/>
                <w:szCs w:val="16"/>
              </w:rPr>
            </w:pPr>
          </w:p>
        </w:tc>
        <w:tc>
          <w:tcPr>
            <w:tcW w:w="446" w:type="dxa"/>
          </w:tcPr>
          <w:p w14:paraId="6E3A60A3" w14:textId="77777777" w:rsidR="005970FA" w:rsidRPr="001D1F7D" w:rsidRDefault="005970FA" w:rsidP="005970FA">
            <w:pPr>
              <w:rPr>
                <w:sz w:val="16"/>
                <w:szCs w:val="16"/>
              </w:rPr>
            </w:pPr>
          </w:p>
        </w:tc>
      </w:tr>
      <w:tr w:rsidR="005970FA" w:rsidRPr="001D1F7D" w14:paraId="7FD547BA" w14:textId="77777777" w:rsidTr="005970FA">
        <w:tc>
          <w:tcPr>
            <w:tcW w:w="1236" w:type="dxa"/>
          </w:tcPr>
          <w:p w14:paraId="493FE323" w14:textId="77777777" w:rsidR="005970FA" w:rsidRPr="001D1F7D" w:rsidRDefault="005970FA" w:rsidP="005970FA">
            <w:pPr>
              <w:rPr>
                <w:sz w:val="16"/>
                <w:szCs w:val="16"/>
              </w:rPr>
            </w:pPr>
            <w:r w:rsidRPr="001D1F7D">
              <w:rPr>
                <w:sz w:val="16"/>
                <w:szCs w:val="16"/>
              </w:rPr>
              <w:t>Analysis &amp; reporting</w:t>
            </w:r>
          </w:p>
        </w:tc>
        <w:tc>
          <w:tcPr>
            <w:tcW w:w="447" w:type="dxa"/>
          </w:tcPr>
          <w:p w14:paraId="563AEBFA" w14:textId="77777777" w:rsidR="005970FA" w:rsidRPr="001D1F7D" w:rsidRDefault="005970FA" w:rsidP="005970FA">
            <w:pPr>
              <w:rPr>
                <w:sz w:val="16"/>
                <w:szCs w:val="16"/>
              </w:rPr>
            </w:pPr>
          </w:p>
        </w:tc>
        <w:tc>
          <w:tcPr>
            <w:tcW w:w="447" w:type="dxa"/>
          </w:tcPr>
          <w:p w14:paraId="2D7BAFA9" w14:textId="77777777" w:rsidR="005970FA" w:rsidRPr="001D1F7D" w:rsidRDefault="005970FA" w:rsidP="005970FA">
            <w:pPr>
              <w:rPr>
                <w:sz w:val="16"/>
                <w:szCs w:val="16"/>
              </w:rPr>
            </w:pPr>
          </w:p>
        </w:tc>
        <w:tc>
          <w:tcPr>
            <w:tcW w:w="446" w:type="dxa"/>
          </w:tcPr>
          <w:p w14:paraId="7D0EB810" w14:textId="77777777" w:rsidR="005970FA" w:rsidRPr="001D1F7D" w:rsidRDefault="005970FA" w:rsidP="005970FA">
            <w:pPr>
              <w:rPr>
                <w:sz w:val="16"/>
                <w:szCs w:val="16"/>
              </w:rPr>
            </w:pPr>
          </w:p>
        </w:tc>
        <w:tc>
          <w:tcPr>
            <w:tcW w:w="446" w:type="dxa"/>
            <w:shd w:val="clear" w:color="auto" w:fill="auto"/>
          </w:tcPr>
          <w:p w14:paraId="38B83D91" w14:textId="77777777" w:rsidR="005970FA" w:rsidRPr="001D1F7D" w:rsidRDefault="005970FA" w:rsidP="005970FA">
            <w:pPr>
              <w:rPr>
                <w:sz w:val="16"/>
                <w:szCs w:val="16"/>
              </w:rPr>
            </w:pPr>
          </w:p>
        </w:tc>
        <w:tc>
          <w:tcPr>
            <w:tcW w:w="446" w:type="dxa"/>
            <w:shd w:val="clear" w:color="auto" w:fill="auto"/>
          </w:tcPr>
          <w:p w14:paraId="0F1EB1FB" w14:textId="77777777" w:rsidR="005970FA" w:rsidRPr="001D1F7D" w:rsidRDefault="005970FA" w:rsidP="005970FA">
            <w:pPr>
              <w:rPr>
                <w:sz w:val="16"/>
                <w:szCs w:val="16"/>
              </w:rPr>
            </w:pPr>
          </w:p>
        </w:tc>
        <w:tc>
          <w:tcPr>
            <w:tcW w:w="446" w:type="dxa"/>
          </w:tcPr>
          <w:p w14:paraId="279E968B" w14:textId="77777777" w:rsidR="005970FA" w:rsidRPr="001D1F7D" w:rsidRDefault="005970FA" w:rsidP="005970FA">
            <w:pPr>
              <w:rPr>
                <w:sz w:val="16"/>
                <w:szCs w:val="16"/>
              </w:rPr>
            </w:pPr>
          </w:p>
        </w:tc>
        <w:tc>
          <w:tcPr>
            <w:tcW w:w="446" w:type="dxa"/>
          </w:tcPr>
          <w:p w14:paraId="0A021A5B" w14:textId="77777777" w:rsidR="005970FA" w:rsidRPr="001D1F7D" w:rsidRDefault="005970FA" w:rsidP="005970FA">
            <w:pPr>
              <w:rPr>
                <w:sz w:val="16"/>
                <w:szCs w:val="16"/>
              </w:rPr>
            </w:pPr>
          </w:p>
        </w:tc>
        <w:tc>
          <w:tcPr>
            <w:tcW w:w="446" w:type="dxa"/>
          </w:tcPr>
          <w:p w14:paraId="0DB9CFF5" w14:textId="77777777" w:rsidR="005970FA" w:rsidRPr="001D1F7D" w:rsidRDefault="005970FA" w:rsidP="005970FA">
            <w:pPr>
              <w:rPr>
                <w:sz w:val="16"/>
                <w:szCs w:val="16"/>
              </w:rPr>
            </w:pPr>
          </w:p>
        </w:tc>
        <w:tc>
          <w:tcPr>
            <w:tcW w:w="446" w:type="dxa"/>
          </w:tcPr>
          <w:p w14:paraId="2C6B94A4" w14:textId="77777777" w:rsidR="005970FA" w:rsidRPr="001D1F7D" w:rsidRDefault="005970FA" w:rsidP="005970FA">
            <w:pPr>
              <w:rPr>
                <w:sz w:val="16"/>
                <w:szCs w:val="16"/>
              </w:rPr>
            </w:pPr>
          </w:p>
        </w:tc>
        <w:tc>
          <w:tcPr>
            <w:tcW w:w="446" w:type="dxa"/>
            <w:shd w:val="clear" w:color="auto" w:fill="F1B249" w:themeFill="accent4"/>
          </w:tcPr>
          <w:p w14:paraId="3632189E" w14:textId="77777777" w:rsidR="005970FA" w:rsidRPr="001D1F7D" w:rsidRDefault="005970FA" w:rsidP="005970FA">
            <w:pPr>
              <w:rPr>
                <w:sz w:val="16"/>
                <w:szCs w:val="16"/>
              </w:rPr>
            </w:pPr>
          </w:p>
        </w:tc>
        <w:tc>
          <w:tcPr>
            <w:tcW w:w="446" w:type="dxa"/>
          </w:tcPr>
          <w:p w14:paraId="3AE7325A" w14:textId="77777777" w:rsidR="005970FA" w:rsidRPr="001D1F7D" w:rsidRDefault="005970FA" w:rsidP="005970FA">
            <w:pPr>
              <w:rPr>
                <w:sz w:val="16"/>
                <w:szCs w:val="16"/>
              </w:rPr>
            </w:pPr>
          </w:p>
        </w:tc>
        <w:tc>
          <w:tcPr>
            <w:tcW w:w="446" w:type="dxa"/>
          </w:tcPr>
          <w:p w14:paraId="52836F13" w14:textId="77777777" w:rsidR="005970FA" w:rsidRPr="001D1F7D" w:rsidRDefault="005970FA" w:rsidP="005970FA">
            <w:pPr>
              <w:rPr>
                <w:sz w:val="16"/>
                <w:szCs w:val="16"/>
              </w:rPr>
            </w:pPr>
          </w:p>
        </w:tc>
        <w:tc>
          <w:tcPr>
            <w:tcW w:w="446" w:type="dxa"/>
          </w:tcPr>
          <w:p w14:paraId="17491794" w14:textId="77777777" w:rsidR="005970FA" w:rsidRPr="001D1F7D" w:rsidRDefault="005970FA" w:rsidP="005970FA">
            <w:pPr>
              <w:rPr>
                <w:sz w:val="16"/>
                <w:szCs w:val="16"/>
              </w:rPr>
            </w:pPr>
          </w:p>
        </w:tc>
        <w:tc>
          <w:tcPr>
            <w:tcW w:w="446" w:type="dxa"/>
          </w:tcPr>
          <w:p w14:paraId="6A1A3CEA" w14:textId="77777777" w:rsidR="005970FA" w:rsidRPr="001D1F7D" w:rsidRDefault="005970FA" w:rsidP="005970FA">
            <w:pPr>
              <w:rPr>
                <w:sz w:val="16"/>
                <w:szCs w:val="16"/>
              </w:rPr>
            </w:pPr>
          </w:p>
        </w:tc>
        <w:tc>
          <w:tcPr>
            <w:tcW w:w="446" w:type="dxa"/>
          </w:tcPr>
          <w:p w14:paraId="0B9FC709" w14:textId="77777777" w:rsidR="005970FA" w:rsidRPr="001D1F7D" w:rsidRDefault="005970FA" w:rsidP="005970FA">
            <w:pPr>
              <w:rPr>
                <w:sz w:val="16"/>
                <w:szCs w:val="16"/>
              </w:rPr>
            </w:pPr>
          </w:p>
        </w:tc>
        <w:tc>
          <w:tcPr>
            <w:tcW w:w="446" w:type="dxa"/>
          </w:tcPr>
          <w:p w14:paraId="0BA35893" w14:textId="77777777" w:rsidR="005970FA" w:rsidRPr="001D1F7D" w:rsidRDefault="005970FA" w:rsidP="005970FA">
            <w:pPr>
              <w:rPr>
                <w:sz w:val="16"/>
                <w:szCs w:val="16"/>
              </w:rPr>
            </w:pPr>
          </w:p>
        </w:tc>
        <w:tc>
          <w:tcPr>
            <w:tcW w:w="446" w:type="dxa"/>
          </w:tcPr>
          <w:p w14:paraId="1489AAA4" w14:textId="77777777" w:rsidR="005970FA" w:rsidRPr="001D1F7D" w:rsidRDefault="005970FA" w:rsidP="005970FA">
            <w:pPr>
              <w:rPr>
                <w:sz w:val="16"/>
                <w:szCs w:val="16"/>
              </w:rPr>
            </w:pPr>
          </w:p>
        </w:tc>
        <w:tc>
          <w:tcPr>
            <w:tcW w:w="446" w:type="dxa"/>
          </w:tcPr>
          <w:p w14:paraId="006401A4" w14:textId="77777777" w:rsidR="005970FA" w:rsidRPr="001D1F7D" w:rsidRDefault="005970FA" w:rsidP="005970FA">
            <w:pPr>
              <w:rPr>
                <w:sz w:val="16"/>
                <w:szCs w:val="16"/>
              </w:rPr>
            </w:pPr>
          </w:p>
        </w:tc>
        <w:tc>
          <w:tcPr>
            <w:tcW w:w="446" w:type="dxa"/>
          </w:tcPr>
          <w:p w14:paraId="179F9C90" w14:textId="77777777" w:rsidR="005970FA" w:rsidRPr="001D1F7D" w:rsidRDefault="005970FA" w:rsidP="005970FA">
            <w:pPr>
              <w:rPr>
                <w:sz w:val="16"/>
                <w:szCs w:val="16"/>
              </w:rPr>
            </w:pPr>
          </w:p>
        </w:tc>
        <w:tc>
          <w:tcPr>
            <w:tcW w:w="446" w:type="dxa"/>
          </w:tcPr>
          <w:p w14:paraId="61460BB1" w14:textId="77777777" w:rsidR="005970FA" w:rsidRPr="001D1F7D" w:rsidRDefault="005970FA" w:rsidP="005970FA">
            <w:pPr>
              <w:rPr>
                <w:sz w:val="16"/>
                <w:szCs w:val="16"/>
              </w:rPr>
            </w:pPr>
          </w:p>
        </w:tc>
        <w:tc>
          <w:tcPr>
            <w:tcW w:w="446" w:type="dxa"/>
          </w:tcPr>
          <w:p w14:paraId="573B632B" w14:textId="77777777" w:rsidR="005970FA" w:rsidRPr="001D1F7D" w:rsidRDefault="005970FA" w:rsidP="005970FA">
            <w:pPr>
              <w:rPr>
                <w:sz w:val="16"/>
                <w:szCs w:val="16"/>
              </w:rPr>
            </w:pPr>
          </w:p>
        </w:tc>
        <w:tc>
          <w:tcPr>
            <w:tcW w:w="446" w:type="dxa"/>
          </w:tcPr>
          <w:p w14:paraId="1C583AD2" w14:textId="77777777" w:rsidR="005970FA" w:rsidRPr="001D1F7D" w:rsidRDefault="005970FA" w:rsidP="005970FA">
            <w:pPr>
              <w:rPr>
                <w:sz w:val="16"/>
                <w:szCs w:val="16"/>
              </w:rPr>
            </w:pPr>
          </w:p>
        </w:tc>
      </w:tr>
      <w:tr w:rsidR="005970FA" w:rsidRPr="001D1F7D" w14:paraId="007ED26D" w14:textId="77777777" w:rsidTr="005970FA">
        <w:tc>
          <w:tcPr>
            <w:tcW w:w="1236" w:type="dxa"/>
          </w:tcPr>
          <w:p w14:paraId="342DA8AD" w14:textId="7BC223CF" w:rsidR="005970FA" w:rsidRPr="001D1F7D" w:rsidRDefault="005970FA" w:rsidP="005970FA">
            <w:pPr>
              <w:rPr>
                <w:sz w:val="16"/>
                <w:szCs w:val="16"/>
              </w:rPr>
            </w:pPr>
            <w:r w:rsidRPr="001D1F7D">
              <w:rPr>
                <w:sz w:val="16"/>
                <w:szCs w:val="16"/>
              </w:rPr>
              <w:t>Deliverable 3 submission</w:t>
            </w:r>
          </w:p>
        </w:tc>
        <w:tc>
          <w:tcPr>
            <w:tcW w:w="447" w:type="dxa"/>
          </w:tcPr>
          <w:p w14:paraId="239BE5AF" w14:textId="77777777" w:rsidR="005970FA" w:rsidRPr="001D1F7D" w:rsidRDefault="005970FA" w:rsidP="005970FA">
            <w:pPr>
              <w:rPr>
                <w:sz w:val="16"/>
                <w:szCs w:val="16"/>
              </w:rPr>
            </w:pPr>
          </w:p>
        </w:tc>
        <w:tc>
          <w:tcPr>
            <w:tcW w:w="447" w:type="dxa"/>
          </w:tcPr>
          <w:p w14:paraId="2EC72638" w14:textId="77777777" w:rsidR="005970FA" w:rsidRPr="001D1F7D" w:rsidRDefault="005970FA" w:rsidP="005970FA">
            <w:pPr>
              <w:rPr>
                <w:sz w:val="16"/>
                <w:szCs w:val="16"/>
              </w:rPr>
            </w:pPr>
          </w:p>
        </w:tc>
        <w:tc>
          <w:tcPr>
            <w:tcW w:w="446" w:type="dxa"/>
          </w:tcPr>
          <w:p w14:paraId="2911FC4D" w14:textId="77777777" w:rsidR="005970FA" w:rsidRPr="001D1F7D" w:rsidRDefault="005970FA" w:rsidP="005970FA">
            <w:pPr>
              <w:rPr>
                <w:sz w:val="16"/>
                <w:szCs w:val="16"/>
              </w:rPr>
            </w:pPr>
          </w:p>
        </w:tc>
        <w:tc>
          <w:tcPr>
            <w:tcW w:w="446" w:type="dxa"/>
            <w:shd w:val="clear" w:color="auto" w:fill="auto"/>
          </w:tcPr>
          <w:p w14:paraId="3208D42A" w14:textId="77777777" w:rsidR="005970FA" w:rsidRPr="001D1F7D" w:rsidRDefault="005970FA" w:rsidP="005970FA">
            <w:pPr>
              <w:rPr>
                <w:sz w:val="16"/>
                <w:szCs w:val="16"/>
              </w:rPr>
            </w:pPr>
          </w:p>
        </w:tc>
        <w:tc>
          <w:tcPr>
            <w:tcW w:w="446" w:type="dxa"/>
            <w:shd w:val="clear" w:color="auto" w:fill="auto"/>
          </w:tcPr>
          <w:p w14:paraId="17C01FF5" w14:textId="77777777" w:rsidR="005970FA" w:rsidRPr="001D1F7D" w:rsidRDefault="005970FA" w:rsidP="005970FA">
            <w:pPr>
              <w:rPr>
                <w:sz w:val="16"/>
                <w:szCs w:val="16"/>
              </w:rPr>
            </w:pPr>
          </w:p>
        </w:tc>
        <w:tc>
          <w:tcPr>
            <w:tcW w:w="446" w:type="dxa"/>
          </w:tcPr>
          <w:p w14:paraId="4096C588" w14:textId="77777777" w:rsidR="005970FA" w:rsidRPr="001D1F7D" w:rsidRDefault="005970FA" w:rsidP="005970FA">
            <w:pPr>
              <w:rPr>
                <w:sz w:val="16"/>
                <w:szCs w:val="16"/>
              </w:rPr>
            </w:pPr>
          </w:p>
        </w:tc>
        <w:tc>
          <w:tcPr>
            <w:tcW w:w="446" w:type="dxa"/>
          </w:tcPr>
          <w:p w14:paraId="7324CFD7" w14:textId="77777777" w:rsidR="005970FA" w:rsidRPr="001D1F7D" w:rsidRDefault="005970FA" w:rsidP="005970FA">
            <w:pPr>
              <w:rPr>
                <w:sz w:val="16"/>
                <w:szCs w:val="16"/>
              </w:rPr>
            </w:pPr>
          </w:p>
        </w:tc>
        <w:tc>
          <w:tcPr>
            <w:tcW w:w="446" w:type="dxa"/>
          </w:tcPr>
          <w:p w14:paraId="66465859" w14:textId="77777777" w:rsidR="005970FA" w:rsidRPr="001D1F7D" w:rsidRDefault="005970FA" w:rsidP="005970FA">
            <w:pPr>
              <w:rPr>
                <w:sz w:val="16"/>
                <w:szCs w:val="16"/>
              </w:rPr>
            </w:pPr>
          </w:p>
        </w:tc>
        <w:tc>
          <w:tcPr>
            <w:tcW w:w="446" w:type="dxa"/>
          </w:tcPr>
          <w:p w14:paraId="33B84817" w14:textId="77777777" w:rsidR="005970FA" w:rsidRPr="001D1F7D" w:rsidRDefault="005970FA" w:rsidP="005970FA">
            <w:pPr>
              <w:rPr>
                <w:sz w:val="16"/>
                <w:szCs w:val="16"/>
              </w:rPr>
            </w:pPr>
          </w:p>
        </w:tc>
        <w:tc>
          <w:tcPr>
            <w:tcW w:w="446" w:type="dxa"/>
          </w:tcPr>
          <w:p w14:paraId="3FB27A90" w14:textId="77777777" w:rsidR="005970FA" w:rsidRPr="001D1F7D" w:rsidRDefault="005970FA" w:rsidP="005970FA">
            <w:pPr>
              <w:rPr>
                <w:sz w:val="16"/>
                <w:szCs w:val="16"/>
              </w:rPr>
            </w:pPr>
          </w:p>
        </w:tc>
        <w:tc>
          <w:tcPr>
            <w:tcW w:w="446" w:type="dxa"/>
            <w:shd w:val="clear" w:color="auto" w:fill="F1B249" w:themeFill="accent4"/>
          </w:tcPr>
          <w:p w14:paraId="3D14C8D8" w14:textId="77777777" w:rsidR="005970FA" w:rsidRPr="001D1F7D" w:rsidRDefault="005970FA" w:rsidP="005970FA">
            <w:pPr>
              <w:rPr>
                <w:sz w:val="16"/>
                <w:szCs w:val="16"/>
              </w:rPr>
            </w:pPr>
          </w:p>
        </w:tc>
        <w:tc>
          <w:tcPr>
            <w:tcW w:w="446" w:type="dxa"/>
          </w:tcPr>
          <w:p w14:paraId="6169DAD6" w14:textId="77777777" w:rsidR="005970FA" w:rsidRPr="001D1F7D" w:rsidRDefault="005970FA" w:rsidP="005970FA">
            <w:pPr>
              <w:rPr>
                <w:sz w:val="16"/>
                <w:szCs w:val="16"/>
              </w:rPr>
            </w:pPr>
          </w:p>
        </w:tc>
        <w:tc>
          <w:tcPr>
            <w:tcW w:w="446" w:type="dxa"/>
          </w:tcPr>
          <w:p w14:paraId="34FD31D0" w14:textId="77777777" w:rsidR="005970FA" w:rsidRPr="001D1F7D" w:rsidRDefault="005970FA" w:rsidP="005970FA">
            <w:pPr>
              <w:rPr>
                <w:sz w:val="16"/>
                <w:szCs w:val="16"/>
              </w:rPr>
            </w:pPr>
          </w:p>
        </w:tc>
        <w:tc>
          <w:tcPr>
            <w:tcW w:w="446" w:type="dxa"/>
          </w:tcPr>
          <w:p w14:paraId="706CCBE1" w14:textId="77777777" w:rsidR="005970FA" w:rsidRPr="001D1F7D" w:rsidRDefault="005970FA" w:rsidP="005970FA">
            <w:pPr>
              <w:rPr>
                <w:sz w:val="16"/>
                <w:szCs w:val="16"/>
              </w:rPr>
            </w:pPr>
          </w:p>
        </w:tc>
        <w:tc>
          <w:tcPr>
            <w:tcW w:w="446" w:type="dxa"/>
          </w:tcPr>
          <w:p w14:paraId="18D67658" w14:textId="77777777" w:rsidR="005970FA" w:rsidRPr="001D1F7D" w:rsidRDefault="005970FA" w:rsidP="005970FA">
            <w:pPr>
              <w:rPr>
                <w:sz w:val="16"/>
                <w:szCs w:val="16"/>
              </w:rPr>
            </w:pPr>
          </w:p>
        </w:tc>
        <w:tc>
          <w:tcPr>
            <w:tcW w:w="446" w:type="dxa"/>
          </w:tcPr>
          <w:p w14:paraId="7686CE54" w14:textId="77777777" w:rsidR="005970FA" w:rsidRPr="001D1F7D" w:rsidRDefault="005970FA" w:rsidP="005970FA">
            <w:pPr>
              <w:rPr>
                <w:sz w:val="16"/>
                <w:szCs w:val="16"/>
              </w:rPr>
            </w:pPr>
          </w:p>
        </w:tc>
        <w:tc>
          <w:tcPr>
            <w:tcW w:w="446" w:type="dxa"/>
          </w:tcPr>
          <w:p w14:paraId="2CA66DD8" w14:textId="77777777" w:rsidR="005970FA" w:rsidRPr="001D1F7D" w:rsidRDefault="005970FA" w:rsidP="005970FA">
            <w:pPr>
              <w:rPr>
                <w:sz w:val="16"/>
                <w:szCs w:val="16"/>
              </w:rPr>
            </w:pPr>
          </w:p>
        </w:tc>
        <w:tc>
          <w:tcPr>
            <w:tcW w:w="446" w:type="dxa"/>
          </w:tcPr>
          <w:p w14:paraId="07D0BE94" w14:textId="77777777" w:rsidR="005970FA" w:rsidRPr="001D1F7D" w:rsidRDefault="005970FA" w:rsidP="005970FA">
            <w:pPr>
              <w:rPr>
                <w:sz w:val="16"/>
                <w:szCs w:val="16"/>
              </w:rPr>
            </w:pPr>
          </w:p>
        </w:tc>
        <w:tc>
          <w:tcPr>
            <w:tcW w:w="446" w:type="dxa"/>
          </w:tcPr>
          <w:p w14:paraId="6E2BF5B3" w14:textId="77777777" w:rsidR="005970FA" w:rsidRPr="001D1F7D" w:rsidRDefault="005970FA" w:rsidP="005970FA">
            <w:pPr>
              <w:rPr>
                <w:sz w:val="16"/>
                <w:szCs w:val="16"/>
              </w:rPr>
            </w:pPr>
          </w:p>
        </w:tc>
        <w:tc>
          <w:tcPr>
            <w:tcW w:w="446" w:type="dxa"/>
          </w:tcPr>
          <w:p w14:paraId="277DCE3D" w14:textId="77777777" w:rsidR="005970FA" w:rsidRPr="001D1F7D" w:rsidRDefault="005970FA" w:rsidP="005970FA">
            <w:pPr>
              <w:rPr>
                <w:sz w:val="16"/>
                <w:szCs w:val="16"/>
              </w:rPr>
            </w:pPr>
          </w:p>
        </w:tc>
        <w:tc>
          <w:tcPr>
            <w:tcW w:w="446" w:type="dxa"/>
          </w:tcPr>
          <w:p w14:paraId="205DB787" w14:textId="77777777" w:rsidR="005970FA" w:rsidRPr="001D1F7D" w:rsidRDefault="005970FA" w:rsidP="005970FA">
            <w:pPr>
              <w:rPr>
                <w:sz w:val="16"/>
                <w:szCs w:val="16"/>
              </w:rPr>
            </w:pPr>
          </w:p>
        </w:tc>
        <w:tc>
          <w:tcPr>
            <w:tcW w:w="446" w:type="dxa"/>
          </w:tcPr>
          <w:p w14:paraId="465686D1" w14:textId="77777777" w:rsidR="005970FA" w:rsidRPr="001D1F7D" w:rsidRDefault="005970FA" w:rsidP="005970FA">
            <w:pPr>
              <w:rPr>
                <w:sz w:val="16"/>
                <w:szCs w:val="16"/>
              </w:rPr>
            </w:pPr>
          </w:p>
        </w:tc>
      </w:tr>
      <w:tr w:rsidR="005970FA" w:rsidRPr="001D1F7D" w14:paraId="34F5480A" w14:textId="77777777" w:rsidTr="005970FA">
        <w:tc>
          <w:tcPr>
            <w:tcW w:w="1236" w:type="dxa"/>
            <w:shd w:val="clear" w:color="auto" w:fill="E37230" w:themeFill="accent2"/>
          </w:tcPr>
          <w:p w14:paraId="1C5B528D" w14:textId="45A4E7EC" w:rsidR="005970FA" w:rsidRPr="001D1F7D" w:rsidRDefault="005970FA" w:rsidP="005970FA">
            <w:pPr>
              <w:rPr>
                <w:sz w:val="16"/>
                <w:szCs w:val="16"/>
              </w:rPr>
            </w:pPr>
            <w:r w:rsidRPr="001D1F7D">
              <w:rPr>
                <w:sz w:val="16"/>
                <w:szCs w:val="16"/>
              </w:rPr>
              <w:t>Round 3 (summative)</w:t>
            </w:r>
          </w:p>
        </w:tc>
        <w:tc>
          <w:tcPr>
            <w:tcW w:w="447" w:type="dxa"/>
            <w:shd w:val="clear" w:color="auto" w:fill="E37230" w:themeFill="accent2"/>
          </w:tcPr>
          <w:p w14:paraId="0428BDBE" w14:textId="5E0D91E2" w:rsidR="005970FA" w:rsidRPr="001D1F7D" w:rsidRDefault="005970FA" w:rsidP="005970FA">
            <w:pPr>
              <w:rPr>
                <w:sz w:val="16"/>
                <w:szCs w:val="16"/>
              </w:rPr>
            </w:pPr>
          </w:p>
        </w:tc>
        <w:tc>
          <w:tcPr>
            <w:tcW w:w="447" w:type="dxa"/>
            <w:shd w:val="clear" w:color="auto" w:fill="E37230" w:themeFill="accent2"/>
          </w:tcPr>
          <w:p w14:paraId="2A03D0C8" w14:textId="49A26936" w:rsidR="005970FA" w:rsidRPr="001D1F7D" w:rsidRDefault="005970FA" w:rsidP="005970FA">
            <w:pPr>
              <w:rPr>
                <w:sz w:val="16"/>
                <w:szCs w:val="16"/>
              </w:rPr>
            </w:pPr>
          </w:p>
        </w:tc>
        <w:tc>
          <w:tcPr>
            <w:tcW w:w="446" w:type="dxa"/>
            <w:shd w:val="clear" w:color="auto" w:fill="E37230" w:themeFill="accent2"/>
          </w:tcPr>
          <w:p w14:paraId="6F6D4951" w14:textId="76AB1BD9" w:rsidR="005970FA" w:rsidRPr="001D1F7D" w:rsidRDefault="005970FA" w:rsidP="005970FA">
            <w:pPr>
              <w:rPr>
                <w:sz w:val="16"/>
                <w:szCs w:val="16"/>
              </w:rPr>
            </w:pPr>
          </w:p>
        </w:tc>
        <w:tc>
          <w:tcPr>
            <w:tcW w:w="446" w:type="dxa"/>
            <w:shd w:val="clear" w:color="auto" w:fill="E37230" w:themeFill="accent2"/>
          </w:tcPr>
          <w:p w14:paraId="4EA29F43" w14:textId="1D584EDE" w:rsidR="005970FA" w:rsidRPr="001D1F7D" w:rsidRDefault="005970FA" w:rsidP="005970FA">
            <w:pPr>
              <w:rPr>
                <w:sz w:val="16"/>
                <w:szCs w:val="16"/>
              </w:rPr>
            </w:pPr>
          </w:p>
        </w:tc>
        <w:tc>
          <w:tcPr>
            <w:tcW w:w="446" w:type="dxa"/>
            <w:shd w:val="clear" w:color="auto" w:fill="E37230" w:themeFill="accent2"/>
          </w:tcPr>
          <w:p w14:paraId="4FC4AA53" w14:textId="5FD65803" w:rsidR="005970FA" w:rsidRPr="001D1F7D" w:rsidRDefault="005970FA" w:rsidP="005970FA">
            <w:pPr>
              <w:rPr>
                <w:sz w:val="16"/>
                <w:szCs w:val="16"/>
              </w:rPr>
            </w:pPr>
          </w:p>
        </w:tc>
        <w:tc>
          <w:tcPr>
            <w:tcW w:w="446" w:type="dxa"/>
            <w:shd w:val="clear" w:color="auto" w:fill="E37230" w:themeFill="accent2"/>
          </w:tcPr>
          <w:p w14:paraId="46C71BF3" w14:textId="3CFB623A" w:rsidR="005970FA" w:rsidRPr="001D1F7D" w:rsidRDefault="005970FA" w:rsidP="005970FA">
            <w:pPr>
              <w:rPr>
                <w:sz w:val="16"/>
                <w:szCs w:val="16"/>
              </w:rPr>
            </w:pPr>
          </w:p>
        </w:tc>
        <w:tc>
          <w:tcPr>
            <w:tcW w:w="446" w:type="dxa"/>
            <w:shd w:val="clear" w:color="auto" w:fill="E37230" w:themeFill="accent2"/>
          </w:tcPr>
          <w:p w14:paraId="5F882566" w14:textId="12F41D92" w:rsidR="005970FA" w:rsidRPr="001D1F7D" w:rsidRDefault="005970FA" w:rsidP="005970FA">
            <w:pPr>
              <w:rPr>
                <w:sz w:val="16"/>
                <w:szCs w:val="16"/>
              </w:rPr>
            </w:pPr>
          </w:p>
        </w:tc>
        <w:tc>
          <w:tcPr>
            <w:tcW w:w="446" w:type="dxa"/>
            <w:shd w:val="clear" w:color="auto" w:fill="E37230" w:themeFill="accent2"/>
          </w:tcPr>
          <w:p w14:paraId="050F9805" w14:textId="3A1F1CFE" w:rsidR="005970FA" w:rsidRPr="001D1F7D" w:rsidRDefault="005970FA" w:rsidP="005970FA">
            <w:pPr>
              <w:rPr>
                <w:sz w:val="16"/>
                <w:szCs w:val="16"/>
              </w:rPr>
            </w:pPr>
          </w:p>
        </w:tc>
        <w:tc>
          <w:tcPr>
            <w:tcW w:w="446" w:type="dxa"/>
            <w:shd w:val="clear" w:color="auto" w:fill="E37230" w:themeFill="accent2"/>
          </w:tcPr>
          <w:p w14:paraId="4247A2C0" w14:textId="56A80387" w:rsidR="005970FA" w:rsidRPr="001D1F7D" w:rsidRDefault="005970FA" w:rsidP="005970FA">
            <w:pPr>
              <w:rPr>
                <w:sz w:val="16"/>
                <w:szCs w:val="16"/>
              </w:rPr>
            </w:pPr>
          </w:p>
        </w:tc>
        <w:tc>
          <w:tcPr>
            <w:tcW w:w="446" w:type="dxa"/>
            <w:tcBorders>
              <w:bottom w:val="single" w:sz="4" w:space="0" w:color="auto"/>
            </w:tcBorders>
            <w:shd w:val="clear" w:color="auto" w:fill="E37230" w:themeFill="accent2"/>
          </w:tcPr>
          <w:p w14:paraId="513B7CA9" w14:textId="069C4849" w:rsidR="005970FA" w:rsidRPr="001D1F7D" w:rsidRDefault="005970FA" w:rsidP="005970FA">
            <w:pPr>
              <w:rPr>
                <w:sz w:val="16"/>
                <w:szCs w:val="16"/>
              </w:rPr>
            </w:pPr>
          </w:p>
        </w:tc>
        <w:tc>
          <w:tcPr>
            <w:tcW w:w="446" w:type="dxa"/>
            <w:shd w:val="clear" w:color="auto" w:fill="E37230" w:themeFill="accent2"/>
          </w:tcPr>
          <w:p w14:paraId="722A4239" w14:textId="348DBDC3" w:rsidR="005970FA" w:rsidRPr="001D1F7D" w:rsidRDefault="005970FA" w:rsidP="005970FA">
            <w:pPr>
              <w:rPr>
                <w:sz w:val="16"/>
                <w:szCs w:val="16"/>
              </w:rPr>
            </w:pPr>
          </w:p>
        </w:tc>
        <w:tc>
          <w:tcPr>
            <w:tcW w:w="446" w:type="dxa"/>
            <w:shd w:val="clear" w:color="auto" w:fill="E37230" w:themeFill="accent2"/>
          </w:tcPr>
          <w:p w14:paraId="5A3B74F3" w14:textId="3CB59FE2" w:rsidR="005970FA" w:rsidRPr="001D1F7D" w:rsidRDefault="005970FA" w:rsidP="005970FA">
            <w:pPr>
              <w:rPr>
                <w:sz w:val="16"/>
                <w:szCs w:val="16"/>
              </w:rPr>
            </w:pPr>
          </w:p>
        </w:tc>
        <w:tc>
          <w:tcPr>
            <w:tcW w:w="446" w:type="dxa"/>
            <w:shd w:val="clear" w:color="auto" w:fill="E37230" w:themeFill="accent2"/>
          </w:tcPr>
          <w:p w14:paraId="36026BDD" w14:textId="1EC363DD" w:rsidR="005970FA" w:rsidRPr="001D1F7D" w:rsidRDefault="005970FA" w:rsidP="005970FA">
            <w:pPr>
              <w:rPr>
                <w:sz w:val="16"/>
                <w:szCs w:val="16"/>
              </w:rPr>
            </w:pPr>
          </w:p>
        </w:tc>
        <w:tc>
          <w:tcPr>
            <w:tcW w:w="892" w:type="dxa"/>
            <w:gridSpan w:val="2"/>
            <w:shd w:val="clear" w:color="auto" w:fill="E37230" w:themeFill="accent2"/>
          </w:tcPr>
          <w:p w14:paraId="15F0D21B" w14:textId="48DAE90E" w:rsidR="005970FA" w:rsidRPr="001D1F7D" w:rsidRDefault="005970FA" w:rsidP="005970FA">
            <w:pPr>
              <w:rPr>
                <w:sz w:val="16"/>
                <w:szCs w:val="16"/>
              </w:rPr>
            </w:pPr>
          </w:p>
        </w:tc>
        <w:tc>
          <w:tcPr>
            <w:tcW w:w="446" w:type="dxa"/>
            <w:tcBorders>
              <w:bottom w:val="single" w:sz="4" w:space="0" w:color="auto"/>
            </w:tcBorders>
            <w:shd w:val="clear" w:color="auto" w:fill="E37230" w:themeFill="accent2"/>
          </w:tcPr>
          <w:p w14:paraId="52B920F6" w14:textId="112B9AC7" w:rsidR="005970FA" w:rsidRPr="001D1F7D" w:rsidRDefault="005970FA" w:rsidP="005970FA">
            <w:pPr>
              <w:rPr>
                <w:sz w:val="16"/>
                <w:szCs w:val="16"/>
              </w:rPr>
            </w:pPr>
          </w:p>
        </w:tc>
        <w:tc>
          <w:tcPr>
            <w:tcW w:w="446" w:type="dxa"/>
            <w:tcBorders>
              <w:bottom w:val="single" w:sz="4" w:space="0" w:color="auto"/>
            </w:tcBorders>
            <w:shd w:val="clear" w:color="auto" w:fill="E37230" w:themeFill="accent2"/>
          </w:tcPr>
          <w:p w14:paraId="23325E54" w14:textId="50DD6BDB" w:rsidR="005970FA" w:rsidRPr="001D1F7D" w:rsidRDefault="005970FA" w:rsidP="005970FA">
            <w:pPr>
              <w:rPr>
                <w:sz w:val="16"/>
                <w:szCs w:val="16"/>
              </w:rPr>
            </w:pPr>
          </w:p>
        </w:tc>
        <w:tc>
          <w:tcPr>
            <w:tcW w:w="446" w:type="dxa"/>
            <w:shd w:val="clear" w:color="auto" w:fill="E37230" w:themeFill="accent2"/>
          </w:tcPr>
          <w:p w14:paraId="5E5971A3" w14:textId="597F86CD" w:rsidR="005970FA" w:rsidRPr="001D1F7D" w:rsidRDefault="005970FA" w:rsidP="005970FA">
            <w:pPr>
              <w:rPr>
                <w:sz w:val="16"/>
                <w:szCs w:val="16"/>
              </w:rPr>
            </w:pPr>
          </w:p>
        </w:tc>
        <w:tc>
          <w:tcPr>
            <w:tcW w:w="446" w:type="dxa"/>
            <w:shd w:val="clear" w:color="auto" w:fill="E37230" w:themeFill="accent2"/>
          </w:tcPr>
          <w:p w14:paraId="2869721A" w14:textId="0C6342F0" w:rsidR="005970FA" w:rsidRPr="001D1F7D" w:rsidRDefault="005970FA" w:rsidP="005970FA">
            <w:pPr>
              <w:rPr>
                <w:sz w:val="16"/>
                <w:szCs w:val="16"/>
              </w:rPr>
            </w:pPr>
          </w:p>
        </w:tc>
        <w:tc>
          <w:tcPr>
            <w:tcW w:w="446" w:type="dxa"/>
            <w:shd w:val="clear" w:color="auto" w:fill="E37230" w:themeFill="accent2"/>
          </w:tcPr>
          <w:p w14:paraId="704B1AE5" w14:textId="570BAA35" w:rsidR="005970FA" w:rsidRPr="001D1F7D" w:rsidRDefault="005970FA" w:rsidP="005970FA">
            <w:pPr>
              <w:rPr>
                <w:sz w:val="16"/>
                <w:szCs w:val="16"/>
              </w:rPr>
            </w:pPr>
          </w:p>
        </w:tc>
        <w:tc>
          <w:tcPr>
            <w:tcW w:w="446" w:type="dxa"/>
            <w:shd w:val="clear" w:color="auto" w:fill="E37230" w:themeFill="accent2"/>
          </w:tcPr>
          <w:p w14:paraId="0C53C007" w14:textId="758D95DB" w:rsidR="005970FA" w:rsidRPr="001D1F7D" w:rsidRDefault="005970FA" w:rsidP="005970FA">
            <w:pPr>
              <w:rPr>
                <w:sz w:val="16"/>
                <w:szCs w:val="16"/>
              </w:rPr>
            </w:pPr>
          </w:p>
        </w:tc>
        <w:tc>
          <w:tcPr>
            <w:tcW w:w="446" w:type="dxa"/>
            <w:shd w:val="clear" w:color="auto" w:fill="E37230" w:themeFill="accent2"/>
          </w:tcPr>
          <w:p w14:paraId="03FA7130" w14:textId="53BAF442" w:rsidR="005970FA" w:rsidRPr="001D1F7D" w:rsidRDefault="005970FA" w:rsidP="005970FA">
            <w:pPr>
              <w:rPr>
                <w:sz w:val="16"/>
                <w:szCs w:val="16"/>
              </w:rPr>
            </w:pPr>
          </w:p>
        </w:tc>
      </w:tr>
      <w:tr w:rsidR="005970FA" w:rsidRPr="001D1F7D" w14:paraId="4F91BB08" w14:textId="77777777" w:rsidTr="005970FA">
        <w:tc>
          <w:tcPr>
            <w:tcW w:w="1236" w:type="dxa"/>
          </w:tcPr>
          <w:p w14:paraId="512E9B8D" w14:textId="46BC5866" w:rsidR="005970FA" w:rsidRPr="001D1F7D" w:rsidRDefault="005970FA" w:rsidP="005970FA">
            <w:pPr>
              <w:rPr>
                <w:sz w:val="16"/>
                <w:szCs w:val="16"/>
              </w:rPr>
            </w:pPr>
            <w:r w:rsidRPr="001D1F7D">
              <w:rPr>
                <w:sz w:val="16"/>
                <w:szCs w:val="16"/>
              </w:rPr>
              <w:t>Country visits &amp; global KIIs</w:t>
            </w:r>
          </w:p>
        </w:tc>
        <w:tc>
          <w:tcPr>
            <w:tcW w:w="447" w:type="dxa"/>
          </w:tcPr>
          <w:p w14:paraId="63D9FA26" w14:textId="77777777" w:rsidR="005970FA" w:rsidRPr="001D1F7D" w:rsidRDefault="005970FA" w:rsidP="005970FA">
            <w:pPr>
              <w:rPr>
                <w:sz w:val="16"/>
                <w:szCs w:val="16"/>
              </w:rPr>
            </w:pPr>
          </w:p>
        </w:tc>
        <w:tc>
          <w:tcPr>
            <w:tcW w:w="447" w:type="dxa"/>
          </w:tcPr>
          <w:p w14:paraId="3C5E7A0B" w14:textId="77777777" w:rsidR="005970FA" w:rsidRPr="001D1F7D" w:rsidRDefault="005970FA" w:rsidP="005970FA">
            <w:pPr>
              <w:rPr>
                <w:sz w:val="16"/>
                <w:szCs w:val="16"/>
              </w:rPr>
            </w:pPr>
          </w:p>
        </w:tc>
        <w:tc>
          <w:tcPr>
            <w:tcW w:w="446" w:type="dxa"/>
          </w:tcPr>
          <w:p w14:paraId="0F7CC39A" w14:textId="77777777" w:rsidR="005970FA" w:rsidRPr="001D1F7D" w:rsidRDefault="005970FA" w:rsidP="005970FA">
            <w:pPr>
              <w:rPr>
                <w:sz w:val="16"/>
                <w:szCs w:val="16"/>
              </w:rPr>
            </w:pPr>
          </w:p>
        </w:tc>
        <w:tc>
          <w:tcPr>
            <w:tcW w:w="446" w:type="dxa"/>
          </w:tcPr>
          <w:p w14:paraId="4068A8FC" w14:textId="77777777" w:rsidR="005970FA" w:rsidRPr="001D1F7D" w:rsidRDefault="005970FA" w:rsidP="005970FA">
            <w:pPr>
              <w:rPr>
                <w:sz w:val="16"/>
                <w:szCs w:val="16"/>
              </w:rPr>
            </w:pPr>
          </w:p>
        </w:tc>
        <w:tc>
          <w:tcPr>
            <w:tcW w:w="446" w:type="dxa"/>
          </w:tcPr>
          <w:p w14:paraId="0A27B4AD" w14:textId="77777777" w:rsidR="005970FA" w:rsidRPr="001D1F7D" w:rsidRDefault="005970FA" w:rsidP="005970FA">
            <w:pPr>
              <w:rPr>
                <w:sz w:val="16"/>
                <w:szCs w:val="16"/>
              </w:rPr>
            </w:pPr>
          </w:p>
        </w:tc>
        <w:tc>
          <w:tcPr>
            <w:tcW w:w="446" w:type="dxa"/>
          </w:tcPr>
          <w:p w14:paraId="304AFE41" w14:textId="77777777" w:rsidR="005970FA" w:rsidRPr="001D1F7D" w:rsidRDefault="005970FA" w:rsidP="005970FA">
            <w:pPr>
              <w:rPr>
                <w:sz w:val="16"/>
                <w:szCs w:val="16"/>
              </w:rPr>
            </w:pPr>
          </w:p>
        </w:tc>
        <w:tc>
          <w:tcPr>
            <w:tcW w:w="446" w:type="dxa"/>
            <w:shd w:val="clear" w:color="auto" w:fill="auto"/>
          </w:tcPr>
          <w:p w14:paraId="4808E04D" w14:textId="77777777" w:rsidR="005970FA" w:rsidRPr="001D1F7D" w:rsidRDefault="005970FA" w:rsidP="005970FA">
            <w:pPr>
              <w:rPr>
                <w:sz w:val="16"/>
                <w:szCs w:val="16"/>
              </w:rPr>
            </w:pPr>
          </w:p>
        </w:tc>
        <w:tc>
          <w:tcPr>
            <w:tcW w:w="446" w:type="dxa"/>
            <w:shd w:val="clear" w:color="auto" w:fill="auto"/>
            <w:vAlign w:val="center"/>
          </w:tcPr>
          <w:p w14:paraId="1791B7E7" w14:textId="77777777" w:rsidR="005970FA" w:rsidRPr="001D1F7D" w:rsidRDefault="005970FA" w:rsidP="005970FA">
            <w:pPr>
              <w:rPr>
                <w:sz w:val="16"/>
                <w:szCs w:val="16"/>
              </w:rPr>
            </w:pPr>
          </w:p>
        </w:tc>
        <w:tc>
          <w:tcPr>
            <w:tcW w:w="446" w:type="dxa"/>
            <w:shd w:val="clear" w:color="auto" w:fill="auto"/>
            <w:vAlign w:val="center"/>
          </w:tcPr>
          <w:p w14:paraId="4C48C8CC" w14:textId="77777777" w:rsidR="005970FA" w:rsidRPr="001D1F7D" w:rsidRDefault="005970FA" w:rsidP="005970FA">
            <w:pPr>
              <w:jc w:val="center"/>
              <w:rPr>
                <w:sz w:val="16"/>
                <w:szCs w:val="16"/>
              </w:rPr>
            </w:pPr>
          </w:p>
        </w:tc>
        <w:tc>
          <w:tcPr>
            <w:tcW w:w="446" w:type="dxa"/>
            <w:shd w:val="clear" w:color="auto" w:fill="auto"/>
            <w:vAlign w:val="center"/>
          </w:tcPr>
          <w:p w14:paraId="1F4C1693" w14:textId="77777777" w:rsidR="005970FA" w:rsidRPr="001D1F7D" w:rsidRDefault="005970FA" w:rsidP="005970FA">
            <w:pPr>
              <w:jc w:val="center"/>
              <w:rPr>
                <w:sz w:val="16"/>
                <w:szCs w:val="16"/>
              </w:rPr>
            </w:pPr>
          </w:p>
        </w:tc>
        <w:tc>
          <w:tcPr>
            <w:tcW w:w="446" w:type="dxa"/>
          </w:tcPr>
          <w:p w14:paraId="450ABE6C" w14:textId="77777777" w:rsidR="005970FA" w:rsidRPr="001D1F7D" w:rsidRDefault="005970FA" w:rsidP="005970FA">
            <w:pPr>
              <w:rPr>
                <w:sz w:val="16"/>
                <w:szCs w:val="16"/>
              </w:rPr>
            </w:pPr>
          </w:p>
        </w:tc>
        <w:tc>
          <w:tcPr>
            <w:tcW w:w="446" w:type="dxa"/>
          </w:tcPr>
          <w:p w14:paraId="483817D7" w14:textId="77777777" w:rsidR="005970FA" w:rsidRPr="001D1F7D" w:rsidRDefault="005970FA" w:rsidP="005970FA">
            <w:pPr>
              <w:rPr>
                <w:sz w:val="16"/>
                <w:szCs w:val="16"/>
              </w:rPr>
            </w:pPr>
          </w:p>
        </w:tc>
        <w:tc>
          <w:tcPr>
            <w:tcW w:w="446" w:type="dxa"/>
          </w:tcPr>
          <w:p w14:paraId="2AF76E72" w14:textId="77777777" w:rsidR="005970FA" w:rsidRPr="001D1F7D" w:rsidRDefault="005970FA" w:rsidP="005970FA">
            <w:pPr>
              <w:rPr>
                <w:sz w:val="16"/>
                <w:szCs w:val="16"/>
              </w:rPr>
            </w:pPr>
          </w:p>
        </w:tc>
        <w:tc>
          <w:tcPr>
            <w:tcW w:w="446" w:type="dxa"/>
          </w:tcPr>
          <w:p w14:paraId="7154CEFF" w14:textId="77777777" w:rsidR="005970FA" w:rsidRPr="001D1F7D" w:rsidRDefault="005970FA" w:rsidP="005970FA">
            <w:pPr>
              <w:rPr>
                <w:sz w:val="16"/>
                <w:szCs w:val="16"/>
              </w:rPr>
            </w:pPr>
          </w:p>
        </w:tc>
        <w:tc>
          <w:tcPr>
            <w:tcW w:w="446" w:type="dxa"/>
            <w:shd w:val="thinReverseDiagStripe" w:color="auto" w:fill="E37230" w:themeFill="accent2"/>
            <w:vAlign w:val="center"/>
          </w:tcPr>
          <w:p w14:paraId="5D9606B2" w14:textId="77777777" w:rsidR="005970FA" w:rsidRPr="001D1F7D" w:rsidRDefault="005970FA" w:rsidP="005970FA">
            <w:pPr>
              <w:rPr>
                <w:sz w:val="16"/>
                <w:szCs w:val="16"/>
              </w:rPr>
            </w:pPr>
            <w:r w:rsidRPr="001D1F7D">
              <w:rPr>
                <w:sz w:val="16"/>
                <w:szCs w:val="16"/>
              </w:rPr>
              <w:t>3</w:t>
            </w:r>
          </w:p>
        </w:tc>
        <w:tc>
          <w:tcPr>
            <w:tcW w:w="446" w:type="dxa"/>
            <w:shd w:val="thinReverseDiagStripe" w:color="auto" w:fill="E37230" w:themeFill="accent2"/>
            <w:vAlign w:val="center"/>
          </w:tcPr>
          <w:p w14:paraId="5F8BB075" w14:textId="77777777" w:rsidR="005970FA" w:rsidRPr="001D1F7D" w:rsidRDefault="005970FA" w:rsidP="005970FA">
            <w:pPr>
              <w:rPr>
                <w:sz w:val="16"/>
                <w:szCs w:val="16"/>
              </w:rPr>
            </w:pPr>
            <w:r w:rsidRPr="001D1F7D">
              <w:rPr>
                <w:sz w:val="16"/>
                <w:szCs w:val="16"/>
              </w:rPr>
              <w:t>3</w:t>
            </w:r>
          </w:p>
        </w:tc>
        <w:tc>
          <w:tcPr>
            <w:tcW w:w="446" w:type="dxa"/>
          </w:tcPr>
          <w:p w14:paraId="0CFD5186" w14:textId="77777777" w:rsidR="005970FA" w:rsidRPr="001D1F7D" w:rsidRDefault="005970FA" w:rsidP="005970FA">
            <w:pPr>
              <w:rPr>
                <w:sz w:val="16"/>
                <w:szCs w:val="16"/>
              </w:rPr>
            </w:pPr>
          </w:p>
        </w:tc>
        <w:tc>
          <w:tcPr>
            <w:tcW w:w="446" w:type="dxa"/>
          </w:tcPr>
          <w:p w14:paraId="6D2D2D10" w14:textId="77777777" w:rsidR="005970FA" w:rsidRPr="001D1F7D" w:rsidRDefault="005970FA" w:rsidP="005970FA">
            <w:pPr>
              <w:rPr>
                <w:sz w:val="16"/>
                <w:szCs w:val="16"/>
              </w:rPr>
            </w:pPr>
          </w:p>
        </w:tc>
        <w:tc>
          <w:tcPr>
            <w:tcW w:w="446" w:type="dxa"/>
          </w:tcPr>
          <w:p w14:paraId="79269F2B" w14:textId="77777777" w:rsidR="005970FA" w:rsidRPr="001D1F7D" w:rsidRDefault="005970FA" w:rsidP="005970FA">
            <w:pPr>
              <w:rPr>
                <w:sz w:val="16"/>
                <w:szCs w:val="16"/>
              </w:rPr>
            </w:pPr>
          </w:p>
        </w:tc>
        <w:tc>
          <w:tcPr>
            <w:tcW w:w="446" w:type="dxa"/>
          </w:tcPr>
          <w:p w14:paraId="59B52516" w14:textId="77777777" w:rsidR="005970FA" w:rsidRPr="001D1F7D" w:rsidRDefault="005970FA" w:rsidP="005970FA">
            <w:pPr>
              <w:rPr>
                <w:sz w:val="16"/>
                <w:szCs w:val="16"/>
              </w:rPr>
            </w:pPr>
          </w:p>
        </w:tc>
        <w:tc>
          <w:tcPr>
            <w:tcW w:w="446" w:type="dxa"/>
          </w:tcPr>
          <w:p w14:paraId="155CAF8F" w14:textId="77777777" w:rsidR="005970FA" w:rsidRPr="001D1F7D" w:rsidRDefault="005970FA" w:rsidP="005970FA">
            <w:pPr>
              <w:rPr>
                <w:sz w:val="16"/>
                <w:szCs w:val="16"/>
              </w:rPr>
            </w:pPr>
          </w:p>
        </w:tc>
        <w:tc>
          <w:tcPr>
            <w:tcW w:w="446" w:type="dxa"/>
          </w:tcPr>
          <w:p w14:paraId="1FC7D060" w14:textId="77777777" w:rsidR="005970FA" w:rsidRPr="001D1F7D" w:rsidRDefault="005970FA" w:rsidP="005970FA">
            <w:pPr>
              <w:rPr>
                <w:sz w:val="16"/>
                <w:szCs w:val="16"/>
              </w:rPr>
            </w:pPr>
          </w:p>
        </w:tc>
      </w:tr>
      <w:tr w:rsidR="005970FA" w:rsidRPr="001D1F7D" w14:paraId="4E324CF8" w14:textId="77777777" w:rsidTr="005970FA">
        <w:tc>
          <w:tcPr>
            <w:tcW w:w="1236" w:type="dxa"/>
          </w:tcPr>
          <w:p w14:paraId="24C0F8AD" w14:textId="77777777" w:rsidR="005970FA" w:rsidRPr="001D1F7D" w:rsidRDefault="005970FA" w:rsidP="005970FA">
            <w:pPr>
              <w:rPr>
                <w:sz w:val="16"/>
                <w:szCs w:val="16"/>
              </w:rPr>
            </w:pPr>
            <w:r w:rsidRPr="001D1F7D">
              <w:rPr>
                <w:sz w:val="16"/>
                <w:szCs w:val="16"/>
              </w:rPr>
              <w:t>Analysis &amp; reporting</w:t>
            </w:r>
          </w:p>
        </w:tc>
        <w:tc>
          <w:tcPr>
            <w:tcW w:w="447" w:type="dxa"/>
          </w:tcPr>
          <w:p w14:paraId="3DD38605" w14:textId="77777777" w:rsidR="005970FA" w:rsidRPr="001D1F7D" w:rsidRDefault="005970FA" w:rsidP="005970FA">
            <w:pPr>
              <w:rPr>
                <w:sz w:val="16"/>
                <w:szCs w:val="16"/>
              </w:rPr>
            </w:pPr>
          </w:p>
        </w:tc>
        <w:tc>
          <w:tcPr>
            <w:tcW w:w="447" w:type="dxa"/>
          </w:tcPr>
          <w:p w14:paraId="76C93080" w14:textId="77777777" w:rsidR="005970FA" w:rsidRPr="001D1F7D" w:rsidRDefault="005970FA" w:rsidP="005970FA">
            <w:pPr>
              <w:rPr>
                <w:sz w:val="16"/>
                <w:szCs w:val="16"/>
              </w:rPr>
            </w:pPr>
          </w:p>
        </w:tc>
        <w:tc>
          <w:tcPr>
            <w:tcW w:w="446" w:type="dxa"/>
          </w:tcPr>
          <w:p w14:paraId="1F5691AB" w14:textId="77777777" w:rsidR="005970FA" w:rsidRPr="001D1F7D" w:rsidRDefault="005970FA" w:rsidP="005970FA">
            <w:pPr>
              <w:rPr>
                <w:sz w:val="16"/>
                <w:szCs w:val="16"/>
              </w:rPr>
            </w:pPr>
          </w:p>
        </w:tc>
        <w:tc>
          <w:tcPr>
            <w:tcW w:w="446" w:type="dxa"/>
          </w:tcPr>
          <w:p w14:paraId="571F07A4" w14:textId="77777777" w:rsidR="005970FA" w:rsidRPr="001D1F7D" w:rsidRDefault="005970FA" w:rsidP="005970FA">
            <w:pPr>
              <w:rPr>
                <w:sz w:val="16"/>
                <w:szCs w:val="16"/>
              </w:rPr>
            </w:pPr>
          </w:p>
        </w:tc>
        <w:tc>
          <w:tcPr>
            <w:tcW w:w="446" w:type="dxa"/>
          </w:tcPr>
          <w:p w14:paraId="5C74F319" w14:textId="77777777" w:rsidR="005970FA" w:rsidRPr="001D1F7D" w:rsidRDefault="005970FA" w:rsidP="005970FA">
            <w:pPr>
              <w:rPr>
                <w:sz w:val="16"/>
                <w:szCs w:val="16"/>
              </w:rPr>
            </w:pPr>
          </w:p>
        </w:tc>
        <w:tc>
          <w:tcPr>
            <w:tcW w:w="446" w:type="dxa"/>
          </w:tcPr>
          <w:p w14:paraId="0D9EDBBA" w14:textId="77777777" w:rsidR="005970FA" w:rsidRPr="001D1F7D" w:rsidRDefault="005970FA" w:rsidP="005970FA">
            <w:pPr>
              <w:rPr>
                <w:sz w:val="16"/>
                <w:szCs w:val="16"/>
              </w:rPr>
            </w:pPr>
          </w:p>
        </w:tc>
        <w:tc>
          <w:tcPr>
            <w:tcW w:w="446" w:type="dxa"/>
            <w:shd w:val="clear" w:color="auto" w:fill="auto"/>
          </w:tcPr>
          <w:p w14:paraId="226039A7" w14:textId="77777777" w:rsidR="005970FA" w:rsidRPr="001D1F7D" w:rsidRDefault="005970FA" w:rsidP="005970FA">
            <w:pPr>
              <w:rPr>
                <w:sz w:val="16"/>
                <w:szCs w:val="16"/>
              </w:rPr>
            </w:pPr>
          </w:p>
        </w:tc>
        <w:tc>
          <w:tcPr>
            <w:tcW w:w="446" w:type="dxa"/>
            <w:shd w:val="clear" w:color="auto" w:fill="auto"/>
          </w:tcPr>
          <w:p w14:paraId="60906F4B" w14:textId="77777777" w:rsidR="005970FA" w:rsidRPr="001D1F7D" w:rsidRDefault="005970FA" w:rsidP="005970FA">
            <w:pPr>
              <w:rPr>
                <w:sz w:val="16"/>
                <w:szCs w:val="16"/>
              </w:rPr>
            </w:pPr>
          </w:p>
        </w:tc>
        <w:tc>
          <w:tcPr>
            <w:tcW w:w="446" w:type="dxa"/>
            <w:shd w:val="clear" w:color="auto" w:fill="auto"/>
          </w:tcPr>
          <w:p w14:paraId="200A6FDB" w14:textId="77777777" w:rsidR="005970FA" w:rsidRPr="001D1F7D" w:rsidRDefault="005970FA" w:rsidP="005970FA">
            <w:pPr>
              <w:rPr>
                <w:sz w:val="16"/>
                <w:szCs w:val="16"/>
              </w:rPr>
            </w:pPr>
          </w:p>
        </w:tc>
        <w:tc>
          <w:tcPr>
            <w:tcW w:w="446" w:type="dxa"/>
            <w:shd w:val="clear" w:color="auto" w:fill="auto"/>
          </w:tcPr>
          <w:p w14:paraId="4B71F5B5" w14:textId="77777777" w:rsidR="005970FA" w:rsidRPr="001D1F7D" w:rsidRDefault="005970FA" w:rsidP="005970FA">
            <w:pPr>
              <w:rPr>
                <w:sz w:val="16"/>
                <w:szCs w:val="16"/>
              </w:rPr>
            </w:pPr>
          </w:p>
        </w:tc>
        <w:tc>
          <w:tcPr>
            <w:tcW w:w="446" w:type="dxa"/>
          </w:tcPr>
          <w:p w14:paraId="6DEBEFBA" w14:textId="77777777" w:rsidR="005970FA" w:rsidRPr="001D1F7D" w:rsidRDefault="005970FA" w:rsidP="005970FA">
            <w:pPr>
              <w:rPr>
                <w:sz w:val="16"/>
                <w:szCs w:val="16"/>
              </w:rPr>
            </w:pPr>
          </w:p>
        </w:tc>
        <w:tc>
          <w:tcPr>
            <w:tcW w:w="446" w:type="dxa"/>
          </w:tcPr>
          <w:p w14:paraId="0F589DA5" w14:textId="77777777" w:rsidR="005970FA" w:rsidRPr="001D1F7D" w:rsidRDefault="005970FA" w:rsidP="005970FA">
            <w:pPr>
              <w:rPr>
                <w:sz w:val="16"/>
                <w:szCs w:val="16"/>
              </w:rPr>
            </w:pPr>
          </w:p>
        </w:tc>
        <w:tc>
          <w:tcPr>
            <w:tcW w:w="446" w:type="dxa"/>
          </w:tcPr>
          <w:p w14:paraId="55A48C25" w14:textId="77777777" w:rsidR="005970FA" w:rsidRPr="001D1F7D" w:rsidRDefault="005970FA" w:rsidP="005970FA">
            <w:pPr>
              <w:rPr>
                <w:sz w:val="16"/>
                <w:szCs w:val="16"/>
              </w:rPr>
            </w:pPr>
          </w:p>
        </w:tc>
        <w:tc>
          <w:tcPr>
            <w:tcW w:w="446" w:type="dxa"/>
          </w:tcPr>
          <w:p w14:paraId="24A1530A" w14:textId="77777777" w:rsidR="005970FA" w:rsidRPr="001D1F7D" w:rsidRDefault="005970FA" w:rsidP="005970FA">
            <w:pPr>
              <w:rPr>
                <w:sz w:val="16"/>
                <w:szCs w:val="16"/>
              </w:rPr>
            </w:pPr>
          </w:p>
        </w:tc>
        <w:tc>
          <w:tcPr>
            <w:tcW w:w="446" w:type="dxa"/>
          </w:tcPr>
          <w:p w14:paraId="5BFB7A2D" w14:textId="77777777" w:rsidR="005970FA" w:rsidRPr="001D1F7D" w:rsidRDefault="005970FA" w:rsidP="005970FA">
            <w:pPr>
              <w:rPr>
                <w:sz w:val="16"/>
                <w:szCs w:val="16"/>
              </w:rPr>
            </w:pPr>
          </w:p>
        </w:tc>
        <w:tc>
          <w:tcPr>
            <w:tcW w:w="446" w:type="dxa"/>
          </w:tcPr>
          <w:p w14:paraId="598AFE7E" w14:textId="77777777" w:rsidR="005970FA" w:rsidRPr="001D1F7D" w:rsidRDefault="005970FA" w:rsidP="005970FA">
            <w:pPr>
              <w:rPr>
                <w:sz w:val="16"/>
                <w:szCs w:val="16"/>
              </w:rPr>
            </w:pPr>
          </w:p>
        </w:tc>
        <w:tc>
          <w:tcPr>
            <w:tcW w:w="446" w:type="dxa"/>
            <w:shd w:val="clear" w:color="auto" w:fill="E37230" w:themeFill="accent2"/>
          </w:tcPr>
          <w:p w14:paraId="44520210" w14:textId="77777777" w:rsidR="005970FA" w:rsidRPr="001D1F7D" w:rsidRDefault="005970FA" w:rsidP="005970FA">
            <w:pPr>
              <w:rPr>
                <w:sz w:val="16"/>
                <w:szCs w:val="16"/>
              </w:rPr>
            </w:pPr>
          </w:p>
        </w:tc>
        <w:tc>
          <w:tcPr>
            <w:tcW w:w="446" w:type="dxa"/>
            <w:shd w:val="clear" w:color="auto" w:fill="E37230" w:themeFill="accent2"/>
          </w:tcPr>
          <w:p w14:paraId="1925F4EF" w14:textId="77777777" w:rsidR="005970FA" w:rsidRPr="001D1F7D" w:rsidRDefault="005970FA" w:rsidP="005970FA">
            <w:pPr>
              <w:rPr>
                <w:sz w:val="16"/>
                <w:szCs w:val="16"/>
              </w:rPr>
            </w:pPr>
          </w:p>
        </w:tc>
        <w:tc>
          <w:tcPr>
            <w:tcW w:w="446" w:type="dxa"/>
          </w:tcPr>
          <w:p w14:paraId="6032357C" w14:textId="77777777" w:rsidR="005970FA" w:rsidRPr="001D1F7D" w:rsidRDefault="005970FA" w:rsidP="005970FA">
            <w:pPr>
              <w:rPr>
                <w:sz w:val="16"/>
                <w:szCs w:val="16"/>
              </w:rPr>
            </w:pPr>
          </w:p>
        </w:tc>
        <w:tc>
          <w:tcPr>
            <w:tcW w:w="446" w:type="dxa"/>
          </w:tcPr>
          <w:p w14:paraId="013ACCE3" w14:textId="77777777" w:rsidR="005970FA" w:rsidRPr="001D1F7D" w:rsidRDefault="005970FA" w:rsidP="005970FA">
            <w:pPr>
              <w:rPr>
                <w:sz w:val="16"/>
                <w:szCs w:val="16"/>
              </w:rPr>
            </w:pPr>
          </w:p>
        </w:tc>
        <w:tc>
          <w:tcPr>
            <w:tcW w:w="446" w:type="dxa"/>
          </w:tcPr>
          <w:p w14:paraId="47D2D716" w14:textId="77777777" w:rsidR="005970FA" w:rsidRPr="001D1F7D" w:rsidRDefault="005970FA" w:rsidP="005970FA">
            <w:pPr>
              <w:rPr>
                <w:sz w:val="16"/>
                <w:szCs w:val="16"/>
              </w:rPr>
            </w:pPr>
          </w:p>
        </w:tc>
        <w:tc>
          <w:tcPr>
            <w:tcW w:w="446" w:type="dxa"/>
          </w:tcPr>
          <w:p w14:paraId="7E9250CA" w14:textId="77777777" w:rsidR="005970FA" w:rsidRPr="001D1F7D" w:rsidRDefault="005970FA" w:rsidP="005970FA">
            <w:pPr>
              <w:rPr>
                <w:sz w:val="16"/>
                <w:szCs w:val="16"/>
              </w:rPr>
            </w:pPr>
          </w:p>
        </w:tc>
      </w:tr>
      <w:tr w:rsidR="005970FA" w:rsidRPr="001D1F7D" w14:paraId="696EACC8" w14:textId="77777777" w:rsidTr="005970FA">
        <w:tc>
          <w:tcPr>
            <w:tcW w:w="1236" w:type="dxa"/>
          </w:tcPr>
          <w:p w14:paraId="7ABF9C09" w14:textId="2CA207C3" w:rsidR="005970FA" w:rsidRPr="001D1F7D" w:rsidRDefault="005970FA" w:rsidP="005970FA">
            <w:pPr>
              <w:rPr>
                <w:sz w:val="16"/>
                <w:szCs w:val="16"/>
              </w:rPr>
            </w:pPr>
            <w:r w:rsidRPr="001D1F7D">
              <w:rPr>
                <w:sz w:val="16"/>
                <w:szCs w:val="16"/>
              </w:rPr>
              <w:t>Deliverable 4 submission</w:t>
            </w:r>
          </w:p>
        </w:tc>
        <w:tc>
          <w:tcPr>
            <w:tcW w:w="447" w:type="dxa"/>
          </w:tcPr>
          <w:p w14:paraId="4B5AC8B9" w14:textId="77777777" w:rsidR="005970FA" w:rsidRPr="001D1F7D" w:rsidRDefault="005970FA" w:rsidP="005970FA">
            <w:pPr>
              <w:rPr>
                <w:sz w:val="16"/>
                <w:szCs w:val="16"/>
              </w:rPr>
            </w:pPr>
          </w:p>
        </w:tc>
        <w:tc>
          <w:tcPr>
            <w:tcW w:w="447" w:type="dxa"/>
          </w:tcPr>
          <w:p w14:paraId="74D34AA1" w14:textId="77777777" w:rsidR="005970FA" w:rsidRPr="001D1F7D" w:rsidRDefault="005970FA" w:rsidP="005970FA">
            <w:pPr>
              <w:rPr>
                <w:sz w:val="16"/>
                <w:szCs w:val="16"/>
              </w:rPr>
            </w:pPr>
          </w:p>
        </w:tc>
        <w:tc>
          <w:tcPr>
            <w:tcW w:w="446" w:type="dxa"/>
          </w:tcPr>
          <w:p w14:paraId="68E2F221" w14:textId="77777777" w:rsidR="005970FA" w:rsidRPr="001D1F7D" w:rsidRDefault="005970FA" w:rsidP="005970FA">
            <w:pPr>
              <w:rPr>
                <w:sz w:val="16"/>
                <w:szCs w:val="16"/>
              </w:rPr>
            </w:pPr>
          </w:p>
        </w:tc>
        <w:tc>
          <w:tcPr>
            <w:tcW w:w="446" w:type="dxa"/>
          </w:tcPr>
          <w:p w14:paraId="656FCE8D" w14:textId="77777777" w:rsidR="005970FA" w:rsidRPr="001D1F7D" w:rsidRDefault="005970FA" w:rsidP="005970FA">
            <w:pPr>
              <w:rPr>
                <w:sz w:val="16"/>
                <w:szCs w:val="16"/>
              </w:rPr>
            </w:pPr>
          </w:p>
        </w:tc>
        <w:tc>
          <w:tcPr>
            <w:tcW w:w="446" w:type="dxa"/>
          </w:tcPr>
          <w:p w14:paraId="0D53ED03" w14:textId="77777777" w:rsidR="005970FA" w:rsidRPr="001D1F7D" w:rsidRDefault="005970FA" w:rsidP="005970FA">
            <w:pPr>
              <w:rPr>
                <w:sz w:val="16"/>
                <w:szCs w:val="16"/>
              </w:rPr>
            </w:pPr>
          </w:p>
        </w:tc>
        <w:tc>
          <w:tcPr>
            <w:tcW w:w="446" w:type="dxa"/>
          </w:tcPr>
          <w:p w14:paraId="67B8543E" w14:textId="77777777" w:rsidR="005970FA" w:rsidRPr="001D1F7D" w:rsidRDefault="005970FA" w:rsidP="005970FA">
            <w:pPr>
              <w:rPr>
                <w:sz w:val="16"/>
                <w:szCs w:val="16"/>
              </w:rPr>
            </w:pPr>
          </w:p>
        </w:tc>
        <w:tc>
          <w:tcPr>
            <w:tcW w:w="446" w:type="dxa"/>
            <w:shd w:val="clear" w:color="auto" w:fill="auto"/>
          </w:tcPr>
          <w:p w14:paraId="2584CBA8" w14:textId="77777777" w:rsidR="005970FA" w:rsidRPr="001D1F7D" w:rsidRDefault="005970FA" w:rsidP="005970FA">
            <w:pPr>
              <w:rPr>
                <w:sz w:val="16"/>
                <w:szCs w:val="16"/>
              </w:rPr>
            </w:pPr>
          </w:p>
        </w:tc>
        <w:tc>
          <w:tcPr>
            <w:tcW w:w="446" w:type="dxa"/>
            <w:shd w:val="clear" w:color="auto" w:fill="auto"/>
          </w:tcPr>
          <w:p w14:paraId="7285AC8B" w14:textId="77777777" w:rsidR="005970FA" w:rsidRPr="001D1F7D" w:rsidRDefault="005970FA" w:rsidP="005970FA">
            <w:pPr>
              <w:rPr>
                <w:sz w:val="16"/>
                <w:szCs w:val="16"/>
              </w:rPr>
            </w:pPr>
          </w:p>
        </w:tc>
        <w:tc>
          <w:tcPr>
            <w:tcW w:w="446" w:type="dxa"/>
            <w:shd w:val="clear" w:color="auto" w:fill="auto"/>
          </w:tcPr>
          <w:p w14:paraId="0D393966" w14:textId="77777777" w:rsidR="005970FA" w:rsidRPr="001D1F7D" w:rsidRDefault="005970FA" w:rsidP="005970FA">
            <w:pPr>
              <w:rPr>
                <w:sz w:val="16"/>
                <w:szCs w:val="16"/>
              </w:rPr>
            </w:pPr>
          </w:p>
        </w:tc>
        <w:tc>
          <w:tcPr>
            <w:tcW w:w="446" w:type="dxa"/>
            <w:shd w:val="clear" w:color="auto" w:fill="auto"/>
          </w:tcPr>
          <w:p w14:paraId="675BBCEB" w14:textId="77777777" w:rsidR="005970FA" w:rsidRPr="001D1F7D" w:rsidRDefault="005970FA" w:rsidP="005970FA">
            <w:pPr>
              <w:rPr>
                <w:sz w:val="16"/>
                <w:szCs w:val="16"/>
              </w:rPr>
            </w:pPr>
          </w:p>
        </w:tc>
        <w:tc>
          <w:tcPr>
            <w:tcW w:w="446" w:type="dxa"/>
          </w:tcPr>
          <w:p w14:paraId="456B6C6C" w14:textId="77777777" w:rsidR="005970FA" w:rsidRPr="001D1F7D" w:rsidRDefault="005970FA" w:rsidP="005970FA">
            <w:pPr>
              <w:rPr>
                <w:sz w:val="16"/>
                <w:szCs w:val="16"/>
              </w:rPr>
            </w:pPr>
          </w:p>
        </w:tc>
        <w:tc>
          <w:tcPr>
            <w:tcW w:w="446" w:type="dxa"/>
          </w:tcPr>
          <w:p w14:paraId="452B3809" w14:textId="77777777" w:rsidR="005970FA" w:rsidRPr="001D1F7D" w:rsidRDefault="005970FA" w:rsidP="005970FA">
            <w:pPr>
              <w:rPr>
                <w:sz w:val="16"/>
                <w:szCs w:val="16"/>
              </w:rPr>
            </w:pPr>
          </w:p>
        </w:tc>
        <w:tc>
          <w:tcPr>
            <w:tcW w:w="446" w:type="dxa"/>
          </w:tcPr>
          <w:p w14:paraId="26119214" w14:textId="77777777" w:rsidR="005970FA" w:rsidRPr="001D1F7D" w:rsidRDefault="005970FA" w:rsidP="005970FA">
            <w:pPr>
              <w:rPr>
                <w:sz w:val="16"/>
                <w:szCs w:val="16"/>
              </w:rPr>
            </w:pPr>
          </w:p>
        </w:tc>
        <w:tc>
          <w:tcPr>
            <w:tcW w:w="446" w:type="dxa"/>
          </w:tcPr>
          <w:p w14:paraId="0B1DD6D2" w14:textId="77777777" w:rsidR="005970FA" w:rsidRPr="001D1F7D" w:rsidRDefault="005970FA" w:rsidP="005970FA">
            <w:pPr>
              <w:rPr>
                <w:sz w:val="16"/>
                <w:szCs w:val="16"/>
              </w:rPr>
            </w:pPr>
          </w:p>
        </w:tc>
        <w:tc>
          <w:tcPr>
            <w:tcW w:w="446" w:type="dxa"/>
          </w:tcPr>
          <w:p w14:paraId="12C6E9B1" w14:textId="77777777" w:rsidR="005970FA" w:rsidRPr="001D1F7D" w:rsidRDefault="005970FA" w:rsidP="005970FA">
            <w:pPr>
              <w:rPr>
                <w:sz w:val="16"/>
                <w:szCs w:val="16"/>
              </w:rPr>
            </w:pPr>
          </w:p>
        </w:tc>
        <w:tc>
          <w:tcPr>
            <w:tcW w:w="446" w:type="dxa"/>
          </w:tcPr>
          <w:p w14:paraId="73FFF600" w14:textId="77777777" w:rsidR="005970FA" w:rsidRPr="001D1F7D" w:rsidRDefault="005970FA" w:rsidP="005970FA">
            <w:pPr>
              <w:rPr>
                <w:sz w:val="16"/>
                <w:szCs w:val="16"/>
              </w:rPr>
            </w:pPr>
          </w:p>
        </w:tc>
        <w:tc>
          <w:tcPr>
            <w:tcW w:w="446" w:type="dxa"/>
          </w:tcPr>
          <w:p w14:paraId="3D8D61E0" w14:textId="77777777" w:rsidR="005970FA" w:rsidRPr="001D1F7D" w:rsidRDefault="005970FA" w:rsidP="005970FA">
            <w:pPr>
              <w:rPr>
                <w:sz w:val="16"/>
                <w:szCs w:val="16"/>
              </w:rPr>
            </w:pPr>
          </w:p>
        </w:tc>
        <w:tc>
          <w:tcPr>
            <w:tcW w:w="446" w:type="dxa"/>
            <w:shd w:val="clear" w:color="auto" w:fill="E37230" w:themeFill="accent2"/>
          </w:tcPr>
          <w:p w14:paraId="73F09C39" w14:textId="77777777" w:rsidR="005970FA" w:rsidRPr="001D1F7D" w:rsidRDefault="005970FA" w:rsidP="005970FA">
            <w:pPr>
              <w:rPr>
                <w:sz w:val="16"/>
                <w:szCs w:val="16"/>
              </w:rPr>
            </w:pPr>
          </w:p>
        </w:tc>
        <w:tc>
          <w:tcPr>
            <w:tcW w:w="446" w:type="dxa"/>
          </w:tcPr>
          <w:p w14:paraId="70A62C58" w14:textId="77777777" w:rsidR="005970FA" w:rsidRPr="001D1F7D" w:rsidRDefault="005970FA" w:rsidP="005970FA">
            <w:pPr>
              <w:rPr>
                <w:sz w:val="16"/>
                <w:szCs w:val="16"/>
              </w:rPr>
            </w:pPr>
          </w:p>
        </w:tc>
        <w:tc>
          <w:tcPr>
            <w:tcW w:w="446" w:type="dxa"/>
          </w:tcPr>
          <w:p w14:paraId="32000C8D" w14:textId="77777777" w:rsidR="005970FA" w:rsidRPr="001D1F7D" w:rsidRDefault="005970FA" w:rsidP="005970FA">
            <w:pPr>
              <w:rPr>
                <w:sz w:val="16"/>
                <w:szCs w:val="16"/>
              </w:rPr>
            </w:pPr>
          </w:p>
        </w:tc>
        <w:tc>
          <w:tcPr>
            <w:tcW w:w="446" w:type="dxa"/>
          </w:tcPr>
          <w:p w14:paraId="46EE5C4E" w14:textId="77777777" w:rsidR="005970FA" w:rsidRPr="001D1F7D" w:rsidRDefault="005970FA" w:rsidP="005970FA">
            <w:pPr>
              <w:rPr>
                <w:sz w:val="16"/>
                <w:szCs w:val="16"/>
              </w:rPr>
            </w:pPr>
          </w:p>
        </w:tc>
        <w:tc>
          <w:tcPr>
            <w:tcW w:w="446" w:type="dxa"/>
          </w:tcPr>
          <w:p w14:paraId="4158096F" w14:textId="77777777" w:rsidR="005970FA" w:rsidRPr="001D1F7D" w:rsidRDefault="005970FA" w:rsidP="005970FA">
            <w:pPr>
              <w:rPr>
                <w:sz w:val="16"/>
                <w:szCs w:val="16"/>
              </w:rPr>
            </w:pPr>
          </w:p>
        </w:tc>
      </w:tr>
      <w:tr w:rsidR="005970FA" w:rsidRPr="001D1F7D" w14:paraId="5542FFDE" w14:textId="77777777" w:rsidTr="005970FA">
        <w:tc>
          <w:tcPr>
            <w:tcW w:w="1236" w:type="dxa"/>
          </w:tcPr>
          <w:p w14:paraId="55E75D1B" w14:textId="2E9A2B22" w:rsidR="005970FA" w:rsidRPr="001D1F7D" w:rsidRDefault="005970FA" w:rsidP="005970FA">
            <w:pPr>
              <w:rPr>
                <w:sz w:val="16"/>
                <w:szCs w:val="16"/>
              </w:rPr>
            </w:pPr>
            <w:r w:rsidRPr="001D1F7D">
              <w:rPr>
                <w:sz w:val="16"/>
                <w:szCs w:val="16"/>
              </w:rPr>
              <w:t xml:space="preserve">Revisions &amp; dissemination </w:t>
            </w:r>
          </w:p>
        </w:tc>
        <w:tc>
          <w:tcPr>
            <w:tcW w:w="447" w:type="dxa"/>
          </w:tcPr>
          <w:p w14:paraId="62D3139E" w14:textId="77777777" w:rsidR="005970FA" w:rsidRPr="001D1F7D" w:rsidRDefault="005970FA" w:rsidP="005970FA">
            <w:pPr>
              <w:rPr>
                <w:sz w:val="16"/>
                <w:szCs w:val="16"/>
              </w:rPr>
            </w:pPr>
          </w:p>
        </w:tc>
        <w:tc>
          <w:tcPr>
            <w:tcW w:w="447" w:type="dxa"/>
          </w:tcPr>
          <w:p w14:paraId="56A48A56" w14:textId="77777777" w:rsidR="005970FA" w:rsidRPr="001D1F7D" w:rsidRDefault="005970FA" w:rsidP="005970FA">
            <w:pPr>
              <w:rPr>
                <w:sz w:val="16"/>
                <w:szCs w:val="16"/>
              </w:rPr>
            </w:pPr>
          </w:p>
        </w:tc>
        <w:tc>
          <w:tcPr>
            <w:tcW w:w="446" w:type="dxa"/>
          </w:tcPr>
          <w:p w14:paraId="015BDB57" w14:textId="77777777" w:rsidR="005970FA" w:rsidRPr="001D1F7D" w:rsidRDefault="005970FA" w:rsidP="005970FA">
            <w:pPr>
              <w:rPr>
                <w:sz w:val="16"/>
                <w:szCs w:val="16"/>
              </w:rPr>
            </w:pPr>
          </w:p>
        </w:tc>
        <w:tc>
          <w:tcPr>
            <w:tcW w:w="446" w:type="dxa"/>
          </w:tcPr>
          <w:p w14:paraId="3BFA40C5" w14:textId="77777777" w:rsidR="005970FA" w:rsidRPr="001D1F7D" w:rsidRDefault="005970FA" w:rsidP="005970FA">
            <w:pPr>
              <w:rPr>
                <w:sz w:val="16"/>
                <w:szCs w:val="16"/>
              </w:rPr>
            </w:pPr>
          </w:p>
        </w:tc>
        <w:tc>
          <w:tcPr>
            <w:tcW w:w="446" w:type="dxa"/>
          </w:tcPr>
          <w:p w14:paraId="0A9386D5" w14:textId="77777777" w:rsidR="005970FA" w:rsidRPr="001D1F7D" w:rsidRDefault="005970FA" w:rsidP="005970FA">
            <w:pPr>
              <w:rPr>
                <w:sz w:val="16"/>
                <w:szCs w:val="16"/>
              </w:rPr>
            </w:pPr>
          </w:p>
        </w:tc>
        <w:tc>
          <w:tcPr>
            <w:tcW w:w="446" w:type="dxa"/>
          </w:tcPr>
          <w:p w14:paraId="58A86056" w14:textId="77777777" w:rsidR="005970FA" w:rsidRPr="001D1F7D" w:rsidRDefault="005970FA" w:rsidP="005970FA">
            <w:pPr>
              <w:rPr>
                <w:sz w:val="16"/>
                <w:szCs w:val="16"/>
              </w:rPr>
            </w:pPr>
          </w:p>
        </w:tc>
        <w:tc>
          <w:tcPr>
            <w:tcW w:w="446" w:type="dxa"/>
          </w:tcPr>
          <w:p w14:paraId="4E849D9B" w14:textId="77777777" w:rsidR="005970FA" w:rsidRPr="001D1F7D" w:rsidRDefault="005970FA" w:rsidP="005970FA">
            <w:pPr>
              <w:rPr>
                <w:sz w:val="16"/>
                <w:szCs w:val="16"/>
              </w:rPr>
            </w:pPr>
          </w:p>
        </w:tc>
        <w:tc>
          <w:tcPr>
            <w:tcW w:w="446" w:type="dxa"/>
          </w:tcPr>
          <w:p w14:paraId="509F1F65" w14:textId="77777777" w:rsidR="005970FA" w:rsidRPr="001D1F7D" w:rsidRDefault="005970FA" w:rsidP="005970FA">
            <w:pPr>
              <w:rPr>
                <w:sz w:val="16"/>
                <w:szCs w:val="16"/>
              </w:rPr>
            </w:pPr>
          </w:p>
        </w:tc>
        <w:tc>
          <w:tcPr>
            <w:tcW w:w="446" w:type="dxa"/>
          </w:tcPr>
          <w:p w14:paraId="0384489A" w14:textId="77777777" w:rsidR="005970FA" w:rsidRPr="001D1F7D" w:rsidRDefault="005970FA" w:rsidP="005970FA">
            <w:pPr>
              <w:rPr>
                <w:sz w:val="16"/>
                <w:szCs w:val="16"/>
              </w:rPr>
            </w:pPr>
          </w:p>
        </w:tc>
        <w:tc>
          <w:tcPr>
            <w:tcW w:w="446" w:type="dxa"/>
            <w:shd w:val="clear" w:color="auto" w:fill="auto"/>
          </w:tcPr>
          <w:p w14:paraId="04E1E66F" w14:textId="77777777" w:rsidR="005970FA" w:rsidRPr="001D1F7D" w:rsidRDefault="005970FA" w:rsidP="005970FA">
            <w:pPr>
              <w:rPr>
                <w:sz w:val="16"/>
                <w:szCs w:val="16"/>
              </w:rPr>
            </w:pPr>
          </w:p>
        </w:tc>
        <w:tc>
          <w:tcPr>
            <w:tcW w:w="446" w:type="dxa"/>
          </w:tcPr>
          <w:p w14:paraId="6951E36C" w14:textId="77777777" w:rsidR="005970FA" w:rsidRPr="001D1F7D" w:rsidRDefault="005970FA" w:rsidP="005970FA">
            <w:pPr>
              <w:rPr>
                <w:sz w:val="16"/>
                <w:szCs w:val="16"/>
              </w:rPr>
            </w:pPr>
          </w:p>
        </w:tc>
        <w:tc>
          <w:tcPr>
            <w:tcW w:w="446" w:type="dxa"/>
          </w:tcPr>
          <w:p w14:paraId="058EA1CC" w14:textId="77777777" w:rsidR="005970FA" w:rsidRPr="001D1F7D" w:rsidRDefault="005970FA" w:rsidP="005970FA">
            <w:pPr>
              <w:rPr>
                <w:sz w:val="16"/>
                <w:szCs w:val="16"/>
              </w:rPr>
            </w:pPr>
          </w:p>
        </w:tc>
        <w:tc>
          <w:tcPr>
            <w:tcW w:w="446" w:type="dxa"/>
          </w:tcPr>
          <w:p w14:paraId="4BE1B061" w14:textId="77777777" w:rsidR="005970FA" w:rsidRPr="001D1F7D" w:rsidRDefault="005970FA" w:rsidP="005970FA">
            <w:pPr>
              <w:rPr>
                <w:sz w:val="16"/>
                <w:szCs w:val="16"/>
              </w:rPr>
            </w:pPr>
          </w:p>
        </w:tc>
        <w:tc>
          <w:tcPr>
            <w:tcW w:w="446" w:type="dxa"/>
          </w:tcPr>
          <w:p w14:paraId="2C384597" w14:textId="77777777" w:rsidR="005970FA" w:rsidRPr="001D1F7D" w:rsidRDefault="005970FA" w:rsidP="005970FA">
            <w:pPr>
              <w:rPr>
                <w:sz w:val="16"/>
                <w:szCs w:val="16"/>
              </w:rPr>
            </w:pPr>
          </w:p>
        </w:tc>
        <w:tc>
          <w:tcPr>
            <w:tcW w:w="446" w:type="dxa"/>
          </w:tcPr>
          <w:p w14:paraId="05D28F38" w14:textId="77777777" w:rsidR="005970FA" w:rsidRPr="001D1F7D" w:rsidRDefault="005970FA" w:rsidP="005970FA">
            <w:pPr>
              <w:rPr>
                <w:sz w:val="16"/>
                <w:szCs w:val="16"/>
              </w:rPr>
            </w:pPr>
          </w:p>
        </w:tc>
        <w:tc>
          <w:tcPr>
            <w:tcW w:w="446" w:type="dxa"/>
          </w:tcPr>
          <w:p w14:paraId="79CD1741" w14:textId="77777777" w:rsidR="005970FA" w:rsidRPr="001D1F7D" w:rsidRDefault="005970FA" w:rsidP="005970FA">
            <w:pPr>
              <w:rPr>
                <w:sz w:val="16"/>
                <w:szCs w:val="16"/>
              </w:rPr>
            </w:pPr>
          </w:p>
        </w:tc>
        <w:tc>
          <w:tcPr>
            <w:tcW w:w="446" w:type="dxa"/>
          </w:tcPr>
          <w:p w14:paraId="4C02167E" w14:textId="77777777" w:rsidR="005970FA" w:rsidRPr="001D1F7D" w:rsidRDefault="005970FA" w:rsidP="005970FA">
            <w:pPr>
              <w:rPr>
                <w:sz w:val="16"/>
                <w:szCs w:val="16"/>
              </w:rPr>
            </w:pPr>
          </w:p>
        </w:tc>
        <w:tc>
          <w:tcPr>
            <w:tcW w:w="446" w:type="dxa"/>
          </w:tcPr>
          <w:p w14:paraId="0725BF9C" w14:textId="77777777" w:rsidR="005970FA" w:rsidRPr="001D1F7D" w:rsidRDefault="005970FA" w:rsidP="005970FA">
            <w:pPr>
              <w:rPr>
                <w:sz w:val="16"/>
                <w:szCs w:val="16"/>
              </w:rPr>
            </w:pPr>
          </w:p>
        </w:tc>
        <w:tc>
          <w:tcPr>
            <w:tcW w:w="446" w:type="dxa"/>
            <w:shd w:val="clear" w:color="auto" w:fill="E37230" w:themeFill="accent2"/>
          </w:tcPr>
          <w:p w14:paraId="4E34835C" w14:textId="77777777" w:rsidR="005970FA" w:rsidRPr="001D1F7D" w:rsidRDefault="005970FA" w:rsidP="005970FA">
            <w:pPr>
              <w:rPr>
                <w:sz w:val="16"/>
                <w:szCs w:val="16"/>
              </w:rPr>
            </w:pPr>
          </w:p>
        </w:tc>
        <w:tc>
          <w:tcPr>
            <w:tcW w:w="446" w:type="dxa"/>
            <w:shd w:val="clear" w:color="auto" w:fill="E37230" w:themeFill="accent2"/>
          </w:tcPr>
          <w:p w14:paraId="4FA04965" w14:textId="77777777" w:rsidR="005970FA" w:rsidRPr="001D1F7D" w:rsidRDefault="005970FA" w:rsidP="005970FA">
            <w:pPr>
              <w:rPr>
                <w:sz w:val="16"/>
                <w:szCs w:val="16"/>
              </w:rPr>
            </w:pPr>
          </w:p>
        </w:tc>
        <w:tc>
          <w:tcPr>
            <w:tcW w:w="446" w:type="dxa"/>
            <w:shd w:val="clear" w:color="auto" w:fill="E37230" w:themeFill="accent2"/>
          </w:tcPr>
          <w:p w14:paraId="532C93E3" w14:textId="77777777" w:rsidR="005970FA" w:rsidRPr="001D1F7D" w:rsidRDefault="005970FA" w:rsidP="005970FA">
            <w:pPr>
              <w:rPr>
                <w:sz w:val="16"/>
                <w:szCs w:val="16"/>
              </w:rPr>
            </w:pPr>
          </w:p>
        </w:tc>
        <w:tc>
          <w:tcPr>
            <w:tcW w:w="446" w:type="dxa"/>
            <w:shd w:val="clear" w:color="auto" w:fill="E37230" w:themeFill="accent2"/>
          </w:tcPr>
          <w:p w14:paraId="70325064" w14:textId="77777777" w:rsidR="005970FA" w:rsidRPr="001D1F7D" w:rsidRDefault="005970FA" w:rsidP="005970FA">
            <w:pPr>
              <w:keepNext/>
              <w:rPr>
                <w:sz w:val="16"/>
                <w:szCs w:val="16"/>
              </w:rPr>
            </w:pPr>
          </w:p>
        </w:tc>
      </w:tr>
    </w:tbl>
    <w:p w14:paraId="1897924F" w14:textId="77777777" w:rsidR="00171107" w:rsidRDefault="00171107" w:rsidP="009A47FE">
      <w:pPr>
        <w:pStyle w:val="Itadfootnotestyle"/>
      </w:pPr>
    </w:p>
    <w:tbl>
      <w:tblPr>
        <w:tblStyle w:val="TableGrid"/>
        <w:tblW w:w="0" w:type="auto"/>
        <w:tblLook w:val="04A0" w:firstRow="1" w:lastRow="0" w:firstColumn="1" w:lastColumn="0" w:noHBand="0" w:noVBand="1"/>
      </w:tblPr>
      <w:tblGrid>
        <w:gridCol w:w="1271"/>
        <w:gridCol w:w="425"/>
      </w:tblGrid>
      <w:tr w:rsidR="00171107" w14:paraId="011D1A4A" w14:textId="77777777" w:rsidTr="001D1F7D">
        <w:trPr>
          <w:trHeight w:val="341"/>
        </w:trPr>
        <w:tc>
          <w:tcPr>
            <w:tcW w:w="1271" w:type="dxa"/>
          </w:tcPr>
          <w:p w14:paraId="6197F719" w14:textId="778F115A" w:rsidR="00171107" w:rsidRPr="001D1F7D" w:rsidRDefault="00171107">
            <w:pPr>
              <w:pStyle w:val="Caption"/>
              <w:rPr>
                <w:b/>
                <w:bCs/>
                <w:sz w:val="17"/>
                <w:szCs w:val="17"/>
              </w:rPr>
            </w:pPr>
            <w:r w:rsidRPr="001D1F7D">
              <w:rPr>
                <w:b/>
                <w:bCs/>
                <w:sz w:val="17"/>
                <w:szCs w:val="17"/>
              </w:rPr>
              <w:t>Key</w:t>
            </w:r>
          </w:p>
        </w:tc>
        <w:tc>
          <w:tcPr>
            <w:tcW w:w="425" w:type="dxa"/>
          </w:tcPr>
          <w:p w14:paraId="1DEF51AD" w14:textId="77777777" w:rsidR="00171107" w:rsidRDefault="00171107">
            <w:pPr>
              <w:pStyle w:val="Caption"/>
            </w:pPr>
          </w:p>
        </w:tc>
      </w:tr>
      <w:tr w:rsidR="00171107" w14:paraId="282294C4" w14:textId="77777777" w:rsidTr="001D1F7D">
        <w:trPr>
          <w:trHeight w:val="254"/>
        </w:trPr>
        <w:tc>
          <w:tcPr>
            <w:tcW w:w="1271" w:type="dxa"/>
          </w:tcPr>
          <w:p w14:paraId="54864473" w14:textId="4CDE2674" w:rsidR="00171107" w:rsidRPr="001D1F7D" w:rsidRDefault="00171107" w:rsidP="001D1F7D">
            <w:pPr>
              <w:pStyle w:val="Caption"/>
              <w:spacing w:after="120"/>
              <w:rPr>
                <w:sz w:val="17"/>
                <w:szCs w:val="17"/>
              </w:rPr>
            </w:pPr>
            <w:r w:rsidRPr="001D1F7D">
              <w:rPr>
                <w:sz w:val="17"/>
                <w:szCs w:val="17"/>
              </w:rPr>
              <w:t>Round 1</w:t>
            </w:r>
          </w:p>
        </w:tc>
        <w:tc>
          <w:tcPr>
            <w:tcW w:w="425" w:type="dxa"/>
            <w:shd w:val="clear" w:color="auto" w:fill="8CCA45" w:themeFill="accent6"/>
          </w:tcPr>
          <w:p w14:paraId="3DFCD921" w14:textId="77777777" w:rsidR="00171107" w:rsidRPr="001A3729" w:rsidRDefault="00171107" w:rsidP="001A3729">
            <w:pPr>
              <w:rPr>
                <w:sz w:val="18"/>
                <w:szCs w:val="20"/>
              </w:rPr>
            </w:pPr>
          </w:p>
        </w:tc>
      </w:tr>
      <w:tr w:rsidR="00171107" w14:paraId="183D8F19" w14:textId="77777777" w:rsidTr="001D1F7D">
        <w:trPr>
          <w:trHeight w:val="264"/>
        </w:trPr>
        <w:tc>
          <w:tcPr>
            <w:tcW w:w="1271" w:type="dxa"/>
          </w:tcPr>
          <w:p w14:paraId="51B1EB82" w14:textId="776410FB" w:rsidR="00171107" w:rsidRPr="001D1F7D" w:rsidRDefault="00171107" w:rsidP="001D1F7D">
            <w:pPr>
              <w:pStyle w:val="Caption"/>
              <w:spacing w:after="120"/>
              <w:rPr>
                <w:sz w:val="17"/>
                <w:szCs w:val="17"/>
              </w:rPr>
            </w:pPr>
            <w:r w:rsidRPr="001D1F7D">
              <w:rPr>
                <w:sz w:val="17"/>
                <w:szCs w:val="17"/>
              </w:rPr>
              <w:t>Round 2</w:t>
            </w:r>
          </w:p>
        </w:tc>
        <w:tc>
          <w:tcPr>
            <w:tcW w:w="425" w:type="dxa"/>
            <w:shd w:val="clear" w:color="auto" w:fill="FFC000"/>
          </w:tcPr>
          <w:p w14:paraId="31A4BEEE" w14:textId="77777777" w:rsidR="00171107" w:rsidRPr="001A3729" w:rsidRDefault="00171107" w:rsidP="001A3729">
            <w:pPr>
              <w:rPr>
                <w:sz w:val="18"/>
                <w:szCs w:val="20"/>
              </w:rPr>
            </w:pPr>
          </w:p>
        </w:tc>
      </w:tr>
      <w:tr w:rsidR="00AA2D0C" w14:paraId="4FF82415" w14:textId="77777777" w:rsidTr="001D1F7D">
        <w:trPr>
          <w:trHeight w:val="264"/>
        </w:trPr>
        <w:tc>
          <w:tcPr>
            <w:tcW w:w="1271" w:type="dxa"/>
          </w:tcPr>
          <w:p w14:paraId="0CA7755F" w14:textId="5D9B19CB" w:rsidR="00AA2D0C" w:rsidRPr="001D1F7D" w:rsidRDefault="00AA2D0C" w:rsidP="001D1F7D">
            <w:pPr>
              <w:pStyle w:val="Caption"/>
              <w:spacing w:after="120"/>
              <w:rPr>
                <w:sz w:val="17"/>
                <w:szCs w:val="17"/>
              </w:rPr>
            </w:pPr>
            <w:r w:rsidRPr="001D1F7D">
              <w:rPr>
                <w:sz w:val="17"/>
                <w:szCs w:val="17"/>
              </w:rPr>
              <w:t>Round 3</w:t>
            </w:r>
          </w:p>
        </w:tc>
        <w:tc>
          <w:tcPr>
            <w:tcW w:w="425" w:type="dxa"/>
            <w:tcBorders>
              <w:bottom w:val="single" w:sz="4" w:space="0" w:color="auto"/>
            </w:tcBorders>
            <w:shd w:val="clear" w:color="auto" w:fill="E37230" w:themeFill="accent2"/>
          </w:tcPr>
          <w:p w14:paraId="0F4E7556" w14:textId="77777777" w:rsidR="00AA2D0C" w:rsidRPr="001A3729" w:rsidRDefault="00AA2D0C" w:rsidP="00AA2D0C">
            <w:pPr>
              <w:rPr>
                <w:sz w:val="18"/>
                <w:szCs w:val="20"/>
              </w:rPr>
            </w:pPr>
          </w:p>
        </w:tc>
      </w:tr>
      <w:tr w:rsidR="00AA2D0C" w14:paraId="2672AE18" w14:textId="77777777" w:rsidTr="001D1F7D">
        <w:trPr>
          <w:trHeight w:val="254"/>
        </w:trPr>
        <w:tc>
          <w:tcPr>
            <w:tcW w:w="1271" w:type="dxa"/>
          </w:tcPr>
          <w:p w14:paraId="46B8DDAE" w14:textId="06DDFD96" w:rsidR="00AA2D0C" w:rsidRDefault="001D1F7D" w:rsidP="001D1F7D">
            <w:pPr>
              <w:pStyle w:val="Caption"/>
              <w:spacing w:after="120"/>
            </w:pPr>
            <w:r>
              <w:t>C</w:t>
            </w:r>
            <w:r w:rsidR="00A114C2">
              <w:t xml:space="preserve">ountry visits </w:t>
            </w:r>
          </w:p>
        </w:tc>
        <w:tc>
          <w:tcPr>
            <w:tcW w:w="425" w:type="dxa"/>
            <w:shd w:val="reverseDiagStripe" w:color="auto" w:fill="auto"/>
            <w:vAlign w:val="center"/>
          </w:tcPr>
          <w:p w14:paraId="3D1D41D0" w14:textId="6D70A9E7" w:rsidR="00AA2D0C" w:rsidRPr="001A3729" w:rsidRDefault="00AA2D0C" w:rsidP="009A47FE">
            <w:pPr>
              <w:keepNext/>
              <w:jc w:val="center"/>
              <w:rPr>
                <w:sz w:val="18"/>
                <w:szCs w:val="20"/>
              </w:rPr>
            </w:pPr>
          </w:p>
        </w:tc>
      </w:tr>
    </w:tbl>
    <w:p w14:paraId="52DADD6F" w14:textId="3647D346" w:rsidR="00A0025A" w:rsidRDefault="009A47FE" w:rsidP="002A22DA">
      <w:pPr>
        <w:pStyle w:val="ItadFigureCap"/>
        <w:jc w:val="left"/>
      </w:pPr>
      <w:bookmarkStart w:id="135" w:name="_Ref144101341"/>
      <w:bookmarkStart w:id="136" w:name="_Toc144717851"/>
      <w:r>
        <w:t xml:space="preserve">Figure </w:t>
      </w:r>
      <w:r>
        <w:fldChar w:fldCharType="begin"/>
      </w:r>
      <w:r>
        <w:instrText>SEQ Figure \* ARABIC</w:instrText>
      </w:r>
      <w:r>
        <w:fldChar w:fldCharType="separate"/>
      </w:r>
      <w:r w:rsidR="00034AF8">
        <w:rPr>
          <w:noProof/>
        </w:rPr>
        <w:t>9</w:t>
      </w:r>
      <w:r>
        <w:fldChar w:fldCharType="end"/>
      </w:r>
      <w:bookmarkEnd w:id="135"/>
      <w:r>
        <w:t xml:space="preserve">: </w:t>
      </w:r>
      <w:r w:rsidRPr="00FD196A">
        <w:t>Overall evaluation workplan</w:t>
      </w:r>
      <w:bookmarkEnd w:id="136"/>
    </w:p>
    <w:p w14:paraId="59A21FE8" w14:textId="77777777" w:rsidR="009A47FE" w:rsidRDefault="009A47FE" w:rsidP="009A47FE"/>
    <w:p w14:paraId="6D1E5762" w14:textId="316DBAC0" w:rsidR="009A47FE" w:rsidRPr="009A47FE" w:rsidRDefault="009A47FE" w:rsidP="009A47FE">
      <w:pPr>
        <w:sectPr w:rsidR="009A47FE" w:rsidRPr="009A47FE" w:rsidSect="001D1F7D">
          <w:pgSz w:w="16840" w:h="11900" w:orient="landscape"/>
          <w:pgMar w:top="851" w:right="1134" w:bottom="1134" w:left="1134" w:header="720" w:footer="258" w:gutter="0"/>
          <w:cols w:space="720"/>
          <w:titlePg/>
          <w:docGrid w:linePitch="360"/>
        </w:sectPr>
      </w:pPr>
    </w:p>
    <w:p w14:paraId="5ED708FA" w14:textId="1DEFF0BA" w:rsidR="00557147" w:rsidRPr="002A22DA" w:rsidRDefault="00012EE7" w:rsidP="002A22DA">
      <w:pPr>
        <w:pStyle w:val="ItadNormalText"/>
      </w:pPr>
      <w:bookmarkStart w:id="137" w:name="_Hlk129091449"/>
      <w:bookmarkEnd w:id="134"/>
      <w:r w:rsidRPr="002A22DA">
        <w:rPr>
          <w:rFonts w:eastAsia="MS Mincho" w:cs="Calibri"/>
          <w:b/>
          <w:bCs/>
          <w:color w:val="3B3B3C" w:themeColor="text1"/>
        </w:rPr>
        <w:t>Our overall evaluation framework is reflected in</w:t>
      </w:r>
      <w:r w:rsidR="00EF3194">
        <w:rPr>
          <w:b/>
          <w:bCs/>
        </w:rPr>
        <w:t xml:space="preserve"> </w:t>
      </w:r>
      <w:r w:rsidR="00EF3194" w:rsidRPr="00EF3194">
        <w:rPr>
          <w:b/>
          <w:bCs/>
        </w:rPr>
        <w:fldChar w:fldCharType="begin"/>
      </w:r>
      <w:r w:rsidR="00EF3194" w:rsidRPr="00EF3194">
        <w:rPr>
          <w:b/>
          <w:bCs/>
        </w:rPr>
        <w:instrText xml:space="preserve"> REF _Ref144718512 \h  \* MERGEFORMAT </w:instrText>
      </w:r>
      <w:r w:rsidR="00EF3194" w:rsidRPr="00EF3194">
        <w:rPr>
          <w:b/>
          <w:bCs/>
        </w:rPr>
      </w:r>
      <w:r w:rsidR="00EF3194" w:rsidRPr="00EF3194">
        <w:rPr>
          <w:b/>
          <w:bCs/>
        </w:rPr>
        <w:fldChar w:fldCharType="separate"/>
      </w:r>
      <w:r w:rsidR="00EF3194" w:rsidRPr="00EF3194">
        <w:rPr>
          <w:b/>
          <w:bCs/>
        </w:rPr>
        <w:t xml:space="preserve">Figure </w:t>
      </w:r>
      <w:r w:rsidR="00EF3194" w:rsidRPr="00EF3194">
        <w:rPr>
          <w:b/>
          <w:bCs/>
          <w:noProof/>
        </w:rPr>
        <w:t>7</w:t>
      </w:r>
      <w:r w:rsidR="00EF3194" w:rsidRPr="00EF3194">
        <w:rPr>
          <w:b/>
          <w:bCs/>
        </w:rPr>
        <w:fldChar w:fldCharType="end"/>
      </w:r>
      <w:r w:rsidR="00AA6E9F" w:rsidRPr="008102EA">
        <w:t>.</w:t>
      </w:r>
      <w:r w:rsidRPr="008102EA" w:rsidDel="009229A8">
        <w:t xml:space="preserve"> </w:t>
      </w:r>
      <w:r w:rsidR="00746542" w:rsidRPr="002A22DA">
        <w:t xml:space="preserve">It </w:t>
      </w:r>
      <w:r w:rsidR="007C101D" w:rsidRPr="002A22DA">
        <w:t xml:space="preserve">shows </w:t>
      </w:r>
      <w:r w:rsidR="00B875B8" w:rsidRPr="002A22DA">
        <w:t xml:space="preserve">an </w:t>
      </w:r>
      <w:r w:rsidR="009263E0" w:rsidRPr="002A22DA">
        <w:t xml:space="preserve">evaluation of Fleming Fund </w:t>
      </w:r>
      <w:r w:rsidR="00B875B8" w:rsidRPr="002A22DA">
        <w:t>outcome</w:t>
      </w:r>
      <w:r w:rsidR="009263E0" w:rsidRPr="002A22DA">
        <w:t>s and performance</w:t>
      </w:r>
      <w:r w:rsidR="00B875B8" w:rsidRPr="002A22DA">
        <w:t>, desig</w:t>
      </w:r>
      <w:r w:rsidR="006C5E16" w:rsidRPr="002A22DA">
        <w:t xml:space="preserve">ned to explore </w:t>
      </w:r>
      <w:r w:rsidRPr="002A22DA">
        <w:t xml:space="preserve">agreed EQs </w:t>
      </w:r>
      <w:r w:rsidR="006C5E16" w:rsidRPr="002A22DA">
        <w:t xml:space="preserve">using </w:t>
      </w:r>
      <w:r w:rsidR="00231DF1" w:rsidRPr="002A22DA">
        <w:t xml:space="preserve">a </w:t>
      </w:r>
      <w:r w:rsidRPr="002A22DA">
        <w:t xml:space="preserve">range of data sources </w:t>
      </w:r>
      <w:r w:rsidR="006C5E16" w:rsidRPr="002A22DA">
        <w:t xml:space="preserve">and analytical methods </w:t>
      </w:r>
      <w:r w:rsidRPr="002A22DA">
        <w:t xml:space="preserve">to answer each </w:t>
      </w:r>
      <w:r w:rsidR="0005479B" w:rsidRPr="002A22DA">
        <w:t>EQ</w:t>
      </w:r>
      <w:r w:rsidR="002D2D2C" w:rsidRPr="002A22DA">
        <w:t>. Our overall approach is case</w:t>
      </w:r>
      <w:r w:rsidR="002A22DA">
        <w:t xml:space="preserve"> </w:t>
      </w:r>
      <w:r w:rsidR="002D2D2C" w:rsidRPr="002A22DA">
        <w:t xml:space="preserve">based (focusing on 16 </w:t>
      </w:r>
      <w:r w:rsidR="000E5DEB" w:rsidRPr="002A22DA">
        <w:t>sample</w:t>
      </w:r>
      <w:r w:rsidR="002D2D2C" w:rsidRPr="002A22DA">
        <w:t xml:space="preserve"> countries), </w:t>
      </w:r>
      <w:r w:rsidR="005E1C6E" w:rsidRPr="002A22DA">
        <w:t>using mixed methods and some elements of theory-based evaluation (see below)</w:t>
      </w:r>
      <w:r w:rsidR="00E6212C" w:rsidRPr="002A22DA">
        <w:t xml:space="preserve">. </w:t>
      </w:r>
      <w:r w:rsidR="008C4E06" w:rsidRPr="002A22DA">
        <w:t>Our primary analytical method</w:t>
      </w:r>
      <w:r w:rsidR="000404A2" w:rsidRPr="002A22DA">
        <w:t>s</w:t>
      </w:r>
      <w:r w:rsidR="008C4E06" w:rsidRPr="002A22DA">
        <w:t xml:space="preserve"> </w:t>
      </w:r>
      <w:r w:rsidR="000404A2" w:rsidRPr="002A22DA">
        <w:t xml:space="preserve">are </w:t>
      </w:r>
      <w:r w:rsidR="008C4E06" w:rsidRPr="002A22DA">
        <w:t>contribution analysis</w:t>
      </w:r>
      <w:r w:rsidR="000404A2" w:rsidRPr="002A22DA">
        <w:t xml:space="preserve"> and thematic/sectoral analysis,</w:t>
      </w:r>
      <w:r w:rsidR="008C4E06" w:rsidRPr="002A22DA">
        <w:t xml:space="preserve"> complemented with </w:t>
      </w:r>
      <w:r w:rsidR="00E6212C" w:rsidRPr="002A22DA">
        <w:t>aspects of</w:t>
      </w:r>
      <w:r w:rsidR="0070788D" w:rsidRPr="002A22DA">
        <w:t xml:space="preserve"> process, synthesis</w:t>
      </w:r>
      <w:r w:rsidR="007802E6" w:rsidRPr="002A22DA">
        <w:t>,</w:t>
      </w:r>
      <w:r w:rsidR="0070788D" w:rsidRPr="002A22DA">
        <w:t xml:space="preserve"> and </w:t>
      </w:r>
      <w:r w:rsidR="00746542" w:rsidRPr="002A22DA">
        <w:t xml:space="preserve">value for money </w:t>
      </w:r>
      <w:r w:rsidR="0070788D" w:rsidRPr="002A22DA">
        <w:t>(VfM)</w:t>
      </w:r>
      <w:r w:rsidR="00E6212C" w:rsidRPr="002A22DA">
        <w:t xml:space="preserve"> evaluation tech</w:t>
      </w:r>
      <w:r w:rsidR="000404A2" w:rsidRPr="002A22DA">
        <w:t>n</w:t>
      </w:r>
      <w:r w:rsidR="00E6212C" w:rsidRPr="002A22DA">
        <w:t>iques</w:t>
      </w:r>
      <w:r w:rsidR="008C010D" w:rsidRPr="002A22DA">
        <w:t>. We have applied these to support adaptive management at the portfolio</w:t>
      </w:r>
      <w:r w:rsidR="00746542" w:rsidRPr="002A22DA">
        <w:t xml:space="preserve"> </w:t>
      </w:r>
      <w:r w:rsidR="008C010D" w:rsidRPr="002A22DA">
        <w:t>level within the Fleming Fund.</w:t>
      </w:r>
      <w:r w:rsidRPr="002A22DA">
        <w:t xml:space="preserve"> </w:t>
      </w:r>
      <w:r w:rsidR="008C010D" w:rsidRPr="002A22DA">
        <w:t xml:space="preserve">Our evaluation approach is </w:t>
      </w:r>
      <w:r w:rsidRPr="002A22DA">
        <w:t>described</w:t>
      </w:r>
      <w:r w:rsidR="001C5366" w:rsidRPr="002A22DA">
        <w:t xml:space="preserve"> and justified</w:t>
      </w:r>
      <w:r w:rsidRPr="002A22DA">
        <w:t xml:space="preserve"> in more detail in Vol. II, Annex 3.</w:t>
      </w:r>
      <w:r w:rsidR="00E4001A" w:rsidRPr="005970FA">
        <w:rPr>
          <w:vertAlign w:val="superscript"/>
        </w:rPr>
        <w:footnoteReference w:id="58"/>
      </w:r>
      <w:r w:rsidRPr="005970FA" w:rsidDel="00F01BF0">
        <w:rPr>
          <w:vertAlign w:val="superscript"/>
        </w:rPr>
        <w:t xml:space="preserve"> </w:t>
      </w:r>
      <w:r w:rsidR="00C64D03" w:rsidRPr="002A22DA">
        <w:t>The specific application of methods and data sources to each EQ is set out in an evaluation matrix in Vol. II, Annex 2.</w:t>
      </w:r>
      <w:r w:rsidR="007E0D0B" w:rsidRPr="002A22DA">
        <w:t xml:space="preserve"> Challenges and limitations are summarised </w:t>
      </w:r>
      <w:r w:rsidR="007E0D0B" w:rsidRPr="00111840">
        <w:t xml:space="preserve">in section </w:t>
      </w:r>
      <w:r w:rsidR="007E0D0B" w:rsidRPr="00111840">
        <w:fldChar w:fldCharType="begin"/>
      </w:r>
      <w:r w:rsidR="007E0D0B" w:rsidRPr="00111840">
        <w:instrText xml:space="preserve"> REF _Ref128060736 \r \h </w:instrText>
      </w:r>
      <w:r w:rsidR="002A22DA" w:rsidRPr="00111840">
        <w:instrText xml:space="preserve"> \* MERGEFORMAT </w:instrText>
      </w:r>
      <w:r w:rsidR="007E0D0B" w:rsidRPr="00111840">
        <w:fldChar w:fldCharType="separate"/>
      </w:r>
      <w:r w:rsidR="00111840" w:rsidRPr="00111840">
        <w:t>1.5</w:t>
      </w:r>
      <w:r w:rsidR="007E0D0B" w:rsidRPr="00111840">
        <w:fldChar w:fldCharType="end"/>
      </w:r>
      <w:r w:rsidR="007E0D0B" w:rsidRPr="00111840">
        <w:t xml:space="preserve"> and</w:t>
      </w:r>
      <w:r w:rsidR="007E0D0B" w:rsidRPr="002A22DA">
        <w:t xml:space="preserve"> in </w:t>
      </w:r>
      <w:r w:rsidR="00803F81" w:rsidRPr="002A22DA">
        <w:t>Vol. I</w:t>
      </w:r>
      <w:r w:rsidR="007E0D0B" w:rsidRPr="002A22DA">
        <w:t>I, Annex 13 with</w:t>
      </w:r>
      <w:r w:rsidR="00C623B7" w:rsidRPr="002A22DA">
        <w:t xml:space="preserve"> mitigating strategies</w:t>
      </w:r>
      <w:r w:rsidR="007E0D0B" w:rsidRPr="002A22DA">
        <w:t>.</w:t>
      </w:r>
    </w:p>
    <w:p w14:paraId="1E9EFAE6" w14:textId="7F6600C8" w:rsidR="0070077C" w:rsidRPr="002A22DA" w:rsidRDefault="00012EE7" w:rsidP="002A22DA">
      <w:r w:rsidRPr="002A22DA">
        <w:t xml:space="preserve">It is not a </w:t>
      </w:r>
      <w:r w:rsidR="002B2B99" w:rsidRPr="002A22DA">
        <w:t>theory-based</w:t>
      </w:r>
      <w:r w:rsidRPr="002A22DA">
        <w:t xml:space="preserve"> evaluation as such, but we supported </w:t>
      </w:r>
      <w:r w:rsidR="00F01BF0" w:rsidRPr="002A22DA">
        <w:t xml:space="preserve">the </w:t>
      </w:r>
      <w:r w:rsidRPr="002A22DA">
        <w:t xml:space="preserve">DHSC </w:t>
      </w:r>
      <w:r w:rsidR="004B7C53" w:rsidRPr="002A22DA">
        <w:t xml:space="preserve">in early 2019 </w:t>
      </w:r>
      <w:r w:rsidRPr="002A22DA">
        <w:t xml:space="preserve">to articulate a portfolio-level ToC as set out in Vol. II, Annex </w:t>
      </w:r>
      <w:r w:rsidR="008E7F6D" w:rsidRPr="002A22DA">
        <w:t>18</w:t>
      </w:r>
      <w:r w:rsidR="00746542" w:rsidRPr="002A22DA">
        <w:t>,</w:t>
      </w:r>
      <w:r w:rsidRPr="002A22DA">
        <w:t xml:space="preserve"> which has informed our data collection and analysis.</w:t>
      </w:r>
    </w:p>
    <w:p w14:paraId="0980ED01" w14:textId="10665B37" w:rsidR="00012EE7" w:rsidRPr="002A22DA" w:rsidRDefault="00012EE7" w:rsidP="002A22DA">
      <w:r w:rsidRPr="002A22DA">
        <w:t>Our framework also highlights the evaluation</w:t>
      </w:r>
      <w:r w:rsidR="00AA6A7B" w:rsidRPr="002A22DA">
        <w:t>’</w:t>
      </w:r>
      <w:r w:rsidRPr="002A22DA">
        <w:t xml:space="preserve">s twin objectives around learning and accountability, as described above; and our commitment to </w:t>
      </w:r>
      <w:r w:rsidR="004D374E" w:rsidRPr="002A22DA">
        <w:t xml:space="preserve">the </w:t>
      </w:r>
      <w:r w:rsidRPr="002A22DA">
        <w:t>utility of evaluation products and process</w:t>
      </w:r>
      <w:r w:rsidR="00BB61C7" w:rsidRPr="002A22DA">
        <w:t>es</w:t>
      </w:r>
      <w:r w:rsidRPr="002A22DA">
        <w:t xml:space="preserve"> (Vol. II, Annex </w:t>
      </w:r>
      <w:r w:rsidR="008E7F6D" w:rsidRPr="002A22DA">
        <w:t>17</w:t>
      </w:r>
      <w:r w:rsidRPr="002A22DA">
        <w:t>).</w:t>
      </w:r>
      <w:bookmarkStart w:id="138" w:name="_Hlk500275557"/>
      <w:r w:rsidR="00081065" w:rsidRPr="002A22DA">
        <w:t xml:space="preserve"> We note that th</w:t>
      </w:r>
      <w:r w:rsidR="00EE0377" w:rsidRPr="002A22DA">
        <w:t>is</w:t>
      </w:r>
      <w:r w:rsidR="00081065" w:rsidRPr="002A22DA">
        <w:t xml:space="preserve"> report was not expected to draw out lessons learned.</w:t>
      </w:r>
    </w:p>
    <w:p w14:paraId="2A93E93A" w14:textId="180D642E" w:rsidR="002A22DA" w:rsidRDefault="00D82ED4" w:rsidP="002A22DA">
      <w:pPr>
        <w:pStyle w:val="ItadCaption"/>
        <w:keepNext/>
        <w:jc w:val="center"/>
      </w:pPr>
      <w:r>
        <w:rPr>
          <w:b/>
          <w:noProof/>
        </w:rPr>
        <w:drawing>
          <wp:inline distT="0" distB="0" distL="0" distR="0" wp14:anchorId="08CC38D1" wp14:editId="68940F23">
            <wp:extent cx="4777200" cy="2379600"/>
            <wp:effectExtent l="19050" t="19050" r="23495" b="20955"/>
            <wp:docPr id="668780646" name="Picture 6687806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664" t="-4327" r="-2439" b="-2278"/>
                    <a:stretch/>
                  </pic:blipFill>
                  <pic:spPr bwMode="auto">
                    <a:xfrm>
                      <a:off x="0" y="0"/>
                      <a:ext cx="4777200" cy="2379600"/>
                    </a:xfrm>
                    <a:prstGeom prst="rect">
                      <a:avLst/>
                    </a:prstGeom>
                    <a:noFill/>
                    <a:ln>
                      <a:solidFill>
                        <a:schemeClr val="tx1">
                          <a:lumMod val="20000"/>
                          <a:lumOff val="80000"/>
                        </a:schemeClr>
                      </a:solidFill>
                    </a:ln>
                    <a:extLst>
                      <a:ext uri="{53640926-AAD7-44D8-BBD7-CCE9431645EC}">
                        <a14:shadowObscured xmlns:a14="http://schemas.microsoft.com/office/drawing/2010/main"/>
                      </a:ext>
                    </a:extLst>
                  </pic:spPr>
                </pic:pic>
              </a:graphicData>
            </a:graphic>
          </wp:inline>
        </w:drawing>
      </w:r>
    </w:p>
    <w:p w14:paraId="6A062527" w14:textId="738459EA" w:rsidR="00D82ED4" w:rsidRPr="00C64239" w:rsidRDefault="002A22DA" w:rsidP="002A22DA">
      <w:pPr>
        <w:pStyle w:val="ItadFigureCap"/>
        <w:rPr>
          <w:b/>
          <w:sz w:val="22"/>
          <w:szCs w:val="22"/>
        </w:rPr>
      </w:pPr>
      <w:bookmarkStart w:id="139" w:name="_Ref144718634"/>
      <w:bookmarkStart w:id="140" w:name="_Toc144717852"/>
      <w:r>
        <w:t xml:space="preserve">Figure </w:t>
      </w:r>
      <w:r>
        <w:fldChar w:fldCharType="begin"/>
      </w:r>
      <w:r>
        <w:instrText>SEQ Figure \* ARABIC</w:instrText>
      </w:r>
      <w:r>
        <w:fldChar w:fldCharType="separate"/>
      </w:r>
      <w:r w:rsidR="00034AF8">
        <w:rPr>
          <w:noProof/>
        </w:rPr>
        <w:t>10</w:t>
      </w:r>
      <w:r>
        <w:fldChar w:fldCharType="end"/>
      </w:r>
      <w:bookmarkEnd w:id="139"/>
      <w:r>
        <w:t xml:space="preserve">: </w:t>
      </w:r>
      <w:r w:rsidRPr="003B3915">
        <w:t>EQs within the conceptual framework</w:t>
      </w:r>
      <w:bookmarkEnd w:id="140"/>
    </w:p>
    <w:p w14:paraId="44E16205" w14:textId="6830A920" w:rsidR="00B626A6" w:rsidRDefault="00B626A6" w:rsidP="00A12329">
      <w:pPr>
        <w:pStyle w:val="ItadNormalTextBold"/>
      </w:pPr>
      <w:r w:rsidRPr="00CC07E7">
        <w:t xml:space="preserve">Our focus is on </w:t>
      </w:r>
      <w:r>
        <w:t xml:space="preserve">the </w:t>
      </w:r>
      <w:r w:rsidRPr="00CC07E7">
        <w:t>country as opposed to regional or global-level changes at three distinct levels</w:t>
      </w:r>
      <w:r>
        <w:t xml:space="preserve"> across the human, animal and environment sectors</w:t>
      </w:r>
      <w:r w:rsidRPr="00CC07E7">
        <w:t>:</w:t>
      </w:r>
    </w:p>
    <w:p w14:paraId="157A32FC" w14:textId="22ABCC53" w:rsidR="00B626A6" w:rsidRPr="00FD489C" w:rsidRDefault="00B626A6" w:rsidP="00A12329">
      <w:pPr>
        <w:pStyle w:val="Itadnumberedlist"/>
        <w:rPr>
          <w:lang w:val="en-GB"/>
        </w:rPr>
      </w:pPr>
      <w:r w:rsidRPr="008F3362">
        <w:rPr>
          <w:lang w:val="en-GB"/>
        </w:rPr>
        <w:t>At the level of the surveillance system (EQ2, EQ3 and EQ6), to see if changes are sustainable and have been delivered with economy, efficiency and effectiveness – includin</w:t>
      </w:r>
      <w:r w:rsidRPr="00FD489C">
        <w:rPr>
          <w:lang w:val="en-GB"/>
        </w:rPr>
        <w:t xml:space="preserve">g the extent to which interventions are aligned with the work of others (section </w:t>
      </w:r>
      <w:r w:rsidRPr="00FD489C">
        <w:fldChar w:fldCharType="begin"/>
      </w:r>
      <w:r w:rsidRPr="00FD489C">
        <w:rPr>
          <w:lang w:val="en-GB"/>
        </w:rPr>
        <w:instrText xml:space="preserve"> REF _Ref129083757 \r \h </w:instrText>
      </w:r>
      <w:r w:rsidR="00FD489C" w:rsidRPr="00FD489C">
        <w:rPr>
          <w:lang w:val="en-GB"/>
        </w:rPr>
        <w:instrText xml:space="preserve"> \* MERGEFORMAT </w:instrText>
      </w:r>
      <w:r w:rsidRPr="00FD489C">
        <w:fldChar w:fldCharType="separate"/>
      </w:r>
      <w:r w:rsidRPr="00FD489C">
        <w:rPr>
          <w:cs/>
        </w:rPr>
        <w:t>‎</w:t>
      </w:r>
      <w:r w:rsidRPr="00FD489C">
        <w:rPr>
          <w:lang w:val="en-GB"/>
        </w:rPr>
        <w:t>2.3</w:t>
      </w:r>
      <w:r w:rsidRPr="00FD489C">
        <w:fldChar w:fldCharType="end"/>
      </w:r>
      <w:r w:rsidRPr="00FD489C">
        <w:rPr>
          <w:lang w:val="en-GB"/>
        </w:rPr>
        <w:t xml:space="preserve"> and Vol. II, Annex 6)</w:t>
      </w:r>
      <w:r w:rsidR="00A12329" w:rsidRPr="00FD489C">
        <w:rPr>
          <w:lang w:val="en-GB"/>
        </w:rPr>
        <w:t>.</w:t>
      </w:r>
    </w:p>
    <w:p w14:paraId="0C02A6DF" w14:textId="5BFCAF8C" w:rsidR="00B626A6" w:rsidRPr="008F3362" w:rsidRDefault="00B626A6" w:rsidP="00A12329">
      <w:pPr>
        <w:pStyle w:val="Itadnumberedlist"/>
        <w:rPr>
          <w:lang w:val="en-GB"/>
        </w:rPr>
      </w:pPr>
      <w:r w:rsidRPr="008F3362">
        <w:rPr>
          <w:lang w:val="en-GB"/>
        </w:rPr>
        <w:t xml:space="preserve">At the level of availability of more and better data (section </w:t>
      </w:r>
      <w:r>
        <w:fldChar w:fldCharType="begin"/>
      </w:r>
      <w:r w:rsidRPr="008F3362">
        <w:rPr>
          <w:lang w:val="en-GB"/>
        </w:rPr>
        <w:instrText xml:space="preserve"> REF _Ref129083393 \r \h </w:instrText>
      </w:r>
      <w:r>
        <w:fldChar w:fldCharType="separate"/>
      </w:r>
      <w:r>
        <w:rPr>
          <w:cs/>
        </w:rPr>
        <w:t>‎</w:t>
      </w:r>
      <w:r w:rsidRPr="008F3362">
        <w:rPr>
          <w:lang w:val="en-GB"/>
        </w:rPr>
        <w:t>2.1</w:t>
      </w:r>
      <w:r>
        <w:fldChar w:fldCharType="end"/>
      </w:r>
      <w:r w:rsidRPr="008F3362">
        <w:rPr>
          <w:lang w:val="en-GB"/>
        </w:rPr>
        <w:t>), where our focus is on what has been the increase in the quantity and/or quality of data on AMR at the country level and to what extent has the Fleming Fund contributed to this increase (EQ1)</w:t>
      </w:r>
      <w:r w:rsidR="00A12329" w:rsidRPr="008F3362">
        <w:rPr>
          <w:lang w:val="en-GB"/>
        </w:rPr>
        <w:t>.</w:t>
      </w:r>
    </w:p>
    <w:p w14:paraId="5CC86AC3" w14:textId="37259C61" w:rsidR="00B626A6" w:rsidRPr="008F3362" w:rsidRDefault="00B626A6" w:rsidP="00A12329">
      <w:pPr>
        <w:pStyle w:val="Itadnumberedlist"/>
        <w:rPr>
          <w:lang w:val="en-GB"/>
        </w:rPr>
      </w:pPr>
      <w:r w:rsidRPr="008F3362">
        <w:rPr>
          <w:lang w:val="en-GB"/>
        </w:rPr>
        <w:t xml:space="preserve">At the outcome level – whether the availability of more and better data leads to a significant change in the country or the availability of more and better data internationally (EQ2, EQ3, EQ4, EQ5 and EQ6) (section </w:t>
      </w:r>
      <w:r w:rsidRPr="00620447">
        <w:fldChar w:fldCharType="begin"/>
      </w:r>
      <w:r w:rsidRPr="008F3362">
        <w:rPr>
          <w:lang w:val="en-GB"/>
        </w:rPr>
        <w:instrText xml:space="preserve"> REF _Ref118234609 \r \h  \* MERGEFORMAT </w:instrText>
      </w:r>
      <w:r w:rsidRPr="00620447">
        <w:fldChar w:fldCharType="separate"/>
      </w:r>
      <w:r w:rsidRPr="008A5F96">
        <w:rPr>
          <w:lang w:val="en-US"/>
        </w:rPr>
        <w:fldChar w:fldCharType="begin"/>
      </w:r>
      <w:r w:rsidRPr="008A5F96">
        <w:rPr>
          <w:lang w:val="en-US"/>
        </w:rPr>
        <w:instrText xml:space="preserve"> REF _Ref129083432 \r \h  \* MERGEFORMAT </w:instrText>
      </w:r>
      <w:r w:rsidRPr="008A5F96">
        <w:rPr>
          <w:lang w:val="en-US"/>
        </w:rPr>
      </w:r>
      <w:r w:rsidRPr="008A5F96">
        <w:rPr>
          <w:lang w:val="en-US"/>
        </w:rPr>
        <w:fldChar w:fldCharType="separate"/>
      </w:r>
      <w:r w:rsidRPr="008A5F96">
        <w:rPr>
          <w:lang w:val="en-US"/>
        </w:rPr>
        <w:t>2.2</w:t>
      </w:r>
      <w:r w:rsidRPr="008A5F96">
        <w:rPr>
          <w:lang w:val="en-US"/>
        </w:rPr>
        <w:fldChar w:fldCharType="end"/>
      </w:r>
      <w:r w:rsidRPr="00620447">
        <w:fldChar w:fldCharType="end"/>
      </w:r>
      <w:r w:rsidRPr="008F3362">
        <w:rPr>
          <w:lang w:val="en-GB"/>
        </w:rPr>
        <w:t>).</w:t>
      </w:r>
    </w:p>
    <w:p w14:paraId="0FB4AC0F" w14:textId="1CD9848E" w:rsidR="00B626A6" w:rsidRDefault="00B626A6" w:rsidP="00B626A6">
      <w:pPr>
        <w:pStyle w:val="ItadNormalText"/>
      </w:pPr>
      <w:r w:rsidRPr="001D3DD2">
        <w:t xml:space="preserve">The Fleming Fund has adopted a One Health approach to improving the capacity of LMICs to collect data, </w:t>
      </w:r>
      <w:r>
        <w:t xml:space="preserve">and </w:t>
      </w:r>
      <w:r w:rsidRPr="001D3DD2">
        <w:t xml:space="preserve">enable its sharing, collation and use to encourage </w:t>
      </w:r>
      <w:r>
        <w:t xml:space="preserve">the </w:t>
      </w:r>
      <w:r w:rsidRPr="001D3DD2">
        <w:t>appropriate use of antibiotics. As such</w:t>
      </w:r>
      <w:r>
        <w:t>,</w:t>
      </w:r>
      <w:r w:rsidRPr="001D3DD2">
        <w:t xml:space="preserve"> the evaluation has primarily focused on HH and AH surveillance systems.</w:t>
      </w:r>
      <w:r>
        <w:t xml:space="preserve"> The </w:t>
      </w:r>
      <w:r w:rsidRPr="00143A95">
        <w:t xml:space="preserve">broader international context </w:t>
      </w:r>
      <w:r>
        <w:t xml:space="preserve">within which the Fleming Fund was implemented was considered, </w:t>
      </w:r>
      <w:r w:rsidRPr="00143A95">
        <w:t>when releva</w:t>
      </w:r>
      <w:r>
        <w:t>n</w:t>
      </w:r>
      <w:r w:rsidRPr="00143A95">
        <w:t>t</w:t>
      </w:r>
      <w:r>
        <w:t>,</w:t>
      </w:r>
      <w:r w:rsidRPr="00143A95">
        <w:t xml:space="preserve"> in </w:t>
      </w:r>
      <w:r>
        <w:t xml:space="preserve">the </w:t>
      </w:r>
      <w:r w:rsidRPr="00143A95">
        <w:t>country</w:t>
      </w:r>
      <w:r>
        <w:t xml:space="preserve">-specific </w:t>
      </w:r>
      <w:r w:rsidRPr="00143A95">
        <w:t xml:space="preserve">analyses </w:t>
      </w:r>
      <w:r>
        <w:t xml:space="preserve">undertaken by the evaluation team – where the main implications were in terms of support from </w:t>
      </w:r>
      <w:r w:rsidRPr="00143A95">
        <w:t xml:space="preserve">other </w:t>
      </w:r>
      <w:r>
        <w:t>donors (albeit limited) and the role of regional and global-level actors such as the tripartite (WHO, FAO and WOAH).</w:t>
      </w:r>
    </w:p>
    <w:p w14:paraId="575D06B0" w14:textId="230C55DE" w:rsidR="006C516C" w:rsidRPr="00A12329" w:rsidRDefault="15F4F9B3" w:rsidP="00A12329">
      <w:pPr>
        <w:pStyle w:val="ItadNormalText"/>
      </w:pPr>
      <w:r w:rsidRPr="00A12329">
        <w:rPr>
          <w:b/>
          <w:bCs/>
        </w:rPr>
        <w:t>T</w:t>
      </w:r>
      <w:r w:rsidR="0AC91198" w:rsidRPr="00A12329">
        <w:rPr>
          <w:b/>
          <w:bCs/>
        </w:rPr>
        <w:t>he evaluation has been conducted by a multidisciplinary evaluation team over the period 2018</w:t>
      </w:r>
      <w:r w:rsidR="29523613">
        <w:rPr>
          <w:b/>
          <w:bCs/>
        </w:rPr>
        <w:t>–</w:t>
      </w:r>
      <w:r w:rsidR="0AC91198" w:rsidRPr="00A12329">
        <w:rPr>
          <w:b/>
          <w:bCs/>
        </w:rPr>
        <w:t>2022</w:t>
      </w:r>
      <w:r w:rsidR="49AAFF62" w:rsidRPr="00A12329">
        <w:rPr>
          <w:b/>
          <w:bCs/>
        </w:rPr>
        <w:t>;</w:t>
      </w:r>
      <w:r w:rsidR="0AC91198" w:rsidRPr="00A12329">
        <w:rPr>
          <w:b/>
          <w:bCs/>
        </w:rPr>
        <w:t xml:space="preserve"> </w:t>
      </w:r>
      <w:r w:rsidR="49AAFF62" w:rsidRPr="00A12329">
        <w:rPr>
          <w:b/>
          <w:bCs/>
        </w:rPr>
        <w:t xml:space="preserve">however, </w:t>
      </w:r>
      <w:r w:rsidR="0AC91198" w:rsidRPr="00A12329">
        <w:rPr>
          <w:b/>
          <w:bCs/>
        </w:rPr>
        <w:t>the data collection and analysis for this summative report started in September 2021 and concluded in July 2022.</w:t>
      </w:r>
      <w:r w:rsidR="0AC91198" w:rsidRPr="00391404" w:rsidDel="007D2E99">
        <w:t xml:space="preserve"> </w:t>
      </w:r>
      <w:r w:rsidR="49AAFF62" w:rsidRPr="008A5F96">
        <w:t xml:space="preserve">The evaluation has been undertaken by a multidisciplinary team as described in </w:t>
      </w:r>
      <w:r w:rsidR="521121B3">
        <w:t>Vol. I</w:t>
      </w:r>
      <w:r w:rsidR="49AAFF62" w:rsidRPr="008A5F96">
        <w:t xml:space="preserve">I, Annex 14. </w:t>
      </w:r>
      <w:r w:rsidR="0AC91198" w:rsidRPr="00391404">
        <w:t xml:space="preserve">Tools were piloted in two of our </w:t>
      </w:r>
      <w:r w:rsidR="0AC91198" w:rsidRPr="00A12329">
        <w:t xml:space="preserve">16 focus countries </w:t>
      </w:r>
      <w:r w:rsidR="007278EF">
        <w:t>(Zambia and Pakistan)</w:t>
      </w:r>
      <w:r w:rsidR="0AC91198" w:rsidRPr="00A12329">
        <w:t xml:space="preserve"> and revisions </w:t>
      </w:r>
      <w:r w:rsidR="6E65A3DB" w:rsidRPr="00A12329">
        <w:t xml:space="preserve">were </w:t>
      </w:r>
      <w:r w:rsidR="0AC91198" w:rsidRPr="00A12329">
        <w:t>made to rationalise and ensure</w:t>
      </w:r>
      <w:r w:rsidR="345A6707" w:rsidRPr="00A12329">
        <w:t xml:space="preserve"> that they are</w:t>
      </w:r>
      <w:r w:rsidR="0AC91198" w:rsidRPr="00A12329">
        <w:t xml:space="preserve"> fit for purpose. </w:t>
      </w:r>
      <w:r w:rsidR="6A170627" w:rsidRPr="00A12329">
        <w:t xml:space="preserve">The evaluation was </w:t>
      </w:r>
      <w:r w:rsidR="4524ABC7" w:rsidRPr="00A12329">
        <w:t>conduct</w:t>
      </w:r>
      <w:r w:rsidR="6A170627" w:rsidRPr="00A12329">
        <w:t>ed to ensure</w:t>
      </w:r>
      <w:r w:rsidR="63F0A483" w:rsidRPr="00A12329">
        <w:t xml:space="preserve"> ethical and safeguarding principles </w:t>
      </w:r>
      <w:r w:rsidR="460A09FE" w:rsidRPr="00A12329">
        <w:t xml:space="preserve">were </w:t>
      </w:r>
      <w:r w:rsidR="7D85F7C6" w:rsidRPr="00A12329">
        <w:t>adhered to</w:t>
      </w:r>
      <w:r w:rsidR="2A613476" w:rsidRPr="00A12329">
        <w:t xml:space="preserve">; our approach </w:t>
      </w:r>
      <w:r w:rsidR="3B975339" w:rsidRPr="00A12329">
        <w:t>was informed by FCDO</w:t>
      </w:r>
      <w:r w:rsidR="3B975339">
        <w:t xml:space="preserve"> </w:t>
      </w:r>
      <w:r w:rsidR="3B975339" w:rsidRPr="00A12329">
        <w:t>Ethical Guidance for Research, Evaluation and Monitoring Activities</w:t>
      </w:r>
      <w:r w:rsidR="00CE31E6">
        <w:rPr>
          <w:rStyle w:val="FootnoteReference"/>
        </w:rPr>
        <w:footnoteReference w:id="59"/>
      </w:r>
      <w:r w:rsidR="3B975339">
        <w:t xml:space="preserve"> </w:t>
      </w:r>
      <w:r w:rsidR="3B975339" w:rsidRPr="00A12329">
        <w:t xml:space="preserve">as </w:t>
      </w:r>
      <w:r w:rsidR="0AC91198" w:rsidRPr="00A12329">
        <w:t xml:space="preserve">set out in Vol. II, Annex </w:t>
      </w:r>
      <w:r w:rsidR="3DC349FE" w:rsidRPr="00A12329">
        <w:t>12</w:t>
      </w:r>
      <w:r w:rsidR="479EA241" w:rsidRPr="00A12329">
        <w:t>.</w:t>
      </w:r>
      <w:r w:rsidR="0AC91198" w:rsidRPr="00A12329">
        <w:t xml:space="preserve"> Data collection was completed in two waves</w:t>
      </w:r>
      <w:r w:rsidR="479EA241" w:rsidRPr="00A12329">
        <w:t>,</w:t>
      </w:r>
      <w:r w:rsidR="0012408A">
        <w:rPr>
          <w:rStyle w:val="FootnoteReference"/>
          <w:color w:val="3B3B3C" w:themeColor="text1"/>
        </w:rPr>
        <w:footnoteReference w:id="60"/>
      </w:r>
      <w:r w:rsidR="0AC91198" w:rsidRPr="00A12329">
        <w:t xml:space="preserve"> with </w:t>
      </w:r>
      <w:r w:rsidR="3CC77528" w:rsidRPr="00A12329">
        <w:t xml:space="preserve">the </w:t>
      </w:r>
      <w:r w:rsidR="0AC91198" w:rsidRPr="00A12329">
        <w:t xml:space="preserve">identification of preliminary findings and further rationalisation </w:t>
      </w:r>
      <w:r w:rsidR="3CC77528" w:rsidRPr="00A12329">
        <w:t xml:space="preserve">of </w:t>
      </w:r>
      <w:r w:rsidR="0AC91198" w:rsidRPr="00A12329">
        <w:t>tools completed in March 2022.</w:t>
      </w:r>
      <w:r w:rsidR="0AC91198" w:rsidRPr="00A12329" w:rsidDel="007D2E99">
        <w:t xml:space="preserve"> </w:t>
      </w:r>
      <w:r w:rsidR="0AC91198" w:rsidRPr="00A12329">
        <w:t>In total</w:t>
      </w:r>
      <w:r w:rsidR="3532FD12" w:rsidRPr="00A12329">
        <w:t>,</w:t>
      </w:r>
      <w:r w:rsidR="0AC91198" w:rsidRPr="00A12329">
        <w:t xml:space="preserve"> our analysis reflected on an evidence base of over 1</w:t>
      </w:r>
      <w:r w:rsidR="3532FD12" w:rsidRPr="00A12329">
        <w:t>,</w:t>
      </w:r>
      <w:r w:rsidR="0AC91198" w:rsidRPr="00A12329">
        <w:t xml:space="preserve">900 documents (Vol. II, Annex 4) and over 400 </w:t>
      </w:r>
      <w:r w:rsidR="4196FC73" w:rsidRPr="00A12329">
        <w:t>KIIs</w:t>
      </w:r>
      <w:r w:rsidR="0AC91198" w:rsidRPr="00A12329">
        <w:t xml:space="preserve"> (Vol. II, Annex </w:t>
      </w:r>
      <w:r w:rsidR="3DC349FE" w:rsidRPr="00A12329">
        <w:t>20</w:t>
      </w:r>
      <w:r w:rsidR="0AC91198" w:rsidRPr="00A12329">
        <w:t>), plus work completed in the period 2018</w:t>
      </w:r>
      <w:r w:rsidR="29523613">
        <w:t>–</w:t>
      </w:r>
      <w:r w:rsidR="0AC91198" w:rsidRPr="00A12329">
        <w:t xml:space="preserve">2021. </w:t>
      </w:r>
      <w:r w:rsidR="2339B37C" w:rsidRPr="00A12329">
        <w:t xml:space="preserve">Our </w:t>
      </w:r>
      <w:r w:rsidR="60F16FD9" w:rsidRPr="00A12329">
        <w:t xml:space="preserve">sampling </w:t>
      </w:r>
      <w:r w:rsidR="2339B37C" w:rsidRPr="00A12329">
        <w:t xml:space="preserve">approach is set out in </w:t>
      </w:r>
      <w:r w:rsidR="521121B3" w:rsidRPr="00A12329">
        <w:t>Vol. I</w:t>
      </w:r>
      <w:r w:rsidR="2339B37C" w:rsidRPr="00A12329">
        <w:t xml:space="preserve">I, Annex </w:t>
      </w:r>
      <w:r w:rsidR="1211E582" w:rsidRPr="00A12329">
        <w:t>3</w:t>
      </w:r>
      <w:r w:rsidR="2339B37C" w:rsidRPr="00A12329">
        <w:t>,</w:t>
      </w:r>
      <w:r w:rsidR="1211E582" w:rsidRPr="00A12329">
        <w:t xml:space="preserve"> which underlines that the evaluation team was able to independently identify </w:t>
      </w:r>
      <w:r w:rsidR="59CD01C1" w:rsidRPr="00A12329">
        <w:t>relevant KIs and data sources.</w:t>
      </w:r>
      <w:r w:rsidR="2339B37C" w:rsidRPr="00A12329">
        <w:t xml:space="preserve"> </w:t>
      </w:r>
      <w:r w:rsidR="18D11AEB" w:rsidRPr="00A12329">
        <w:t>Although it was not part of the approved design to assess the strength of evidence for significant findings, t</w:t>
      </w:r>
      <w:r w:rsidR="13E3C6B1" w:rsidRPr="00A12329">
        <w:t>h</w:t>
      </w:r>
      <w:r w:rsidR="22796799" w:rsidRPr="00A12329">
        <w:t>e</w:t>
      </w:r>
      <w:r w:rsidR="13E3C6B1" w:rsidRPr="00A12329">
        <w:t xml:space="preserve"> </w:t>
      </w:r>
      <w:r w:rsidR="70B09D16" w:rsidRPr="00A12329">
        <w:t xml:space="preserve">volume and type of evidence generated </w:t>
      </w:r>
      <w:r w:rsidR="13E3C6B1" w:rsidRPr="00A12329">
        <w:t>provided a strong base for our analysis</w:t>
      </w:r>
      <w:r w:rsidR="70B09D16" w:rsidRPr="00A12329">
        <w:t>.</w:t>
      </w:r>
      <w:r w:rsidR="13E3C6B1" w:rsidRPr="00A12329">
        <w:t xml:space="preserve"> </w:t>
      </w:r>
      <w:r w:rsidR="0AC91198" w:rsidRPr="00A12329">
        <w:t xml:space="preserve">Data analysis was completed by </w:t>
      </w:r>
      <w:r w:rsidR="3CC77528" w:rsidRPr="00A12329">
        <w:t xml:space="preserve">the </w:t>
      </w:r>
      <w:r w:rsidR="0AC91198" w:rsidRPr="00A12329">
        <w:t>evaluation team thematic leads for each EQ, including at a cross-theme workshop in September 2022.</w:t>
      </w:r>
      <w:r w:rsidR="0AC91198" w:rsidRPr="00A12329" w:rsidDel="007D2E99">
        <w:t xml:space="preserve"> </w:t>
      </w:r>
      <w:r w:rsidR="60F16FD9" w:rsidRPr="00A12329">
        <w:t>(</w:t>
      </w:r>
      <w:r w:rsidR="0AC91198" w:rsidRPr="00A12329">
        <w:t>See Vol. II, Annex 4 for more details on data collection and analysis</w:t>
      </w:r>
      <w:r w:rsidR="60F16FD9" w:rsidRPr="00A12329">
        <w:t>.</w:t>
      </w:r>
      <w:r w:rsidR="0AC91198" w:rsidRPr="00A12329">
        <w:t>)</w:t>
      </w:r>
    </w:p>
    <w:p w14:paraId="3210E7C0" w14:textId="35C29F36" w:rsidR="00012EE7" w:rsidRDefault="002E2905" w:rsidP="005A627D">
      <w:pPr>
        <w:spacing w:after="120"/>
        <w:rPr>
          <w:rStyle w:val="ItadNormalTextChar"/>
        </w:rPr>
      </w:pPr>
      <w:r w:rsidRPr="008A5F96">
        <w:rPr>
          <w:rStyle w:val="ItadNormalTextChar"/>
          <w:b/>
          <w:bCs/>
        </w:rPr>
        <w:t xml:space="preserve">The evaluation process was </w:t>
      </w:r>
      <w:r w:rsidR="003432D2" w:rsidRPr="008A5F96">
        <w:rPr>
          <w:rStyle w:val="ItadNormalTextChar"/>
          <w:b/>
          <w:bCs/>
        </w:rPr>
        <w:t>designed to ensure the participation of key stakeholder groups.</w:t>
      </w:r>
      <w:r w:rsidR="003432D2">
        <w:rPr>
          <w:rStyle w:val="ItadNormalTextChar"/>
        </w:rPr>
        <w:t xml:space="preserve"> For example, a</w:t>
      </w:r>
      <w:r w:rsidR="00012EE7" w:rsidRPr="00EC556B">
        <w:rPr>
          <w:rStyle w:val="ItadNormalTextChar"/>
        </w:rPr>
        <w:t xml:space="preserve"> draft report was reviewed by our Evaluation Advisory </w:t>
      </w:r>
      <w:r w:rsidR="002D06DF" w:rsidRPr="00EC556B">
        <w:rPr>
          <w:rStyle w:val="ItadNormalTextChar"/>
        </w:rPr>
        <w:t>Group and</w:t>
      </w:r>
      <w:r w:rsidR="00012EE7" w:rsidRPr="00EC556B">
        <w:rPr>
          <w:rStyle w:val="ItadNormalTextChar"/>
        </w:rPr>
        <w:t xml:space="preserve"> checked for factual accuracy by the MA in November 2022; emerging headlines were discussed with</w:t>
      </w:r>
      <w:r w:rsidR="0050696B">
        <w:rPr>
          <w:rStyle w:val="ItadNormalTextChar"/>
        </w:rPr>
        <w:t xml:space="preserve"> the</w:t>
      </w:r>
      <w:r w:rsidR="00012EE7" w:rsidRPr="00EC556B">
        <w:rPr>
          <w:rStyle w:val="ItadNormalTextChar"/>
        </w:rPr>
        <w:t xml:space="preserve"> DHSC </w:t>
      </w:r>
      <w:r w:rsidR="007802E6">
        <w:rPr>
          <w:rStyle w:val="ItadNormalTextChar"/>
        </w:rPr>
        <w:t>before</w:t>
      </w:r>
      <w:r w:rsidR="006E3027">
        <w:rPr>
          <w:rStyle w:val="ItadNormalTextChar"/>
        </w:rPr>
        <w:t xml:space="preserve"> </w:t>
      </w:r>
      <w:r w:rsidR="00012EE7" w:rsidRPr="00EC556B">
        <w:rPr>
          <w:rStyle w:val="ItadNormalTextChar"/>
        </w:rPr>
        <w:t>submission.</w:t>
      </w:r>
      <w:r w:rsidR="00012EE7" w:rsidRPr="00391404">
        <w:rPr>
          <w:rStyle w:val="ItadNormalTextChar"/>
          <w:vertAlign w:val="superscript"/>
        </w:rPr>
        <w:footnoteReference w:id="61"/>
      </w:r>
      <w:r w:rsidR="00012EE7" w:rsidRPr="00C64239">
        <w:rPr>
          <w:rFonts w:eastAsia="MS Mincho" w:cs="Calibri"/>
        </w:rPr>
        <w:t xml:space="preserve"> </w:t>
      </w:r>
      <w:bookmarkStart w:id="141" w:name="_Hlk136451231"/>
      <w:r w:rsidR="001E73CD" w:rsidRPr="008A5F96">
        <w:rPr>
          <w:rStyle w:val="ItadNormalTextChar"/>
        </w:rPr>
        <w:t xml:space="preserve">A summary overview of interactions with key </w:t>
      </w:r>
      <w:r w:rsidR="00825B76" w:rsidRPr="008A5F96">
        <w:rPr>
          <w:rStyle w:val="ItadNormalTextChar"/>
        </w:rPr>
        <w:t>stakeholder groups and</w:t>
      </w:r>
      <w:r w:rsidR="00825B76">
        <w:rPr>
          <w:rFonts w:eastAsia="MS Mincho" w:cs="Calibri"/>
        </w:rPr>
        <w:t xml:space="preserve"> p</w:t>
      </w:r>
      <w:r w:rsidR="0010001C" w:rsidRPr="008A5F96">
        <w:rPr>
          <w:rStyle w:val="ItadNormalTextChar"/>
        </w:rPr>
        <w:t xml:space="preserve">lans </w:t>
      </w:r>
      <w:r w:rsidR="00825B76">
        <w:rPr>
          <w:rStyle w:val="ItadNormalTextChar"/>
        </w:rPr>
        <w:t>to support</w:t>
      </w:r>
      <w:r w:rsidR="007802E6">
        <w:rPr>
          <w:rStyle w:val="ItadNormalTextChar"/>
        </w:rPr>
        <w:t xml:space="preserve"> the</w:t>
      </w:r>
      <w:r w:rsidR="00825B76">
        <w:rPr>
          <w:rStyle w:val="ItadNormalTextChar"/>
        </w:rPr>
        <w:t xml:space="preserve"> </w:t>
      </w:r>
      <w:r w:rsidR="0010001C" w:rsidRPr="008A5F96">
        <w:rPr>
          <w:rStyle w:val="ItadNormalTextChar"/>
        </w:rPr>
        <w:t xml:space="preserve">use and dissemination of evaluation </w:t>
      </w:r>
      <w:r w:rsidR="00C03E1C">
        <w:rPr>
          <w:rStyle w:val="ItadNormalTextChar"/>
        </w:rPr>
        <w:t>deliverables</w:t>
      </w:r>
      <w:r w:rsidR="0010001C" w:rsidRPr="008A5F96">
        <w:rPr>
          <w:rStyle w:val="ItadNormalTextChar"/>
        </w:rPr>
        <w:t xml:space="preserve"> are set out in</w:t>
      </w:r>
      <w:r w:rsidR="0075040C" w:rsidRPr="008A5F96">
        <w:rPr>
          <w:rStyle w:val="ItadNormalTextChar"/>
        </w:rPr>
        <w:t xml:space="preserve"> our Use </w:t>
      </w:r>
      <w:r w:rsidR="005D68B3">
        <w:rPr>
          <w:rStyle w:val="ItadNormalTextChar"/>
        </w:rPr>
        <w:t>and</w:t>
      </w:r>
      <w:r w:rsidR="005D68B3" w:rsidRPr="008A5F96">
        <w:rPr>
          <w:rStyle w:val="ItadNormalTextChar"/>
        </w:rPr>
        <w:t xml:space="preserve"> </w:t>
      </w:r>
      <w:r w:rsidR="0075040C" w:rsidRPr="008A5F96">
        <w:rPr>
          <w:rStyle w:val="ItadNormalTextChar"/>
        </w:rPr>
        <w:t>Influence Plan</w:t>
      </w:r>
      <w:r w:rsidR="00905195" w:rsidRPr="008A5F96">
        <w:rPr>
          <w:rStyle w:val="ItadNormalTextChar"/>
        </w:rPr>
        <w:t xml:space="preserve"> </w:t>
      </w:r>
      <w:r w:rsidR="0075040C" w:rsidRPr="008A5F96">
        <w:rPr>
          <w:rStyle w:val="ItadNormalTextChar"/>
        </w:rPr>
        <w:t xml:space="preserve">(see </w:t>
      </w:r>
      <w:r w:rsidR="000C6826">
        <w:rPr>
          <w:rStyle w:val="ItadNormalTextChar"/>
        </w:rPr>
        <w:fldChar w:fldCharType="begin"/>
      </w:r>
      <w:r w:rsidR="000C6826">
        <w:rPr>
          <w:rStyle w:val="ItadNormalTextChar"/>
        </w:rPr>
        <w:instrText xml:space="preserve"> REF _Ref144719560 \h </w:instrText>
      </w:r>
      <w:r w:rsidR="000C6826">
        <w:rPr>
          <w:rStyle w:val="ItadNormalTextChar"/>
        </w:rPr>
      </w:r>
      <w:r w:rsidR="000C6826">
        <w:rPr>
          <w:rStyle w:val="ItadNormalTextChar"/>
        </w:rPr>
        <w:fldChar w:fldCharType="separate"/>
      </w:r>
      <w:r w:rsidR="009A7BD2">
        <w:t xml:space="preserve">Box </w:t>
      </w:r>
      <w:r w:rsidR="009A7BD2">
        <w:rPr>
          <w:noProof/>
        </w:rPr>
        <w:t>4</w:t>
      </w:r>
      <w:r w:rsidR="000C6826">
        <w:rPr>
          <w:rStyle w:val="ItadNormalTextChar"/>
        </w:rPr>
        <w:fldChar w:fldCharType="end"/>
      </w:r>
      <w:r w:rsidR="009A7BD2">
        <w:rPr>
          <w:rStyle w:val="ItadNormalTextChar"/>
        </w:rPr>
        <w:t xml:space="preserve"> </w:t>
      </w:r>
      <w:r w:rsidR="001420DF">
        <w:rPr>
          <w:rStyle w:val="ItadNormalTextChar"/>
        </w:rPr>
        <w:t xml:space="preserve">and </w:t>
      </w:r>
      <w:r w:rsidR="00803F81" w:rsidRPr="007802E6">
        <w:rPr>
          <w:rStyle w:val="ItadNormalTextChar"/>
        </w:rPr>
        <w:t>Vol. I</w:t>
      </w:r>
      <w:r w:rsidR="0010001C" w:rsidRPr="008A5F96">
        <w:rPr>
          <w:rStyle w:val="ItadNormalTextChar"/>
        </w:rPr>
        <w:t>I, Annex 17</w:t>
      </w:r>
      <w:r w:rsidR="0075040C" w:rsidRPr="008A5F96">
        <w:rPr>
          <w:rStyle w:val="ItadNormalTextChar"/>
        </w:rPr>
        <w:t>)</w:t>
      </w:r>
      <w:r w:rsidR="00A52AE3">
        <w:rPr>
          <w:rStyle w:val="ItadNormalTextChar"/>
        </w:rPr>
        <w:t xml:space="preserve"> some of which we have implemented already</w:t>
      </w:r>
      <w:r w:rsidR="00420B38">
        <w:rPr>
          <w:rStyle w:val="FootnoteReference"/>
          <w:color w:val="3B3B3C" w:themeColor="text1"/>
        </w:rPr>
        <w:footnoteReference w:id="62"/>
      </w:r>
      <w:r w:rsidR="00A52AE3">
        <w:rPr>
          <w:rStyle w:val="ItadNormalTextChar"/>
        </w:rPr>
        <w:t xml:space="preserve"> and </w:t>
      </w:r>
      <w:r w:rsidR="00E97929">
        <w:rPr>
          <w:rStyle w:val="ItadNormalTextChar"/>
        </w:rPr>
        <w:t xml:space="preserve">the remainder </w:t>
      </w:r>
      <w:r w:rsidR="005D68B3">
        <w:rPr>
          <w:rStyle w:val="ItadNormalTextChar"/>
        </w:rPr>
        <w:t xml:space="preserve">of </w:t>
      </w:r>
      <w:r w:rsidR="00A52AE3">
        <w:rPr>
          <w:rStyle w:val="ItadNormalTextChar"/>
        </w:rPr>
        <w:t xml:space="preserve">which we will </w:t>
      </w:r>
      <w:r w:rsidR="00E97929">
        <w:rPr>
          <w:rStyle w:val="ItadNormalTextChar"/>
        </w:rPr>
        <w:t>implement throughout 2023</w:t>
      </w:r>
      <w:r w:rsidR="006B71D9">
        <w:rPr>
          <w:rStyle w:val="ItadNormalTextChar"/>
        </w:rPr>
        <w:t xml:space="preserve"> to </w:t>
      </w:r>
      <w:r w:rsidR="006517BE">
        <w:rPr>
          <w:rStyle w:val="ItadNormalTextChar"/>
        </w:rPr>
        <w:t>promote the use of evaluation findings</w:t>
      </w:r>
      <w:r w:rsidR="0010001C" w:rsidRPr="008A5F96">
        <w:rPr>
          <w:rStyle w:val="ItadNormalTextChar"/>
        </w:rPr>
        <w:t>.</w:t>
      </w:r>
      <w:r w:rsidR="00E756FA">
        <w:rPr>
          <w:rStyle w:val="ItadNormalTextChar"/>
        </w:rPr>
        <w:t xml:space="preserve"> </w:t>
      </w:r>
      <w:bookmarkEnd w:id="141"/>
      <w:r w:rsidR="00E756FA">
        <w:rPr>
          <w:rStyle w:val="ItadNormalTextChar"/>
        </w:rPr>
        <w:t>There was li</w:t>
      </w:r>
      <w:r w:rsidR="005E5112">
        <w:rPr>
          <w:rStyle w:val="ItadNormalTextChar"/>
        </w:rPr>
        <w:t xml:space="preserve">ttle need to </w:t>
      </w:r>
      <w:r w:rsidR="00E756FA">
        <w:rPr>
          <w:rStyle w:val="ItadNormalTextChar"/>
        </w:rPr>
        <w:t>interact</w:t>
      </w:r>
      <w:r w:rsidR="005E5112">
        <w:rPr>
          <w:rStyle w:val="ItadNormalTextChar"/>
        </w:rPr>
        <w:t xml:space="preserve"> </w:t>
      </w:r>
      <w:r w:rsidR="00E756FA">
        <w:rPr>
          <w:rStyle w:val="ItadNormalTextChar"/>
        </w:rPr>
        <w:t>with other partners to avoid duplication</w:t>
      </w:r>
      <w:r w:rsidR="005E5112">
        <w:rPr>
          <w:rStyle w:val="ItadNormalTextChar"/>
        </w:rPr>
        <w:t xml:space="preserve"> as we did not identify any similar evaluative processes that we needed to align with. </w:t>
      </w:r>
      <w:r w:rsidR="00DB705C">
        <w:rPr>
          <w:rStyle w:val="ItadNormalTextChar"/>
        </w:rPr>
        <w:t>These interactions in no way</w:t>
      </w:r>
      <w:r w:rsidR="00C447F0">
        <w:rPr>
          <w:rStyle w:val="ItadNormalTextChar"/>
        </w:rPr>
        <w:t xml:space="preserve"> influenced or compromised our ability to work freely and without interference in producing an independent </w:t>
      </w:r>
      <w:r w:rsidR="008F2B2A">
        <w:rPr>
          <w:rStyle w:val="ItadNormalTextChar"/>
        </w:rPr>
        <w:t>assessment of the Fleming Fund</w:t>
      </w:r>
      <w:r w:rsidR="00AA6A7B">
        <w:rPr>
          <w:rStyle w:val="ItadNormalTextChar"/>
        </w:rPr>
        <w:t>’</w:t>
      </w:r>
      <w:r w:rsidR="008F2B2A">
        <w:rPr>
          <w:rStyle w:val="ItadNormalTextChar"/>
        </w:rPr>
        <w:t xml:space="preserve">s achievements. </w:t>
      </w:r>
      <w:r w:rsidR="009C6418">
        <w:rPr>
          <w:rStyle w:val="ItadNormalTextChar"/>
        </w:rPr>
        <w:t xml:space="preserve">Conflicts of interest </w:t>
      </w:r>
      <w:r w:rsidR="00103DFF">
        <w:rPr>
          <w:rStyle w:val="ItadNormalTextChar"/>
        </w:rPr>
        <w:t>were reviewed</w:t>
      </w:r>
      <w:r w:rsidR="009C6418">
        <w:rPr>
          <w:rStyle w:val="ItadNormalTextChar"/>
        </w:rPr>
        <w:t xml:space="preserve"> </w:t>
      </w:r>
      <w:r w:rsidR="007178D6">
        <w:rPr>
          <w:rStyle w:val="ItadNormalTextChar"/>
        </w:rPr>
        <w:t xml:space="preserve">quarterly with the DHSC and MA </w:t>
      </w:r>
      <w:r w:rsidR="00584917">
        <w:rPr>
          <w:rStyle w:val="ItadNormalTextChar"/>
        </w:rPr>
        <w:t>according to an explicit C</w:t>
      </w:r>
      <w:r w:rsidR="001F2B3D">
        <w:rPr>
          <w:rStyle w:val="ItadNormalTextChar"/>
        </w:rPr>
        <w:t xml:space="preserve">onflict </w:t>
      </w:r>
      <w:r w:rsidR="007802E6">
        <w:rPr>
          <w:rStyle w:val="ItadNormalTextChar"/>
        </w:rPr>
        <w:t>o</w:t>
      </w:r>
      <w:r w:rsidR="001F2B3D">
        <w:rPr>
          <w:rStyle w:val="ItadNormalTextChar"/>
        </w:rPr>
        <w:t xml:space="preserve">f </w:t>
      </w:r>
      <w:r w:rsidR="00584917">
        <w:rPr>
          <w:rStyle w:val="ItadNormalTextChar"/>
        </w:rPr>
        <w:t>I</w:t>
      </w:r>
      <w:r w:rsidR="001F2B3D">
        <w:rPr>
          <w:rStyle w:val="ItadNormalTextChar"/>
        </w:rPr>
        <w:t>nterest</w:t>
      </w:r>
      <w:r w:rsidR="00584917">
        <w:rPr>
          <w:rStyle w:val="ItadNormalTextChar"/>
        </w:rPr>
        <w:t xml:space="preserve"> policy</w:t>
      </w:r>
      <w:r w:rsidR="001F2B3D">
        <w:rPr>
          <w:rStyle w:val="ItadNormalTextChar"/>
        </w:rPr>
        <w:t>;</w:t>
      </w:r>
      <w:r w:rsidR="00103DFF">
        <w:rPr>
          <w:rStyle w:val="ItadNormalTextChar"/>
        </w:rPr>
        <w:t xml:space="preserve"> however</w:t>
      </w:r>
      <w:r w:rsidR="001F2B3D">
        <w:rPr>
          <w:rStyle w:val="ItadNormalTextChar"/>
        </w:rPr>
        <w:t>,</w:t>
      </w:r>
      <w:r w:rsidR="00103DFF">
        <w:rPr>
          <w:rStyle w:val="ItadNormalTextChar"/>
        </w:rPr>
        <w:t xml:space="preserve"> no</w:t>
      </w:r>
      <w:r w:rsidR="00584917">
        <w:rPr>
          <w:rStyle w:val="ItadNormalTextChar"/>
        </w:rPr>
        <w:t>ne</w:t>
      </w:r>
      <w:r w:rsidR="00103DFF">
        <w:rPr>
          <w:rStyle w:val="ItadNormalTextChar"/>
        </w:rPr>
        <w:t xml:space="preserve"> were identified</w:t>
      </w:r>
      <w:r w:rsidR="007178D6">
        <w:rPr>
          <w:rStyle w:val="ItadNormalTextChar"/>
        </w:rPr>
        <w:t>.</w:t>
      </w:r>
    </w:p>
    <w:p w14:paraId="1ED0502C" w14:textId="7447098D" w:rsidR="00C7383B" w:rsidRPr="000C6826" w:rsidRDefault="008A47F7" w:rsidP="008A47F7">
      <w:pPr>
        <w:pStyle w:val="Caption"/>
      </w:pPr>
      <w:bookmarkStart w:id="142" w:name="_Ref144719560"/>
      <w:bookmarkStart w:id="143" w:name="_Toc144721399"/>
      <w:r>
        <w:t xml:space="preserve">Box </w:t>
      </w:r>
      <w:r>
        <w:fldChar w:fldCharType="begin"/>
      </w:r>
      <w:r>
        <w:instrText>SEQ Box \* ARABIC</w:instrText>
      </w:r>
      <w:r>
        <w:fldChar w:fldCharType="separate"/>
      </w:r>
      <w:r w:rsidR="009A7BD2">
        <w:rPr>
          <w:noProof/>
        </w:rPr>
        <w:t>4</w:t>
      </w:r>
      <w:r>
        <w:fldChar w:fldCharType="end"/>
      </w:r>
      <w:bookmarkEnd w:id="142"/>
      <w:r w:rsidR="00C7383B" w:rsidRPr="000C6826">
        <w:t>: Development and delivery of the Use and Influence Plan</w:t>
      </w:r>
      <w:bookmarkEnd w:id="143"/>
    </w:p>
    <w:p w14:paraId="13D53E5F" w14:textId="77777777" w:rsidR="008A47F7" w:rsidRDefault="00C7383B" w:rsidP="008A47F7">
      <w:pPr>
        <w:pStyle w:val="FFBoxText"/>
        <w:shd w:val="clear" w:color="auto" w:fill="F9E2D5" w:themeFill="accent2" w:themeFillTint="33"/>
        <w:rPr>
          <w:sz w:val="22"/>
          <w:szCs w:val="22"/>
        </w:rPr>
      </w:pPr>
      <w:r w:rsidRPr="00B17EAE">
        <w:rPr>
          <w:sz w:val="22"/>
          <w:szCs w:val="22"/>
        </w:rPr>
        <w:t>Itad consults DHSC regularly on how the Use and Influence Plan for phase 1 is delivered. The plan in Annex 17 reflects what was anticipated for delivery at the time of writing this summative report. Activities are designed in line with a set of guiding principles:</w:t>
      </w:r>
    </w:p>
    <w:p w14:paraId="1DEBFA34" w14:textId="77777777" w:rsidR="008A47F7" w:rsidRDefault="00C7383B" w:rsidP="008A47F7">
      <w:pPr>
        <w:pStyle w:val="FFBoxText"/>
        <w:numPr>
          <w:ilvl w:val="0"/>
          <w:numId w:val="104"/>
        </w:numPr>
        <w:shd w:val="clear" w:color="auto" w:fill="F9E2D5" w:themeFill="accent2" w:themeFillTint="33"/>
        <w:rPr>
          <w:sz w:val="22"/>
          <w:szCs w:val="22"/>
        </w:rPr>
      </w:pPr>
      <w:r w:rsidRPr="00B17EAE">
        <w:rPr>
          <w:sz w:val="22"/>
          <w:szCs w:val="22"/>
        </w:rPr>
        <w:t xml:space="preserve">Making evaluation findings as useful as possible to key stakeholders – using appropriate language, medium, format, level of detail, etc. </w:t>
      </w:r>
    </w:p>
    <w:p w14:paraId="640713DE" w14:textId="77777777" w:rsidR="008A47F7" w:rsidRDefault="00C7383B" w:rsidP="008A47F7">
      <w:pPr>
        <w:pStyle w:val="FFBoxText"/>
        <w:numPr>
          <w:ilvl w:val="0"/>
          <w:numId w:val="104"/>
        </w:numPr>
        <w:shd w:val="clear" w:color="auto" w:fill="F9E2D5" w:themeFill="accent2" w:themeFillTint="33"/>
        <w:rPr>
          <w:sz w:val="22"/>
          <w:szCs w:val="22"/>
        </w:rPr>
      </w:pPr>
      <w:r w:rsidRPr="00B17EAE">
        <w:rPr>
          <w:sz w:val="22"/>
          <w:szCs w:val="22"/>
        </w:rPr>
        <w:t xml:space="preserve">Sharing learning in time to inform the MA and DHSC’s planning and decisions </w:t>
      </w:r>
    </w:p>
    <w:p w14:paraId="6CD51A7B" w14:textId="77777777" w:rsidR="008A47F7" w:rsidRDefault="00C7383B" w:rsidP="008A47F7">
      <w:pPr>
        <w:pStyle w:val="FFBoxText"/>
        <w:numPr>
          <w:ilvl w:val="0"/>
          <w:numId w:val="104"/>
        </w:numPr>
        <w:shd w:val="clear" w:color="auto" w:fill="F9E2D5" w:themeFill="accent2" w:themeFillTint="33"/>
        <w:rPr>
          <w:sz w:val="22"/>
          <w:szCs w:val="22"/>
        </w:rPr>
      </w:pPr>
      <w:r w:rsidRPr="00B17EAE">
        <w:rPr>
          <w:sz w:val="22"/>
          <w:szCs w:val="22"/>
        </w:rPr>
        <w:t xml:space="preserve">Using resources wisely – activities capitalise on Fleming Fund events, and use existing digital channels, where appropriate. </w:t>
      </w:r>
    </w:p>
    <w:p w14:paraId="2FA42EE1" w14:textId="26036F64" w:rsidR="00C7383B" w:rsidRPr="00B17EAE" w:rsidRDefault="00C7383B" w:rsidP="008A47F7">
      <w:pPr>
        <w:pStyle w:val="FFBoxText"/>
        <w:numPr>
          <w:ilvl w:val="0"/>
          <w:numId w:val="104"/>
        </w:numPr>
        <w:shd w:val="clear" w:color="auto" w:fill="F9E2D5" w:themeFill="accent2" w:themeFillTint="33"/>
        <w:rPr>
          <w:sz w:val="22"/>
          <w:szCs w:val="22"/>
        </w:rPr>
      </w:pPr>
      <w:r w:rsidRPr="00B17EAE">
        <w:rPr>
          <w:sz w:val="22"/>
          <w:szCs w:val="22"/>
        </w:rPr>
        <w:t>Continuously improving – monitoring dissemination, asking for feedback from the MA and DHSC, and regularly reviewing the work plan.</w:t>
      </w:r>
    </w:p>
    <w:p w14:paraId="23F7BCC4" w14:textId="77777777" w:rsidR="00C7383B" w:rsidRDefault="00C7383B" w:rsidP="005A627D">
      <w:pPr>
        <w:spacing w:after="120"/>
        <w:rPr>
          <w:rStyle w:val="ItadNormalTextChar"/>
        </w:rPr>
      </w:pPr>
    </w:p>
    <w:p w14:paraId="201D1FD1" w14:textId="24755944" w:rsidR="00175B32" w:rsidRPr="008A5F96" w:rsidRDefault="00175B32" w:rsidP="00AA498E">
      <w:pPr>
        <w:pStyle w:val="ItadNormalText"/>
        <w:rPr>
          <w:rStyle w:val="ItadNormalTextChar"/>
        </w:rPr>
      </w:pPr>
      <w:r w:rsidRPr="00AA498E">
        <w:rPr>
          <w:b/>
          <w:bCs/>
        </w:rPr>
        <w:t>This report presents findings, conclusions and recommendations of the summative phase</w:t>
      </w:r>
      <w:r w:rsidR="001D2C68">
        <w:rPr>
          <w:b/>
          <w:bCs/>
        </w:rPr>
        <w:t xml:space="preserve"> of the evaluation. </w:t>
      </w:r>
      <w:r w:rsidR="001D2C68" w:rsidRPr="00AA498E">
        <w:t>It does not cover</w:t>
      </w:r>
      <w:r w:rsidR="00CB0784" w:rsidRPr="00AA498E">
        <w:t xml:space="preserve"> work completed under previous phases that has already been fed back to DHSC and the MA through three separate deliverables in 2018, 2020 and 2021</w:t>
      </w:r>
      <w:r w:rsidR="00F229F9">
        <w:t xml:space="preserve"> (as shown in </w:t>
      </w:r>
      <w:r w:rsidR="005728EE">
        <w:fldChar w:fldCharType="begin"/>
      </w:r>
      <w:r w:rsidR="005728EE">
        <w:instrText xml:space="preserve"> REF _Ref144101341 \h </w:instrText>
      </w:r>
      <w:r w:rsidR="005728EE">
        <w:fldChar w:fldCharType="separate"/>
      </w:r>
      <w:r w:rsidR="005728EE">
        <w:t xml:space="preserve">Figure </w:t>
      </w:r>
      <w:r w:rsidR="005728EE">
        <w:rPr>
          <w:noProof/>
        </w:rPr>
        <w:t>9</w:t>
      </w:r>
      <w:r w:rsidR="005728EE">
        <w:fldChar w:fldCharType="end"/>
      </w:r>
      <w:r w:rsidR="005728EE">
        <w:t xml:space="preserve"> </w:t>
      </w:r>
      <w:r w:rsidR="00F229F9">
        <w:t>above)</w:t>
      </w:r>
      <w:r w:rsidR="00CB0784" w:rsidRPr="00AA498E">
        <w:t>.</w:t>
      </w:r>
      <w:r w:rsidR="00CB0784">
        <w:rPr>
          <w:b/>
          <w:bCs/>
        </w:rPr>
        <w:t xml:space="preserve"> </w:t>
      </w:r>
      <w:r w:rsidR="001D2C68">
        <w:t>I</w:t>
      </w:r>
      <w:r>
        <w:t xml:space="preserve">ts primary target audiences are senior management within DHSC and HMT, as well as the MA and other donors and </w:t>
      </w:r>
      <w:r w:rsidR="002944F0">
        <w:t>DPs</w:t>
      </w:r>
      <w:r w:rsidRPr="00DB1E5A">
        <w:t xml:space="preserve">. </w:t>
      </w:r>
      <w:r w:rsidRPr="004A22B9">
        <w:t>The six EQs have been used to structure data collection and analysis</w:t>
      </w:r>
      <w:r w:rsidRPr="00DB1E5A">
        <w:t xml:space="preserve"> (as set</w:t>
      </w:r>
      <w:r w:rsidRPr="001D3DD2">
        <w:t xml:space="preserve"> out in Vol. II, Annex 2), but not to structure this report</w:t>
      </w:r>
      <w:r>
        <w:t xml:space="preserve"> because ordering by EQ risked disjointed and duplicative presentation of findings</w:t>
      </w:r>
      <w:r w:rsidRPr="001D3DD2">
        <w:t xml:space="preserve">; a mapping of EQs to report sections is included in Vol. II, Annex </w:t>
      </w:r>
      <w:r>
        <w:t>5</w:t>
      </w:r>
      <w:r w:rsidRPr="001D3DD2">
        <w:t>.</w:t>
      </w:r>
    </w:p>
    <w:p w14:paraId="4D9786EB" w14:textId="0E5FF1C4" w:rsidR="00012EE7" w:rsidRPr="006F3E4A" w:rsidRDefault="00012EE7" w:rsidP="00E55ABA">
      <w:pPr>
        <w:pStyle w:val="ItadH2Numbered"/>
        <w:rPr>
          <w:lang w:eastAsia="en-GB"/>
        </w:rPr>
      </w:pPr>
      <w:bookmarkStart w:id="144" w:name="_Toc118796335"/>
      <w:bookmarkStart w:id="145" w:name="_Ref128060736"/>
      <w:bookmarkStart w:id="146" w:name="_Ref129295025"/>
      <w:bookmarkStart w:id="147" w:name="_Toc144715807"/>
      <w:bookmarkEnd w:id="137"/>
      <w:r w:rsidRPr="0CB71AAA">
        <w:rPr>
          <w:lang w:eastAsia="en-GB"/>
        </w:rPr>
        <w:t>Challenges and limitations</w:t>
      </w:r>
      <w:bookmarkEnd w:id="144"/>
      <w:bookmarkEnd w:id="145"/>
      <w:bookmarkEnd w:id="146"/>
      <w:bookmarkEnd w:id="147"/>
    </w:p>
    <w:p w14:paraId="491FBADD" w14:textId="5E575784" w:rsidR="00012EE7" w:rsidRPr="00BD6F03" w:rsidRDefault="00012EE7" w:rsidP="00AA498E">
      <w:pPr>
        <w:pStyle w:val="ItadNormalText"/>
        <w:rPr>
          <w:rFonts w:eastAsia="MS Mincho" w:cs="Calibri"/>
        </w:rPr>
      </w:pPr>
      <w:bookmarkStart w:id="148" w:name="_Hlk129092399"/>
      <w:r w:rsidRPr="00BD6F03">
        <w:t xml:space="preserve">Departures from the evaluation ToR are set out in </w:t>
      </w:r>
      <w:r w:rsidR="00637156" w:rsidRPr="00BD6F03">
        <w:t>Vol. II</w:t>
      </w:r>
      <w:r w:rsidRPr="00BD6F03">
        <w:t xml:space="preserve">, Annex </w:t>
      </w:r>
      <w:r w:rsidR="00E07EE6" w:rsidRPr="00BD6F03">
        <w:t>1</w:t>
      </w:r>
      <w:r w:rsidR="00E07EE6">
        <w:t>1</w:t>
      </w:r>
      <w:r w:rsidR="001E1648">
        <w:t xml:space="preserve"> with any implications for the </w:t>
      </w:r>
      <w:r w:rsidR="00075B8B">
        <w:t>credibility and robustness of our findings</w:t>
      </w:r>
      <w:r w:rsidRPr="00BD6F03">
        <w:t xml:space="preserve">. We </w:t>
      </w:r>
      <w:r w:rsidR="003F4484" w:rsidRPr="00BD6F03">
        <w:t>summarise</w:t>
      </w:r>
      <w:r w:rsidR="003F4484" w:rsidRPr="00BD6F03">
        <w:rPr>
          <w:rFonts w:eastAsia="MS Mincho" w:cs="Calibri"/>
        </w:rPr>
        <w:t xml:space="preserve"> </w:t>
      </w:r>
      <w:r w:rsidRPr="00BD6F03">
        <w:rPr>
          <w:rFonts w:eastAsia="MS Mincho" w:cs="Calibri"/>
        </w:rPr>
        <w:t xml:space="preserve">some </w:t>
      </w:r>
      <w:r w:rsidR="00834CBB" w:rsidRPr="00BD6F03">
        <w:rPr>
          <w:rFonts w:eastAsia="MS Mincho" w:cs="Calibri"/>
        </w:rPr>
        <w:t xml:space="preserve">key </w:t>
      </w:r>
      <w:r w:rsidRPr="00BD6F03">
        <w:rPr>
          <w:rFonts w:eastAsia="MS Mincho" w:cs="Calibri"/>
        </w:rPr>
        <w:t>challenges and limitations here.</w:t>
      </w:r>
    </w:p>
    <w:p w14:paraId="615093CA" w14:textId="468966DB" w:rsidR="00012EE7" w:rsidRDefault="00921A9B" w:rsidP="00AA498E">
      <w:pPr>
        <w:pStyle w:val="ItadBullets"/>
      </w:pPr>
      <w:r w:rsidRPr="00900D8E">
        <w:t xml:space="preserve">The </w:t>
      </w:r>
      <w:r w:rsidR="00012EE7" w:rsidRPr="00900D8E">
        <w:t>MA</w:t>
      </w:r>
      <w:r w:rsidR="00012EE7" w:rsidRPr="00900D8E" w:rsidDel="00405746">
        <w:t xml:space="preserve"> </w:t>
      </w:r>
      <w:r w:rsidR="00405746" w:rsidRPr="00900D8E">
        <w:t xml:space="preserve">was </w:t>
      </w:r>
      <w:r w:rsidR="00012EE7" w:rsidRPr="00900D8E">
        <w:t>not contracted to deliver outcomes</w:t>
      </w:r>
      <w:r w:rsidRPr="00900D8E">
        <w:t>,</w:t>
      </w:r>
      <w:r w:rsidR="00012EE7" w:rsidRPr="00900D8E">
        <w:t xml:space="preserve"> </w:t>
      </w:r>
      <w:r w:rsidR="00834CBB" w:rsidRPr="00900D8E">
        <w:t xml:space="preserve">so </w:t>
      </w:r>
      <w:r w:rsidR="00012EE7" w:rsidRPr="00900D8E">
        <w:t>monitoring data is weaker at that level.</w:t>
      </w:r>
    </w:p>
    <w:p w14:paraId="592F87FC" w14:textId="08C51DAF" w:rsidR="00E7437A" w:rsidRPr="00900D8E" w:rsidRDefault="00E7437A" w:rsidP="00AA498E">
      <w:pPr>
        <w:pStyle w:val="ItadBullets"/>
      </w:pPr>
      <w:r>
        <w:t>Challenge in identifying the specific contribution of some grants (R</w:t>
      </w:r>
      <w:r w:rsidR="00FA29A2">
        <w:t>Gs</w:t>
      </w:r>
      <w:r w:rsidR="001D383C">
        <w:t>, Strategic Alignment Grants) to country-level outcomes (</w:t>
      </w:r>
      <w:r w:rsidR="001D383C" w:rsidRPr="00954090">
        <w:t>see</w:t>
      </w:r>
      <w:r w:rsidR="00337010">
        <w:t xml:space="preserve"> </w:t>
      </w:r>
      <w:r w:rsidR="009A7BD2">
        <w:fldChar w:fldCharType="begin"/>
      </w:r>
      <w:r w:rsidR="009A7BD2">
        <w:instrText xml:space="preserve"> REF _Ref144720944 \h </w:instrText>
      </w:r>
      <w:r w:rsidR="009A7BD2">
        <w:fldChar w:fldCharType="separate"/>
      </w:r>
      <w:r w:rsidR="009A7BD2">
        <w:t xml:space="preserve">Box </w:t>
      </w:r>
      <w:r w:rsidR="009A7BD2">
        <w:rPr>
          <w:noProof/>
        </w:rPr>
        <w:t>2</w:t>
      </w:r>
      <w:r w:rsidR="009A7BD2">
        <w:fldChar w:fldCharType="end"/>
      </w:r>
      <w:r>
        <w:fldChar w:fldCharType="begin"/>
      </w:r>
      <w:r>
        <w:instrText>REF _Ref144719633 \h</w:instrText>
      </w:r>
      <w:r w:rsidR="00B33BBD">
        <w:fldChar w:fldCharType="separate"/>
      </w:r>
      <w:r>
        <w:fldChar w:fldCharType="end"/>
      </w:r>
      <w:r>
        <w:fldChar w:fldCharType="begin"/>
      </w:r>
      <w:r>
        <w:instrText>REF _Ref129333486 \h</w:instrText>
      </w:r>
      <w:r w:rsidR="00B33BBD">
        <w:fldChar w:fldCharType="separate"/>
      </w:r>
      <w:r>
        <w:fldChar w:fldCharType="end"/>
      </w:r>
      <w:r w:rsidR="001D383C" w:rsidRPr="00954090">
        <w:t>).</w:t>
      </w:r>
    </w:p>
    <w:p w14:paraId="7365FBE4" w14:textId="5E4A372A" w:rsidR="00012EE7" w:rsidRPr="00900D8E" w:rsidRDefault="00220F32" w:rsidP="00AA498E">
      <w:pPr>
        <w:pStyle w:val="ItadBullets"/>
      </w:pPr>
      <w:r w:rsidRPr="00900D8E">
        <w:t xml:space="preserve">The evidence base </w:t>
      </w:r>
      <w:r w:rsidR="00A46C8A" w:rsidRPr="00900D8E">
        <w:t xml:space="preserve">is not </w:t>
      </w:r>
      <w:r w:rsidRPr="00900D8E">
        <w:t>complete in some areas</w:t>
      </w:r>
      <w:r w:rsidR="00AA498E">
        <w:t>,</w:t>
      </w:r>
      <w:r w:rsidRPr="00900D8E">
        <w:t xml:space="preserve"> </w:t>
      </w:r>
      <w:r w:rsidR="009553CB" w:rsidRPr="00900D8E">
        <w:t>e.g.</w:t>
      </w:r>
      <w:r w:rsidRPr="00900D8E">
        <w:t xml:space="preserve"> in terms of data on AM</w:t>
      </w:r>
      <w:r w:rsidR="00B07965" w:rsidRPr="00900D8E">
        <w:t xml:space="preserve">R testing, or on </w:t>
      </w:r>
      <w:r w:rsidR="00012EE7" w:rsidRPr="00900D8E">
        <w:t xml:space="preserve">Fleming Fund expenditure </w:t>
      </w:r>
      <w:r w:rsidR="00B07965" w:rsidRPr="00900D8E">
        <w:t>(</w:t>
      </w:r>
      <w:r w:rsidR="00012EE7" w:rsidRPr="00900D8E">
        <w:t xml:space="preserve">as part of </w:t>
      </w:r>
      <w:r w:rsidR="00A23D67">
        <w:t xml:space="preserve">the </w:t>
      </w:r>
      <w:r w:rsidR="00012EE7" w:rsidRPr="00900D8E">
        <w:t>VfM analysis</w:t>
      </w:r>
      <w:r w:rsidR="00B07965" w:rsidRPr="00900D8E">
        <w:t>)</w:t>
      </w:r>
      <w:r w:rsidR="00012EE7" w:rsidRPr="00900D8E">
        <w:t>.</w:t>
      </w:r>
    </w:p>
    <w:bookmarkEnd w:id="138"/>
    <w:p w14:paraId="2A7D5889" w14:textId="46A5934E" w:rsidR="00012EE7" w:rsidRDefault="00012EE7" w:rsidP="00AA498E">
      <w:pPr>
        <w:pStyle w:val="ItadBullets"/>
      </w:pPr>
      <w:r>
        <w:t>Limited information on plans for</w:t>
      </w:r>
      <w:r w:rsidR="00291D98">
        <w:t xml:space="preserve"> the</w:t>
      </w:r>
      <w:r>
        <w:t xml:space="preserve"> Fleming Fund </w:t>
      </w:r>
      <w:r w:rsidR="00AD1BE7">
        <w:t>phase 2</w:t>
      </w:r>
      <w:r>
        <w:t xml:space="preserve"> constraining </w:t>
      </w:r>
      <w:r w:rsidR="00A23D67">
        <w:t xml:space="preserve">the </w:t>
      </w:r>
      <w:r>
        <w:t xml:space="preserve">extent to which </w:t>
      </w:r>
      <w:r w:rsidR="00326F09">
        <w:t xml:space="preserve">our recommendations are </w:t>
      </w:r>
      <w:r>
        <w:t xml:space="preserve">focused on </w:t>
      </w:r>
      <w:r w:rsidR="00A23D67">
        <w:t>the</w:t>
      </w:r>
      <w:r>
        <w:t xml:space="preserve"> most </w:t>
      </w:r>
      <w:r w:rsidR="00A23D67">
        <w:t>relevant issue</w:t>
      </w:r>
      <w:r>
        <w:t>.</w:t>
      </w:r>
    </w:p>
    <w:p w14:paraId="0BDC19D0" w14:textId="01451DAE" w:rsidR="004A622E" w:rsidRPr="00CE4242" w:rsidRDefault="004A622E" w:rsidP="00AA498E">
      <w:pPr>
        <w:pStyle w:val="ItadBullets"/>
      </w:pPr>
      <w:r w:rsidRPr="00AA498E">
        <w:t xml:space="preserve">The Fleming Fund has evolved during phase 1, both in response to the changing context and to implementation experience </w:t>
      </w:r>
      <w:r w:rsidR="00CE4242" w:rsidRPr="00CE4242">
        <w:t xml:space="preserve">(as noted in sections </w:t>
      </w:r>
      <w:r w:rsidR="00CE4242" w:rsidRPr="00CE4242">
        <w:fldChar w:fldCharType="begin"/>
      </w:r>
      <w:r w:rsidR="00CE4242" w:rsidRPr="00CE4242">
        <w:instrText xml:space="preserve"> REF _Ref129164610 \r \h  \* MERGEFORMAT </w:instrText>
      </w:r>
      <w:r w:rsidR="00CE4242" w:rsidRPr="00CE4242">
        <w:fldChar w:fldCharType="separate"/>
      </w:r>
      <w:r w:rsidR="00CE4242" w:rsidRPr="00CE4242">
        <w:t>1.1</w:t>
      </w:r>
      <w:r w:rsidR="00CE4242" w:rsidRPr="00CE4242">
        <w:fldChar w:fldCharType="end"/>
      </w:r>
      <w:r w:rsidR="00CE4242" w:rsidRPr="00CE4242">
        <w:t xml:space="preserve"> and </w:t>
      </w:r>
      <w:r w:rsidR="00CE4242" w:rsidRPr="00CE4242">
        <w:fldChar w:fldCharType="begin"/>
      </w:r>
      <w:r w:rsidR="00CE4242" w:rsidRPr="00CE4242">
        <w:instrText xml:space="preserve"> REF _Ref129083432 \r \h  \* MERGEFORMAT </w:instrText>
      </w:r>
      <w:r w:rsidR="00CE4242" w:rsidRPr="00CE4242">
        <w:fldChar w:fldCharType="separate"/>
      </w:r>
      <w:r w:rsidR="00CE4242" w:rsidRPr="00CE4242">
        <w:t>2.2</w:t>
      </w:r>
      <w:r w:rsidR="00CE4242" w:rsidRPr="00CE4242">
        <w:fldChar w:fldCharType="end"/>
      </w:r>
      <w:r w:rsidR="00CE4242" w:rsidRPr="00CE4242">
        <w:t>)</w:t>
      </w:r>
      <w:r w:rsidRPr="00AA498E">
        <w:t xml:space="preserve">, which makes it challenging to undertake a summative evaluation. </w:t>
      </w:r>
      <w:r w:rsidR="0029078A" w:rsidRPr="00CE4242">
        <w:t>We also note that the evaluation data collection was also impacted by COVID-19 but not with a significant effect on the evidence generated.</w:t>
      </w:r>
    </w:p>
    <w:p w14:paraId="06198717" w14:textId="6DF1A32C" w:rsidR="00CE4242" w:rsidRPr="00CE4242" w:rsidRDefault="00CE4242" w:rsidP="00AA498E">
      <w:pPr>
        <w:pStyle w:val="ItadBullets"/>
      </w:pPr>
      <w:r w:rsidRPr="00AA498E">
        <w:t xml:space="preserve">EQs are focused on whether </w:t>
      </w:r>
      <w:r>
        <w:t xml:space="preserve">Fleming Fund </w:t>
      </w:r>
      <w:r w:rsidRPr="00AA498E">
        <w:t>outputs contribute to outcomes of interest to the DHSC in terms of the use of AMR surveillance data for policy, regulation, and behaviour change at the national and international level.</w:t>
      </w:r>
      <w:r w:rsidRPr="00CE4242">
        <w:t xml:space="preserve"> </w:t>
      </w:r>
      <w:r w:rsidRPr="00CE4242">
        <w:rPr>
          <w:rFonts w:eastAsia="Times New Roman"/>
        </w:rPr>
        <w:t xml:space="preserve">The bulk of this report addresses the EQs, which risks overlooking foundational work that has been delivered by the Fleming Fund grants programme. To mitigate this risk we take note of Fleming Fund outputs in </w:t>
      </w:r>
      <w:r w:rsidR="00C51ABB">
        <w:rPr>
          <w:rFonts w:eastAsia="Times New Roman"/>
        </w:rPr>
        <w:fldChar w:fldCharType="begin"/>
      </w:r>
      <w:r w:rsidR="00C51ABB">
        <w:rPr>
          <w:rFonts w:eastAsia="Times New Roman"/>
        </w:rPr>
        <w:instrText xml:space="preserve"> REF _Ref144054981 \h </w:instrText>
      </w:r>
      <w:r w:rsidR="00C51ABB">
        <w:rPr>
          <w:rFonts w:eastAsia="Times New Roman"/>
        </w:rPr>
      </w:r>
      <w:r w:rsidR="00C51ABB">
        <w:rPr>
          <w:rFonts w:eastAsia="Times New Roman"/>
        </w:rPr>
        <w:fldChar w:fldCharType="separate"/>
      </w:r>
      <w:r w:rsidR="00C51ABB">
        <w:t xml:space="preserve">Figure </w:t>
      </w:r>
      <w:r w:rsidR="00C51ABB">
        <w:rPr>
          <w:noProof/>
        </w:rPr>
        <w:t>11</w:t>
      </w:r>
      <w:r w:rsidR="00C51ABB">
        <w:rPr>
          <w:rFonts w:eastAsia="Times New Roman"/>
        </w:rPr>
        <w:fldChar w:fldCharType="end"/>
      </w:r>
      <w:r w:rsidRPr="00CE4242">
        <w:rPr>
          <w:rFonts w:eastAsia="Times New Roman"/>
        </w:rPr>
        <w:fldChar w:fldCharType="begin"/>
      </w:r>
      <w:r w:rsidRPr="00CE4242">
        <w:rPr>
          <w:rFonts w:eastAsia="Times New Roman"/>
        </w:rPr>
        <w:instrText xml:space="preserve"> REF _Ref122420931 \h  \* MERGEFORMAT </w:instrText>
      </w:r>
      <w:r w:rsidRPr="00CE4242">
        <w:rPr>
          <w:rFonts w:eastAsia="Times New Roman"/>
        </w:rPr>
      </w:r>
      <w:r w:rsidR="00B33BBD">
        <w:rPr>
          <w:rFonts w:eastAsia="Times New Roman"/>
        </w:rPr>
        <w:fldChar w:fldCharType="separate"/>
      </w:r>
      <w:r w:rsidRPr="00CE4242">
        <w:rPr>
          <w:rFonts w:eastAsia="Times New Roman"/>
        </w:rPr>
        <w:fldChar w:fldCharType="end"/>
      </w:r>
      <w:r w:rsidRPr="00CE4242">
        <w:rPr>
          <w:rFonts w:eastAsia="Times New Roman"/>
        </w:rPr>
        <w:t>, and draw on Fleming Fund key performance monitoring data in the following sections</w:t>
      </w:r>
    </w:p>
    <w:p w14:paraId="3F74481B" w14:textId="7B73175D" w:rsidR="00A56266" w:rsidRPr="00900D8E" w:rsidRDefault="004A22CA" w:rsidP="00AA498E">
      <w:pPr>
        <w:pStyle w:val="ItadNormalText"/>
      </w:pPr>
      <w:r>
        <w:t xml:space="preserve">A comprehensive </w:t>
      </w:r>
      <w:r w:rsidR="0001743C">
        <w:t xml:space="preserve">list of challenges and </w:t>
      </w:r>
      <w:r w:rsidR="00A56266">
        <w:t xml:space="preserve">risks, e.g. relating to bias in </w:t>
      </w:r>
      <w:r w:rsidR="00A23D67">
        <w:t xml:space="preserve">the </w:t>
      </w:r>
      <w:r w:rsidR="00A56266">
        <w:t xml:space="preserve">selection of KIs and other evidence sources, are </w:t>
      </w:r>
      <w:r w:rsidR="006D6CA0">
        <w:t xml:space="preserve">discussed in </w:t>
      </w:r>
      <w:r w:rsidR="006D6CA0" w:rsidRPr="0CB71AAA">
        <w:rPr>
          <w:rFonts w:eastAsia="MS Mincho" w:cs="Calibri"/>
        </w:rPr>
        <w:t xml:space="preserve">more </w:t>
      </w:r>
      <w:r w:rsidR="00A56266" w:rsidRPr="0CB71AAA">
        <w:rPr>
          <w:rFonts w:eastAsia="MS Mincho" w:cs="Calibri"/>
        </w:rPr>
        <w:t xml:space="preserve">detail in </w:t>
      </w:r>
      <w:r w:rsidR="00803F81" w:rsidRPr="0CB71AAA">
        <w:rPr>
          <w:rFonts w:eastAsia="MS Mincho" w:cs="Calibri"/>
        </w:rPr>
        <w:t>Vol. I</w:t>
      </w:r>
      <w:r w:rsidR="00844B4C" w:rsidRPr="0CB71AAA">
        <w:rPr>
          <w:rFonts w:eastAsia="MS Mincho" w:cs="Calibri"/>
        </w:rPr>
        <w:t xml:space="preserve">I, </w:t>
      </w:r>
      <w:r w:rsidR="00A56266" w:rsidRPr="0CB71AAA">
        <w:rPr>
          <w:rFonts w:eastAsia="MS Mincho" w:cs="Calibri"/>
        </w:rPr>
        <w:t>Annex 13</w:t>
      </w:r>
      <w:r w:rsidR="00844B4C" w:rsidRPr="0CB71AAA">
        <w:rPr>
          <w:rFonts w:eastAsia="MS Mincho" w:cs="Calibri"/>
        </w:rPr>
        <w:t>, with mitigating strategies.</w:t>
      </w:r>
      <w:r w:rsidR="0001743C">
        <w:rPr>
          <w:rFonts w:eastAsia="MS Mincho" w:cs="Calibri"/>
        </w:rPr>
        <w:t xml:space="preserve"> We note above those that are most salient in terms of limitations to the overall evaluation approach which the reader should </w:t>
      </w:r>
      <w:r w:rsidR="00C571AE">
        <w:rPr>
          <w:rFonts w:eastAsia="MS Mincho" w:cs="Calibri"/>
        </w:rPr>
        <w:t>bear in mind when reading this report.</w:t>
      </w:r>
    </w:p>
    <w:bookmarkStart w:id="149" w:name="_Hlk129164087"/>
    <w:bookmarkStart w:id="150" w:name="_Hlk136454359"/>
    <w:bookmarkEnd w:id="148"/>
    <w:p w14:paraId="7EDE4CB6" w14:textId="17A8719A" w:rsidR="00BC6A2A" w:rsidRDefault="00C01991" w:rsidP="001F4525">
      <w:pPr>
        <w:autoSpaceDE w:val="0"/>
        <w:autoSpaceDN w:val="0"/>
        <w:adjustRightInd w:val="0"/>
        <w:spacing w:after="120"/>
        <w:rPr>
          <w:rFonts w:eastAsia="Times New Roman" w:cstheme="minorHAnsi"/>
          <w:color w:val="3B3B3C"/>
          <w:lang w:eastAsia="en-GB"/>
        </w:rPr>
      </w:pPr>
      <w:r w:rsidRPr="0CB71AAA">
        <w:rPr>
          <w:rFonts w:eastAsia="Times New Roman" w:cstheme="minorBidi"/>
          <w:color w:val="3B3B3C"/>
          <w:lang w:eastAsia="en-GB"/>
        </w:rPr>
        <w:fldChar w:fldCharType="begin"/>
      </w:r>
      <w:r w:rsidRPr="0CB71AAA">
        <w:rPr>
          <w:rFonts w:eastAsia="Times New Roman" w:cstheme="minorBidi"/>
          <w:color w:val="3B3B3C"/>
          <w:lang w:eastAsia="en-GB"/>
        </w:rPr>
        <w:instrText xml:space="preserve"> REF _Ref128749358 \r \h </w:instrText>
      </w:r>
      <w:r w:rsidR="00BC6A2A" w:rsidRPr="0CB71AAA">
        <w:rPr>
          <w:rFonts w:eastAsia="Times New Roman" w:cstheme="minorBidi"/>
          <w:color w:val="3B3B3C"/>
          <w:lang w:eastAsia="en-GB"/>
        </w:rPr>
        <w:instrText xml:space="preserve"> \* MERGEFORMAT </w:instrText>
      </w:r>
      <w:r w:rsidRPr="0CB71AAA">
        <w:rPr>
          <w:rFonts w:eastAsia="Times New Roman" w:cstheme="minorBidi"/>
          <w:color w:val="3B3B3C"/>
          <w:lang w:eastAsia="en-GB"/>
        </w:rPr>
      </w:r>
      <w:r w:rsidR="00B33BBD">
        <w:rPr>
          <w:rFonts w:eastAsia="Times New Roman" w:cstheme="minorBidi"/>
          <w:color w:val="3B3B3C"/>
          <w:lang w:eastAsia="en-GB"/>
        </w:rPr>
        <w:fldChar w:fldCharType="separate"/>
      </w:r>
      <w:r w:rsidRPr="0CB71AAA">
        <w:rPr>
          <w:rFonts w:eastAsia="Times New Roman" w:cstheme="minorBidi"/>
          <w:color w:val="3B3B3C"/>
          <w:lang w:eastAsia="en-GB"/>
        </w:rPr>
        <w:fldChar w:fldCharType="end"/>
      </w:r>
      <w:bookmarkStart w:id="151" w:name="_Hlk129164937"/>
      <w:bookmarkEnd w:id="149"/>
      <w:bookmarkEnd w:id="150"/>
      <w:r w:rsidR="00AC6A3B" w:rsidRPr="0CB71AAA">
        <w:rPr>
          <w:rFonts w:eastAsia="Times New Roman" w:cstheme="minorBidi"/>
          <w:color w:val="3B3B3C"/>
          <w:lang w:eastAsia="en-GB"/>
        </w:rPr>
        <w:fldChar w:fldCharType="begin"/>
      </w:r>
      <w:r w:rsidR="00AC6A3B" w:rsidRPr="0CB71AAA">
        <w:rPr>
          <w:rFonts w:eastAsia="Times New Roman" w:cstheme="minorBidi"/>
          <w:color w:val="3B3B3C"/>
          <w:lang w:eastAsia="en-GB"/>
        </w:rPr>
        <w:instrText xml:space="preserve"> REF _Ref118234381 \r \h </w:instrText>
      </w:r>
      <w:r w:rsidR="00BC6A2A" w:rsidRPr="0CB71AAA">
        <w:rPr>
          <w:rFonts w:eastAsia="Times New Roman" w:cstheme="minorBidi"/>
          <w:color w:val="3B3B3C"/>
          <w:lang w:eastAsia="en-GB"/>
        </w:rPr>
        <w:instrText xml:space="preserve"> \* MERGEFORMAT </w:instrText>
      </w:r>
      <w:r w:rsidR="00AC6A3B" w:rsidRPr="0CB71AAA">
        <w:rPr>
          <w:rFonts w:eastAsia="Times New Roman" w:cstheme="minorBidi"/>
          <w:color w:val="3B3B3C"/>
          <w:lang w:eastAsia="en-GB"/>
        </w:rPr>
      </w:r>
      <w:r w:rsidR="00B33BBD">
        <w:rPr>
          <w:rFonts w:eastAsia="Times New Roman" w:cstheme="minorBidi"/>
          <w:color w:val="3B3B3C"/>
          <w:lang w:eastAsia="en-GB"/>
        </w:rPr>
        <w:fldChar w:fldCharType="separate"/>
      </w:r>
      <w:r w:rsidR="00AC6A3B" w:rsidRPr="0CB71AAA">
        <w:rPr>
          <w:rFonts w:eastAsia="Times New Roman" w:cstheme="minorBidi"/>
          <w:color w:val="3B3B3C"/>
          <w:lang w:eastAsia="en-GB"/>
        </w:rPr>
        <w:fldChar w:fldCharType="end"/>
      </w:r>
      <w:r w:rsidR="00697231" w:rsidRPr="0CB71AAA">
        <w:rPr>
          <w:rFonts w:eastAsia="Times New Roman" w:cstheme="minorBidi"/>
          <w:color w:val="3B3B3C"/>
          <w:lang w:eastAsia="en-GB"/>
        </w:rPr>
        <w:fldChar w:fldCharType="begin"/>
      </w:r>
      <w:r w:rsidR="00697231" w:rsidRPr="0CB71AAA">
        <w:rPr>
          <w:rFonts w:eastAsia="Times New Roman" w:cstheme="minorBidi"/>
          <w:color w:val="3B3B3C"/>
          <w:lang w:eastAsia="en-GB"/>
        </w:rPr>
        <w:instrText xml:space="preserve"> REF _Ref129164610 \r \h </w:instrText>
      </w:r>
      <w:r w:rsidR="00BC6A2A" w:rsidRPr="0CB71AAA">
        <w:rPr>
          <w:rFonts w:eastAsia="Times New Roman" w:cstheme="minorBidi"/>
          <w:color w:val="3B3B3C"/>
          <w:lang w:eastAsia="en-GB"/>
        </w:rPr>
        <w:instrText xml:space="preserve"> \* MERGEFORMAT </w:instrText>
      </w:r>
      <w:r w:rsidR="00697231" w:rsidRPr="0CB71AAA">
        <w:rPr>
          <w:rFonts w:eastAsia="Times New Roman" w:cstheme="minorBidi"/>
          <w:color w:val="3B3B3C"/>
          <w:lang w:eastAsia="en-GB"/>
        </w:rPr>
      </w:r>
      <w:r w:rsidR="00B33BBD">
        <w:rPr>
          <w:rFonts w:eastAsia="Times New Roman" w:cstheme="minorBidi"/>
          <w:color w:val="3B3B3C"/>
          <w:lang w:eastAsia="en-GB"/>
        </w:rPr>
        <w:fldChar w:fldCharType="separate"/>
      </w:r>
      <w:r w:rsidR="00697231" w:rsidRPr="0CB71AAA">
        <w:rPr>
          <w:rFonts w:eastAsia="Times New Roman" w:cstheme="minorBidi"/>
          <w:color w:val="3B3B3C"/>
          <w:lang w:eastAsia="en-GB"/>
        </w:rPr>
        <w:fldChar w:fldCharType="end"/>
      </w:r>
      <w:r w:rsidR="00697231" w:rsidRPr="0CB71AAA">
        <w:rPr>
          <w:rFonts w:eastAsia="Times New Roman" w:cstheme="minorBidi"/>
          <w:color w:val="3B3B3C"/>
          <w:lang w:eastAsia="en-GB"/>
        </w:rPr>
        <w:fldChar w:fldCharType="begin"/>
      </w:r>
      <w:r w:rsidR="00697231" w:rsidRPr="0CB71AAA">
        <w:rPr>
          <w:rFonts w:eastAsia="Times New Roman" w:cstheme="minorBidi"/>
          <w:color w:val="3B3B3C"/>
          <w:lang w:eastAsia="en-GB"/>
        </w:rPr>
        <w:instrText xml:space="preserve"> REF _Ref129083432 \r \h </w:instrText>
      </w:r>
      <w:r w:rsidR="00BC6A2A" w:rsidRPr="0CB71AAA">
        <w:rPr>
          <w:rFonts w:eastAsia="Times New Roman" w:cstheme="minorBidi"/>
          <w:color w:val="3B3B3C"/>
          <w:lang w:eastAsia="en-GB"/>
        </w:rPr>
        <w:instrText xml:space="preserve"> \* MERGEFORMAT </w:instrText>
      </w:r>
      <w:r w:rsidR="00697231" w:rsidRPr="0CB71AAA">
        <w:rPr>
          <w:rFonts w:eastAsia="Times New Roman" w:cstheme="minorBidi"/>
          <w:color w:val="3B3B3C"/>
          <w:lang w:eastAsia="en-GB"/>
        </w:rPr>
      </w:r>
      <w:r w:rsidR="00B33BBD">
        <w:rPr>
          <w:rFonts w:eastAsia="Times New Roman" w:cstheme="minorBidi"/>
          <w:color w:val="3B3B3C"/>
          <w:lang w:eastAsia="en-GB"/>
        </w:rPr>
        <w:fldChar w:fldCharType="separate"/>
      </w:r>
      <w:r w:rsidR="00697231" w:rsidRPr="0CB71AAA">
        <w:rPr>
          <w:rFonts w:eastAsia="Times New Roman" w:cstheme="minorBidi"/>
          <w:color w:val="3B3B3C"/>
          <w:lang w:eastAsia="en-GB"/>
        </w:rPr>
        <w:fldChar w:fldCharType="end"/>
      </w:r>
      <w:r w:rsidR="00012EE7" w:rsidRPr="0CB71AAA">
        <w:rPr>
          <w:rFonts w:eastAsia="Times New Roman" w:cstheme="minorBidi"/>
          <w:color w:val="3B3B3C"/>
          <w:lang w:eastAsia="en-GB"/>
        </w:rPr>
        <w:fldChar w:fldCharType="begin"/>
      </w:r>
      <w:r w:rsidR="00012EE7" w:rsidRPr="0CB71AAA">
        <w:rPr>
          <w:rFonts w:eastAsia="Times New Roman" w:cstheme="minorBidi"/>
          <w:color w:val="3B3B3C"/>
          <w:lang w:eastAsia="en-GB"/>
        </w:rPr>
        <w:instrText xml:space="preserve"> REF _Ref118207093 \h  \* MERGEFORMAT </w:instrText>
      </w:r>
      <w:r w:rsidR="00012EE7" w:rsidRPr="0CB71AAA">
        <w:rPr>
          <w:rFonts w:eastAsia="Times New Roman" w:cstheme="minorBidi"/>
          <w:color w:val="3B3B3C"/>
          <w:lang w:eastAsia="en-GB"/>
        </w:rPr>
      </w:r>
      <w:r w:rsidR="00B33BBD">
        <w:rPr>
          <w:rFonts w:eastAsia="Times New Roman" w:cstheme="minorBidi"/>
          <w:color w:val="3B3B3C"/>
          <w:lang w:eastAsia="en-GB"/>
        </w:rPr>
        <w:fldChar w:fldCharType="separate"/>
      </w:r>
      <w:r w:rsidR="00012EE7" w:rsidRPr="0CB71AAA">
        <w:rPr>
          <w:rFonts w:eastAsia="Times New Roman" w:cstheme="minorBidi"/>
          <w:color w:val="3B3B3C"/>
          <w:lang w:eastAsia="en-GB"/>
        </w:rPr>
        <w:fldChar w:fldCharType="end"/>
      </w:r>
      <w:r w:rsidR="00721F96" w:rsidRPr="0CB71AAA">
        <w:rPr>
          <w:rFonts w:eastAsia="Times New Roman" w:cstheme="minorBidi"/>
          <w:color w:val="3B3B3C"/>
          <w:lang w:eastAsia="en-GB"/>
        </w:rPr>
        <w:fldChar w:fldCharType="begin"/>
      </w:r>
      <w:r w:rsidR="00721F96" w:rsidRPr="0CB71AAA">
        <w:rPr>
          <w:rFonts w:eastAsia="Times New Roman" w:cstheme="minorBidi"/>
          <w:color w:val="3B3B3C"/>
          <w:lang w:eastAsia="en-GB"/>
        </w:rPr>
        <w:instrText xml:space="preserve"> REF _Ref122420931 \h  \* MERGEFORMAT </w:instrText>
      </w:r>
      <w:r w:rsidR="00721F96" w:rsidRPr="0CB71AAA">
        <w:rPr>
          <w:rFonts w:eastAsia="Times New Roman" w:cstheme="minorBidi"/>
          <w:color w:val="3B3B3C"/>
          <w:lang w:eastAsia="en-GB"/>
        </w:rPr>
      </w:r>
      <w:r w:rsidR="00B33BBD">
        <w:rPr>
          <w:rFonts w:eastAsia="Times New Roman" w:cstheme="minorBidi"/>
          <w:color w:val="3B3B3C"/>
          <w:lang w:eastAsia="en-GB"/>
        </w:rPr>
        <w:fldChar w:fldCharType="separate"/>
      </w:r>
      <w:r w:rsidR="00721F96" w:rsidRPr="0CB71AAA">
        <w:rPr>
          <w:rFonts w:eastAsia="Times New Roman" w:cstheme="minorBidi"/>
          <w:color w:val="3B3B3C"/>
          <w:lang w:eastAsia="en-GB"/>
        </w:rPr>
        <w:fldChar w:fldCharType="end"/>
      </w:r>
      <w:r w:rsidR="00BC6A2A">
        <w:rPr>
          <w:rFonts w:eastAsia="Times New Roman" w:cstheme="minorHAnsi"/>
          <w:color w:val="3B3B3C"/>
          <w:lang w:eastAsia="en-GB"/>
        </w:rPr>
        <w:br w:type="page"/>
      </w:r>
    </w:p>
    <w:bookmarkEnd w:id="151"/>
    <w:p w14:paraId="4AE79E8A" w14:textId="77777777" w:rsidR="006D04A2" w:rsidRDefault="007D5702" w:rsidP="006D04A2">
      <w:pPr>
        <w:pStyle w:val="ItadNormalText"/>
        <w:keepNext/>
        <w:jc w:val="center"/>
      </w:pPr>
      <w:r>
        <w:rPr>
          <w:noProof/>
        </w:rPr>
        <w:drawing>
          <wp:inline distT="0" distB="0" distL="0" distR="0" wp14:anchorId="54DA0896" wp14:editId="61193805">
            <wp:extent cx="6043928" cy="4194810"/>
            <wp:effectExtent l="0" t="0" r="0" b="0"/>
            <wp:docPr id="62761678" name="Picture 6276167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61678"/>
                    <pic:cNvPicPr/>
                  </pic:nvPicPr>
                  <pic:blipFill>
                    <a:blip r:embed="rId33">
                      <a:extLst>
                        <a:ext uri="{28A0092B-C50C-407E-A947-70E740481C1C}">
                          <a14:useLocalDpi xmlns:a14="http://schemas.microsoft.com/office/drawing/2010/main" val="0"/>
                        </a:ext>
                      </a:extLst>
                    </a:blip>
                    <a:stretch>
                      <a:fillRect/>
                    </a:stretch>
                  </pic:blipFill>
                  <pic:spPr>
                    <a:xfrm>
                      <a:off x="0" y="0"/>
                      <a:ext cx="6043928" cy="4194810"/>
                    </a:xfrm>
                    <a:prstGeom prst="rect">
                      <a:avLst/>
                    </a:prstGeom>
                  </pic:spPr>
                </pic:pic>
              </a:graphicData>
            </a:graphic>
          </wp:inline>
        </w:drawing>
      </w:r>
      <w:r>
        <w:rPr>
          <w:noProof/>
        </w:rPr>
        <w:drawing>
          <wp:inline distT="0" distB="0" distL="0" distR="0" wp14:anchorId="346FAAA3" wp14:editId="76988110">
            <wp:extent cx="6070601" cy="4239568"/>
            <wp:effectExtent l="0" t="0" r="6350" b="889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4">
                      <a:extLst>
                        <a:ext uri="{28A0092B-C50C-407E-A947-70E740481C1C}">
                          <a14:useLocalDpi xmlns:a14="http://schemas.microsoft.com/office/drawing/2010/main" val="0"/>
                        </a:ext>
                      </a:extLst>
                    </a:blip>
                    <a:stretch>
                      <a:fillRect/>
                    </a:stretch>
                  </pic:blipFill>
                  <pic:spPr>
                    <a:xfrm>
                      <a:off x="0" y="0"/>
                      <a:ext cx="6070601" cy="4239568"/>
                    </a:xfrm>
                    <a:prstGeom prst="rect">
                      <a:avLst/>
                    </a:prstGeom>
                  </pic:spPr>
                </pic:pic>
              </a:graphicData>
            </a:graphic>
          </wp:inline>
        </w:drawing>
      </w:r>
    </w:p>
    <w:p w14:paraId="4577C9BF" w14:textId="7A2AFE46" w:rsidR="00012EE7" w:rsidRPr="006D04A2" w:rsidRDefault="006D04A2" w:rsidP="00FF6C94">
      <w:pPr>
        <w:pStyle w:val="ItadFigureCap"/>
      </w:pPr>
      <w:bookmarkStart w:id="152" w:name="_Ref144054981"/>
      <w:bookmarkStart w:id="153" w:name="_Toc144717853"/>
      <w:r>
        <w:t xml:space="preserve">Figure </w:t>
      </w:r>
      <w:r>
        <w:fldChar w:fldCharType="begin"/>
      </w:r>
      <w:r>
        <w:instrText>SEQ Figure \* ARABIC</w:instrText>
      </w:r>
      <w:r>
        <w:fldChar w:fldCharType="separate"/>
      </w:r>
      <w:r w:rsidR="00B17EAE">
        <w:rPr>
          <w:noProof/>
        </w:rPr>
        <w:t>11</w:t>
      </w:r>
      <w:r>
        <w:fldChar w:fldCharType="end"/>
      </w:r>
      <w:bookmarkEnd w:id="152"/>
      <w:r>
        <w:t xml:space="preserve">: </w:t>
      </w:r>
      <w:r w:rsidRPr="00906DA6">
        <w:t>What the Fleming Fund has delivered in phase 1</w:t>
      </w:r>
      <w:bookmarkEnd w:id="153"/>
    </w:p>
    <w:p w14:paraId="58939FF0" w14:textId="77777777" w:rsidR="007D5702" w:rsidRPr="007D5702" w:rsidRDefault="007D5702" w:rsidP="00504E64">
      <w:pPr>
        <w:pStyle w:val="ItadNormalText"/>
        <w:rPr>
          <w:lang w:eastAsia="en-GB"/>
        </w:rPr>
      </w:pPr>
    </w:p>
    <w:p w14:paraId="2242EDAF" w14:textId="28CFEDA5" w:rsidR="00012EE7" w:rsidRPr="008A5F96" w:rsidRDefault="00012EE7" w:rsidP="0001101B">
      <w:pPr>
        <w:pStyle w:val="ItadH1Numbered"/>
        <w:rPr>
          <w:rStyle w:val="ItadH1Char"/>
          <w:b/>
          <w:bCs/>
        </w:rPr>
      </w:pPr>
      <w:bookmarkStart w:id="154" w:name="_Ref118234381"/>
      <w:bookmarkStart w:id="155" w:name="_Toc118796340"/>
      <w:bookmarkStart w:id="156" w:name="_Toc144715808"/>
      <w:r w:rsidRPr="0001101B">
        <w:t>Findings</w:t>
      </w:r>
      <w:bookmarkEnd w:id="154"/>
      <w:bookmarkEnd w:id="155"/>
      <w:bookmarkEnd w:id="156"/>
    </w:p>
    <w:p w14:paraId="223AAF76" w14:textId="77777777" w:rsidR="00FF2998" w:rsidRPr="008343D7" w:rsidRDefault="00FF2998" w:rsidP="008A5F96">
      <w:pPr>
        <w:pStyle w:val="ItadH2Numbered"/>
        <w:rPr>
          <w:lang w:eastAsia="en-GB"/>
        </w:rPr>
      </w:pPr>
      <w:bookmarkStart w:id="157" w:name="_Ref129083393"/>
      <w:bookmarkStart w:id="158" w:name="_Toc144715809"/>
      <w:r w:rsidRPr="008343D7">
        <w:rPr>
          <w:lang w:eastAsia="en-GB"/>
        </w:rPr>
        <w:t>Strengthening systems to produce quality data on AMR</w:t>
      </w:r>
      <w:bookmarkEnd w:id="157"/>
      <w:bookmarkEnd w:id="158"/>
    </w:p>
    <w:p w14:paraId="4069FC89" w14:textId="2C105514" w:rsidR="00FF2998" w:rsidRDefault="00FF2998" w:rsidP="00096AA5">
      <w:pPr>
        <w:pStyle w:val="ItadNormalText"/>
      </w:pPr>
      <w:bookmarkStart w:id="159" w:name="_Hlk136458041"/>
      <w:bookmarkStart w:id="160" w:name="_Hlk129166308"/>
      <w:r w:rsidRPr="008343D7">
        <w:t xml:space="preserve">In this section we examine the extent to which there have been changes in </w:t>
      </w:r>
      <w:r w:rsidR="00281C9B">
        <w:t xml:space="preserve">the </w:t>
      </w:r>
      <w:r w:rsidRPr="008343D7">
        <w:t>quantity and quality of AMR data.</w:t>
      </w:r>
      <w:r w:rsidRPr="008343D7" w:rsidDel="007D2E99">
        <w:t xml:space="preserve"> </w:t>
      </w:r>
      <w:r w:rsidRPr="008343D7">
        <w:t>We then look at the drivers of observed changes and the Fleming Fund</w:t>
      </w:r>
      <w:r w:rsidR="00AA6A7B">
        <w:t>’</w:t>
      </w:r>
      <w:r w:rsidRPr="008343D7">
        <w:t>s contribution to these drivers. Our focus is on AMR data, reflecting the emphasis of the Fleming Fund on this type of data</w:t>
      </w:r>
      <w:r w:rsidR="00281C9B">
        <w:t>.</w:t>
      </w:r>
      <w:r w:rsidR="00281C9B" w:rsidRPr="008343D7">
        <w:t xml:space="preserve"> Howeve</w:t>
      </w:r>
      <w:r w:rsidRPr="008343D7">
        <w:t xml:space="preserve">r, we also consider other </w:t>
      </w:r>
      <w:r w:rsidR="00281C9B">
        <w:t xml:space="preserve">data </w:t>
      </w:r>
      <w:r w:rsidRPr="008343D7">
        <w:t>types where appropriate and feasible.</w:t>
      </w:r>
      <w:r w:rsidRPr="008343D7" w:rsidDel="007D2E99">
        <w:t xml:space="preserve"> </w:t>
      </w:r>
      <w:r w:rsidRPr="008343D7">
        <w:t>For quantity, we primarily look at data on the number of samples (see for an explanation of the types of data that can be produced through AMR surveillance systems), rating performance on changes compared to baseline (2018)</w:t>
      </w:r>
      <w:r w:rsidR="00281C9B">
        <w:t>,</w:t>
      </w:r>
      <w:r w:rsidRPr="008343D7">
        <w:t xml:space="preserve"> and consider both changes in volume and in proportion. </w:t>
      </w:r>
      <w:bookmarkStart w:id="161" w:name="_Hlk136458175"/>
      <w:bookmarkEnd w:id="159"/>
      <w:r>
        <w:t>Our information</w:t>
      </w:r>
      <w:r w:rsidRPr="008343D7">
        <w:t xml:space="preserve"> is primarily drawn from national-level secondary sources</w:t>
      </w:r>
      <w:r w:rsidR="0008600C">
        <w:t xml:space="preserve"> as described in </w:t>
      </w:r>
      <w:r w:rsidR="0008600C">
        <w:fldChar w:fldCharType="begin"/>
      </w:r>
      <w:r w:rsidR="0008600C">
        <w:instrText xml:space="preserve"> REF _Ref144719903 \h </w:instrText>
      </w:r>
      <w:r w:rsidR="0008600C">
        <w:fldChar w:fldCharType="separate"/>
      </w:r>
      <w:r w:rsidR="0008600C">
        <w:t xml:space="preserve">Box </w:t>
      </w:r>
      <w:r w:rsidR="0008600C">
        <w:rPr>
          <w:noProof/>
        </w:rPr>
        <w:t>1</w:t>
      </w:r>
      <w:r w:rsidR="0008600C">
        <w:fldChar w:fldCharType="end"/>
      </w:r>
      <w:r w:rsidRPr="008343D7">
        <w:t xml:space="preserve"> (e.g. </w:t>
      </w:r>
      <w:r w:rsidR="004C3E04">
        <w:t xml:space="preserve">obtained through </w:t>
      </w:r>
      <w:r w:rsidRPr="008343D7">
        <w:t>interactions with staff in national reference laboratories (NRLs) because databases did not necessarily exist in all countries), and as such is intended to reflect the performance of the entire surveillance system not just performance in Fleming Fund</w:t>
      </w:r>
      <w:r w:rsidR="00D50F4C">
        <w:t>-</w:t>
      </w:r>
      <w:r w:rsidRPr="008343D7">
        <w:t>supported sites (see Vol. II, Annex 8</w:t>
      </w:r>
      <w:r w:rsidR="00FF4175">
        <w:t>.1</w:t>
      </w:r>
      <w:r w:rsidRPr="008343D7">
        <w:t xml:space="preserve"> for more details and supporting data). For quality, we derive a </w:t>
      </w:r>
      <w:r w:rsidR="00AA6A7B">
        <w:t>‘</w:t>
      </w:r>
      <w:r w:rsidRPr="008343D7">
        <w:t>quality score</w:t>
      </w:r>
      <w:r w:rsidR="00AA6A7B">
        <w:t>’</w:t>
      </w:r>
      <w:r w:rsidRPr="008343D7">
        <w:t xml:space="preserve"> for each laboratory which is based on the relevant components of the LSHTM roadmap</w:t>
      </w:r>
      <w:r w:rsidR="00AF4A35">
        <w:rPr>
          <w:rStyle w:val="FootnoteReference"/>
          <w:rFonts w:eastAsia="Calibri"/>
        </w:rPr>
        <w:footnoteReference w:id="63"/>
      </w:r>
      <w:r w:rsidRPr="008343D7">
        <w:t xml:space="preserve"> and assessed using self-reported data from the MA</w:t>
      </w:r>
      <w:r w:rsidR="00AA6A7B">
        <w:t>’</w:t>
      </w:r>
      <w:r w:rsidR="00281C9B">
        <w:t>s</w:t>
      </w:r>
      <w:r w:rsidRPr="008343D7">
        <w:t xml:space="preserve"> quarterly reports (see Vol. II, Annex 8</w:t>
      </w:r>
      <w:r w:rsidR="00FF4175">
        <w:t>.2</w:t>
      </w:r>
      <w:r w:rsidRPr="008343D7">
        <w:t xml:space="preserve"> for more details and supporting data).</w:t>
      </w: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9E3D6"/>
        <w:tblLook w:val="04A0" w:firstRow="1" w:lastRow="0" w:firstColumn="1" w:lastColumn="0" w:noHBand="0" w:noVBand="1"/>
      </w:tblPr>
      <w:tblGrid>
        <w:gridCol w:w="9493"/>
      </w:tblGrid>
      <w:tr w:rsidR="004B6A4B" w:rsidRPr="004B6A4B" w14:paraId="2A40BABC" w14:textId="77777777" w:rsidTr="00FA1190">
        <w:tc>
          <w:tcPr>
            <w:tcW w:w="9493" w:type="dxa"/>
            <w:shd w:val="clear" w:color="auto" w:fill="F9E3D6"/>
          </w:tcPr>
          <w:p w14:paraId="2BE5CEF1" w14:textId="400984B5" w:rsidR="0043093E" w:rsidRPr="008A5F96" w:rsidRDefault="0043093E" w:rsidP="0067020B">
            <w:pPr>
              <w:pStyle w:val="ItadNormalTextBold"/>
              <w:rPr>
                <w:lang w:eastAsia="en-GB"/>
              </w:rPr>
            </w:pPr>
            <w:bookmarkStart w:id="162" w:name="_Toc144049350"/>
            <w:bookmarkStart w:id="163" w:name="_Hlk129166649"/>
            <w:bookmarkEnd w:id="160"/>
            <w:bookmarkEnd w:id="161"/>
            <w:r w:rsidRPr="008A5F96">
              <w:rPr>
                <w:lang w:eastAsia="en-GB"/>
              </w:rPr>
              <w:t>Key findings</w:t>
            </w:r>
            <w:bookmarkEnd w:id="162"/>
          </w:p>
        </w:tc>
      </w:tr>
      <w:tr w:rsidR="004B6A4B" w:rsidRPr="004B6A4B" w14:paraId="24B076E2" w14:textId="77777777" w:rsidTr="00FA1190">
        <w:tc>
          <w:tcPr>
            <w:tcW w:w="9493" w:type="dxa"/>
            <w:shd w:val="clear" w:color="auto" w:fill="F9E3D6"/>
          </w:tcPr>
          <w:p w14:paraId="308D64BE" w14:textId="47C40895" w:rsidR="009550A9" w:rsidRPr="00096AA5" w:rsidRDefault="0067020B" w:rsidP="0067020B">
            <w:pPr>
              <w:pStyle w:val="FFBoxText"/>
              <w:rPr>
                <w:rFonts w:eastAsia="Calibri"/>
              </w:rPr>
            </w:pPr>
            <w:bookmarkStart w:id="164" w:name="_Toc144049351"/>
            <w:bookmarkStart w:id="165" w:name="_Hlk136458376"/>
            <w:r w:rsidRPr="0067020B">
              <w:rPr>
                <w:rFonts w:eastAsia="Calibri"/>
                <w:color w:val="3FB84E"/>
              </w:rPr>
              <w:t>2.1.1</w:t>
            </w:r>
            <w:r>
              <w:rPr>
                <w:rFonts w:eastAsia="Calibri"/>
              </w:rPr>
              <w:tab/>
            </w:r>
            <w:r w:rsidR="009550A9" w:rsidRPr="00096AA5">
              <w:rPr>
                <w:rFonts w:eastAsia="Calibri"/>
              </w:rPr>
              <w:t>AMR was a known problem in 2018. NAPs were in place in most countries but were not being prioritised and implemented. There were varying degrees of commitment to the agenda across Fleming Fund countries on which to build.</w:t>
            </w:r>
            <w:bookmarkEnd w:id="164"/>
          </w:p>
          <w:p w14:paraId="10E16846" w14:textId="4566B45D" w:rsidR="00D21556" w:rsidRPr="002B3DDC" w:rsidRDefault="0067020B" w:rsidP="0067020B">
            <w:pPr>
              <w:pStyle w:val="FFBoxText"/>
              <w:rPr>
                <w:rFonts w:eastAsia="Calibri" w:cs="Times New Roman"/>
                <w:color w:val="3B3B3C" w:themeColor="text1"/>
              </w:rPr>
            </w:pPr>
            <w:bookmarkStart w:id="166" w:name="_Toc144049352"/>
            <w:r w:rsidRPr="0067020B">
              <w:rPr>
                <w:rFonts w:eastAsia="Calibri" w:cs="Times New Roman"/>
                <w:color w:val="3FB84E"/>
              </w:rPr>
              <w:t>2.1.2</w:t>
            </w:r>
            <w:r>
              <w:rPr>
                <w:rFonts w:eastAsia="Calibri" w:cs="Times New Roman"/>
                <w:color w:val="3B3B3C" w:themeColor="text1"/>
              </w:rPr>
              <w:tab/>
            </w:r>
            <w:r w:rsidR="009550A9" w:rsidRPr="00096AA5">
              <w:rPr>
                <w:rFonts w:eastAsia="Calibri" w:cs="Times New Roman"/>
                <w:color w:val="3B3B3C" w:themeColor="text1"/>
              </w:rPr>
              <w:t>Just over half of the 16 countries had a formal HH surveillance system in place, but less than half had a formal AH surveillance system in place. On the other hand, HH AMR data existed in all countries but not necessarily due to the presence of a formal surveillance system</w:t>
            </w:r>
            <w:bookmarkEnd w:id="166"/>
          </w:p>
          <w:p w14:paraId="23FCC72F" w14:textId="37BA1C8B" w:rsidR="00D21556" w:rsidRDefault="0067020B" w:rsidP="0067020B">
            <w:pPr>
              <w:pStyle w:val="FFBoxText"/>
              <w:rPr>
                <w:rFonts w:eastAsia="Calibri" w:cs="Times New Roman"/>
                <w:color w:val="3B3B3C" w:themeColor="text1"/>
              </w:rPr>
            </w:pPr>
            <w:bookmarkStart w:id="167" w:name="_Toc144049353"/>
            <w:r w:rsidRPr="0067020B">
              <w:rPr>
                <w:rFonts w:eastAsia="Calibri" w:cs="Times New Roman"/>
                <w:color w:val="3FB84E"/>
              </w:rPr>
              <w:t>2.1.3</w:t>
            </w:r>
            <w:r>
              <w:rPr>
                <w:rFonts w:eastAsia="Calibri" w:cs="Times New Roman"/>
                <w:color w:val="3B3B3C" w:themeColor="text1"/>
              </w:rPr>
              <w:tab/>
            </w:r>
            <w:r w:rsidR="00D21556" w:rsidRPr="00FC0A1D">
              <w:rPr>
                <w:rFonts w:eastAsia="Calibri" w:cs="Times New Roman"/>
                <w:color w:val="3B3B3C" w:themeColor="text1"/>
              </w:rPr>
              <w:t>Few laboratories, subsequently supported by the Fleming</w:t>
            </w:r>
            <w:r w:rsidR="00D21556" w:rsidRPr="00FC0A1D" w:rsidDel="00874568">
              <w:rPr>
                <w:rFonts w:eastAsia="Calibri" w:cs="Times New Roman"/>
                <w:color w:val="3B3B3C" w:themeColor="text1"/>
              </w:rPr>
              <w:t xml:space="preserve"> </w:t>
            </w:r>
            <w:r w:rsidR="00D21556" w:rsidRPr="00FC0A1D">
              <w:rPr>
                <w:rFonts w:eastAsia="Calibri" w:cs="Times New Roman"/>
                <w:color w:val="3B3B3C" w:themeColor="text1"/>
              </w:rPr>
              <w:t>Fund, had the processes in place needed to generate high-quality AMR data. There is no evidence suggesting that other government supported laboratories were better situated.</w:t>
            </w:r>
            <w:bookmarkEnd w:id="167"/>
          </w:p>
          <w:p w14:paraId="14B4E0F7" w14:textId="701E555A" w:rsidR="00D21556" w:rsidRDefault="0067020B" w:rsidP="0067020B">
            <w:pPr>
              <w:pStyle w:val="FFBoxText"/>
              <w:rPr>
                <w:rFonts w:eastAsia="Calibri" w:cs="Times New Roman"/>
                <w:color w:val="3B3B3C" w:themeColor="text1"/>
              </w:rPr>
            </w:pPr>
            <w:bookmarkStart w:id="168" w:name="_Toc144049354"/>
            <w:r w:rsidRPr="0067020B">
              <w:rPr>
                <w:rFonts w:eastAsia="Calibri" w:cs="Times New Roman"/>
                <w:color w:val="3FB84E"/>
              </w:rPr>
              <w:t>2.1.4</w:t>
            </w:r>
            <w:r>
              <w:rPr>
                <w:rFonts w:eastAsia="Calibri" w:cs="Times New Roman"/>
                <w:color w:val="3B3B3C" w:themeColor="text1"/>
              </w:rPr>
              <w:tab/>
            </w:r>
            <w:r w:rsidR="00D21556" w:rsidRPr="00576624">
              <w:rPr>
                <w:rFonts w:eastAsia="Calibri" w:cs="Times New Roman"/>
                <w:color w:val="3B3B3C" w:themeColor="text1"/>
              </w:rPr>
              <w:t>The MA</w:t>
            </w:r>
            <w:r w:rsidR="00AA6A7B">
              <w:rPr>
                <w:rFonts w:eastAsia="Calibri" w:cs="Times New Roman"/>
                <w:color w:val="3B3B3C" w:themeColor="text1"/>
              </w:rPr>
              <w:t>’</w:t>
            </w:r>
            <w:r w:rsidR="00D21556" w:rsidRPr="00576624">
              <w:rPr>
                <w:rFonts w:eastAsia="Calibri" w:cs="Times New Roman"/>
                <w:color w:val="3B3B3C" w:themeColor="text1"/>
              </w:rPr>
              <w:t>s assessment of the status of surveillance systems (in 2017 and 2018) indicated significant variation in countries</w:t>
            </w:r>
            <w:r w:rsidR="00AA6A7B">
              <w:rPr>
                <w:rFonts w:eastAsia="Calibri" w:cs="Times New Roman"/>
                <w:color w:val="3B3B3C" w:themeColor="text1"/>
              </w:rPr>
              <w:t>’</w:t>
            </w:r>
            <w:r w:rsidR="00D21556" w:rsidRPr="00576624">
              <w:rPr>
                <w:rFonts w:eastAsia="Calibri" w:cs="Times New Roman"/>
                <w:color w:val="3B3B3C" w:themeColor="text1"/>
              </w:rPr>
              <w:t xml:space="preserve"> surveillance systems; although, in broad terms, HH systems were stronger than AH systems. Subsequent experience suggests overestimation of the actual status of surveillance systems across the portfolio of countries from this original analysis.</w:t>
            </w:r>
            <w:bookmarkEnd w:id="168"/>
          </w:p>
          <w:p w14:paraId="3AF036F6" w14:textId="53BC2FC8" w:rsidR="00DE5F2A" w:rsidRPr="002B3DDC" w:rsidRDefault="0067020B" w:rsidP="0067020B">
            <w:pPr>
              <w:pStyle w:val="FFBoxText"/>
              <w:rPr>
                <w:rFonts w:eastAsia="Calibri" w:cs="Times New Roman"/>
                <w:color w:val="3B3B3C" w:themeColor="text1"/>
              </w:rPr>
            </w:pPr>
            <w:bookmarkStart w:id="169" w:name="_Toc144049355"/>
            <w:r w:rsidRPr="0067020B">
              <w:rPr>
                <w:rFonts w:eastAsia="Calibri" w:cs="Times New Roman"/>
                <w:color w:val="3FB84E"/>
              </w:rPr>
              <w:t>2.1.5</w:t>
            </w:r>
            <w:r>
              <w:rPr>
                <w:rFonts w:eastAsia="Calibri" w:cs="Times New Roman"/>
                <w:color w:val="3B3B3C" w:themeColor="text1"/>
              </w:rPr>
              <w:tab/>
            </w:r>
            <w:r w:rsidR="0043093E" w:rsidRPr="001364AC">
              <w:rPr>
                <w:rFonts w:eastAsia="Calibri" w:cs="Times New Roman"/>
                <w:color w:val="3B3B3C" w:themeColor="text1"/>
              </w:rPr>
              <w:t>By December 2022, 14 out of the 16 focus countries had received 36 months or more of Fleming Fund support and so the underlying assumption is that increased data generation should be seen. The MA</w:t>
            </w:r>
            <w:r w:rsidR="00AA6A7B">
              <w:rPr>
                <w:rFonts w:eastAsia="Calibri" w:cs="Times New Roman"/>
                <w:color w:val="3B3B3C" w:themeColor="text1"/>
              </w:rPr>
              <w:t>’</w:t>
            </w:r>
            <w:r w:rsidR="0043093E" w:rsidRPr="001364AC">
              <w:rPr>
                <w:rFonts w:eastAsia="Calibri" w:cs="Times New Roman"/>
                <w:color w:val="3B3B3C" w:themeColor="text1"/>
              </w:rPr>
              <w:t>s reporting</w:t>
            </w:r>
            <w:r w:rsidR="00C40B3E">
              <w:rPr>
                <w:rFonts w:eastAsia="Calibri" w:cs="Times New Roman"/>
                <w:color w:val="3B3B3C" w:themeColor="text1"/>
              </w:rPr>
              <w:t xml:space="preserve"> </w:t>
            </w:r>
            <w:r w:rsidR="00083FEB" w:rsidRPr="00083FEB">
              <w:rPr>
                <w:rFonts w:eastAsia="Calibri" w:cs="Times New Roman"/>
                <w:color w:val="3B3B3C" w:themeColor="text1"/>
              </w:rPr>
              <w:t>on the number of Fleming Fund</w:t>
            </w:r>
            <w:r w:rsidR="00D50F4C">
              <w:rPr>
                <w:rFonts w:eastAsia="Calibri" w:cs="Times New Roman"/>
                <w:color w:val="3B3B3C" w:themeColor="text1"/>
              </w:rPr>
              <w:t>-supported</w:t>
            </w:r>
            <w:r w:rsidR="00083FEB" w:rsidRPr="00083FEB">
              <w:rPr>
                <w:rFonts w:eastAsia="Calibri" w:cs="Times New Roman"/>
                <w:color w:val="3B3B3C" w:themeColor="text1"/>
              </w:rPr>
              <w:t xml:space="preserve"> HH and AH sites showing progress through the LSHTM roadmap</w:t>
            </w:r>
            <w:r w:rsidR="00083FEB" w:rsidRPr="00083FEB" w:rsidDel="00083FEB">
              <w:rPr>
                <w:rFonts w:eastAsia="Calibri" w:cs="Times New Roman"/>
                <w:color w:val="3B3B3C" w:themeColor="text1"/>
              </w:rPr>
              <w:t xml:space="preserve"> </w:t>
            </w:r>
            <w:r w:rsidR="0043093E" w:rsidRPr="001364AC">
              <w:rPr>
                <w:rFonts w:eastAsia="Calibri" w:cs="Times New Roman"/>
                <w:color w:val="3B3B3C" w:themeColor="text1"/>
              </w:rPr>
              <w:t>suggest</w:t>
            </w:r>
            <w:r w:rsidR="002C21AE" w:rsidRPr="001364AC">
              <w:rPr>
                <w:rFonts w:eastAsia="Calibri" w:cs="Times New Roman"/>
                <w:color w:val="3B3B3C" w:themeColor="text1"/>
              </w:rPr>
              <w:t>s</w:t>
            </w:r>
            <w:r w:rsidR="0043093E" w:rsidRPr="001364AC">
              <w:rPr>
                <w:rFonts w:eastAsia="Calibri" w:cs="Times New Roman"/>
                <w:color w:val="3B3B3C" w:themeColor="text1"/>
              </w:rPr>
              <w:t xml:space="preserve"> that significant implementation failure was not to be expected.</w:t>
            </w:r>
            <w:bookmarkEnd w:id="169"/>
          </w:p>
          <w:p w14:paraId="4F96F917" w14:textId="07C5B3D7" w:rsidR="00DE5F2A" w:rsidRPr="002B3DDC" w:rsidRDefault="0067020B" w:rsidP="0067020B">
            <w:pPr>
              <w:pStyle w:val="FFBoxText"/>
              <w:rPr>
                <w:rFonts w:eastAsia="Calibri" w:cs="Times New Roman"/>
                <w:color w:val="3B3B3C" w:themeColor="text1"/>
              </w:rPr>
            </w:pPr>
            <w:bookmarkStart w:id="170" w:name="_Toc144049356"/>
            <w:r w:rsidRPr="0067020B">
              <w:rPr>
                <w:rFonts w:eastAsia="Calibri" w:cs="Times New Roman"/>
                <w:color w:val="3FB84E"/>
              </w:rPr>
              <w:t>2.1.6</w:t>
            </w:r>
            <w:r>
              <w:rPr>
                <w:rFonts w:eastAsia="Calibri" w:cs="Times New Roman"/>
                <w:color w:val="3B3B3C" w:themeColor="text1"/>
              </w:rPr>
              <w:tab/>
            </w:r>
            <w:r w:rsidR="00DE5F2A">
              <w:rPr>
                <w:rFonts w:eastAsia="Calibri" w:cs="Times New Roman"/>
                <w:color w:val="3B3B3C" w:themeColor="text1"/>
              </w:rPr>
              <w:t>T</w:t>
            </w:r>
            <w:r w:rsidR="00DE5F2A" w:rsidRPr="008A5F96">
              <w:rPr>
                <w:rFonts w:eastAsia="Calibri" w:cs="Times New Roman"/>
                <w:color w:val="3B3B3C" w:themeColor="text1"/>
              </w:rPr>
              <w:t>here is solid evidence that the quantity of HH AMR surveillance data available from government</w:t>
            </w:r>
            <w:r w:rsidR="00C97B7E">
              <w:rPr>
                <w:rFonts w:eastAsia="Calibri" w:cs="Times New Roman"/>
                <w:color w:val="3B3B3C" w:themeColor="text1"/>
              </w:rPr>
              <w:t>-</w:t>
            </w:r>
            <w:r w:rsidR="00DE5F2A" w:rsidRPr="008A5F96">
              <w:rPr>
                <w:rFonts w:eastAsia="Calibri" w:cs="Times New Roman"/>
                <w:color w:val="3B3B3C" w:themeColor="text1"/>
              </w:rPr>
              <w:t>funded laboratories supported through the Fleming Fund has increased in 11 out of 16 (69%) of</w:t>
            </w:r>
            <w:r w:rsidR="00DE5F2A" w:rsidRPr="008A5F96" w:rsidDel="00360EBB">
              <w:rPr>
                <w:rFonts w:eastAsia="Calibri" w:cs="Times New Roman"/>
                <w:color w:val="3B3B3C" w:themeColor="text1"/>
              </w:rPr>
              <w:t xml:space="preserve"> </w:t>
            </w:r>
            <w:r w:rsidR="00DE5F2A" w:rsidRPr="008A5F96">
              <w:rPr>
                <w:rFonts w:eastAsia="Calibri" w:cs="Times New Roman"/>
                <w:color w:val="3B3B3C" w:themeColor="text1"/>
              </w:rPr>
              <w:t xml:space="preserve">the focus countries. </w:t>
            </w:r>
            <w:r w:rsidR="00992F84" w:rsidRPr="008A5F96">
              <w:rPr>
                <w:rFonts w:eastAsia="Calibri" w:cs="Times New Roman"/>
                <w:color w:val="3B3B3C" w:themeColor="text1"/>
              </w:rPr>
              <w:t>Of the five countries not demonstrating increased AMR data availability in HH, two had not received 36 months of support and three lacked firm evidence of increases.</w:t>
            </w:r>
            <w:bookmarkEnd w:id="170"/>
          </w:p>
          <w:p w14:paraId="4456EDCA" w14:textId="4D4340A0" w:rsidR="00FE500F" w:rsidRDefault="0067020B" w:rsidP="0067020B">
            <w:pPr>
              <w:pStyle w:val="FFBoxText"/>
              <w:rPr>
                <w:rFonts w:eastAsia="Calibri" w:cs="Times New Roman"/>
                <w:color w:val="3B3B3C" w:themeColor="text1"/>
              </w:rPr>
            </w:pPr>
            <w:bookmarkStart w:id="171" w:name="_Toc144049357"/>
            <w:r w:rsidRPr="0067020B">
              <w:rPr>
                <w:rFonts w:eastAsia="Calibri" w:cs="Times New Roman"/>
                <w:color w:val="3FB84E"/>
              </w:rPr>
              <w:t>2.1.7</w:t>
            </w:r>
            <w:r>
              <w:rPr>
                <w:rFonts w:eastAsia="Calibri" w:cs="Times New Roman"/>
                <w:color w:val="3B3B3C" w:themeColor="text1"/>
              </w:rPr>
              <w:tab/>
            </w:r>
            <w:r w:rsidR="00DE5F2A" w:rsidRPr="00096AA5">
              <w:rPr>
                <w:rFonts w:eastAsia="Calibri" w:cs="Times New Roman"/>
                <w:color w:val="3B3B3C" w:themeColor="text1"/>
              </w:rPr>
              <w:t>T</w:t>
            </w:r>
            <w:r w:rsidR="00FE500F" w:rsidRPr="008A5F96">
              <w:rPr>
                <w:rFonts w:eastAsia="Calibri" w:cs="Times New Roman"/>
                <w:color w:val="3B3B3C" w:themeColor="text1"/>
              </w:rPr>
              <w:t xml:space="preserve">here is evidence of increases in the quantity of </w:t>
            </w:r>
            <w:r w:rsidR="00FE500F">
              <w:rPr>
                <w:rFonts w:eastAsia="Calibri" w:cs="Times New Roman"/>
                <w:color w:val="3B3B3C" w:themeColor="text1"/>
              </w:rPr>
              <w:t xml:space="preserve">AH </w:t>
            </w:r>
            <w:r w:rsidR="00FE500F" w:rsidRPr="008A5F96">
              <w:rPr>
                <w:rFonts w:eastAsia="Calibri" w:cs="Times New Roman"/>
                <w:color w:val="3B3B3C" w:themeColor="text1"/>
              </w:rPr>
              <w:t>AMR surveillance data in 13 out of 16 countries (81%), with variation across the Fleming Fund country portfolio, although less confidence in the exact extent of change.</w:t>
            </w:r>
            <w:r w:rsidR="00FE500F" w:rsidRPr="008A5F96" w:rsidDel="007D2E99">
              <w:rPr>
                <w:rFonts w:eastAsia="Calibri" w:cs="Times New Roman"/>
                <w:color w:val="3B3B3C" w:themeColor="text1"/>
              </w:rPr>
              <w:t xml:space="preserve"> </w:t>
            </w:r>
            <w:r w:rsidR="00992F84" w:rsidRPr="008A5F96">
              <w:rPr>
                <w:rFonts w:eastAsia="Calibri" w:cs="Times New Roman"/>
                <w:color w:val="3B3B3C" w:themeColor="text1"/>
              </w:rPr>
              <w:t>Of the three countries not demonstrating increased AMR data availability in AH, two had not received 36 months of support and one lacked firm evidence of increases.</w:t>
            </w:r>
            <w:bookmarkEnd w:id="171"/>
          </w:p>
          <w:p w14:paraId="6A57FF58" w14:textId="338F6B72" w:rsidR="00FE500F" w:rsidRDefault="0067020B" w:rsidP="0067020B">
            <w:pPr>
              <w:pStyle w:val="FFBoxText"/>
              <w:rPr>
                <w:rFonts w:eastAsia="Calibri" w:cs="Times New Roman"/>
                <w:color w:val="3B3B3C" w:themeColor="text1"/>
              </w:rPr>
            </w:pPr>
            <w:bookmarkStart w:id="172" w:name="_Toc144049358"/>
            <w:r w:rsidRPr="0067020B">
              <w:rPr>
                <w:rFonts w:eastAsia="Calibri" w:cs="Times New Roman"/>
                <w:color w:val="3FB84E"/>
              </w:rPr>
              <w:t>2.1.8</w:t>
            </w:r>
            <w:r>
              <w:rPr>
                <w:rFonts w:eastAsia="Calibri" w:cs="Times New Roman"/>
                <w:color w:val="3B3B3C" w:themeColor="text1"/>
              </w:rPr>
              <w:tab/>
            </w:r>
            <w:r w:rsidR="00DE5F2A">
              <w:rPr>
                <w:rFonts w:eastAsia="Calibri" w:cs="Times New Roman"/>
                <w:color w:val="3B3B3C" w:themeColor="text1"/>
              </w:rPr>
              <w:t xml:space="preserve">Improvements </w:t>
            </w:r>
            <w:r w:rsidR="00FE500F" w:rsidRPr="008A5F96">
              <w:rPr>
                <w:rFonts w:eastAsia="Calibri" w:cs="Times New Roman"/>
                <w:color w:val="3B3B3C" w:themeColor="text1"/>
              </w:rPr>
              <w:t>in internal systems ensuring the quality of AMR testing were seen in HH and AH in a majority of countries</w:t>
            </w:r>
            <w:r w:rsidR="002B3DDC">
              <w:rPr>
                <w:rFonts w:eastAsia="Calibri" w:cs="Times New Roman"/>
                <w:color w:val="3B3B3C" w:themeColor="text1"/>
              </w:rPr>
              <w:t>,</w:t>
            </w:r>
            <w:r w:rsidR="00FE500F" w:rsidRPr="008A5F96">
              <w:rPr>
                <w:rFonts w:eastAsia="Calibri" w:cs="Times New Roman"/>
                <w:color w:val="3B3B3C" w:themeColor="text1"/>
              </w:rPr>
              <w:t xml:space="preserve"> but progress was mixed.</w:t>
            </w:r>
            <w:bookmarkEnd w:id="172"/>
          </w:p>
          <w:p w14:paraId="36311ADE" w14:textId="11F33382" w:rsidR="00FE500F" w:rsidRDefault="0067020B" w:rsidP="0067020B">
            <w:pPr>
              <w:pStyle w:val="FFBoxText"/>
              <w:rPr>
                <w:rFonts w:eastAsia="Calibri" w:cs="Times New Roman"/>
                <w:color w:val="3B3B3C" w:themeColor="text1"/>
              </w:rPr>
            </w:pPr>
            <w:bookmarkStart w:id="173" w:name="_Toc144049359"/>
            <w:r w:rsidRPr="0067020B">
              <w:rPr>
                <w:rFonts w:eastAsia="Calibri" w:cs="Times New Roman"/>
                <w:color w:val="3FB84E"/>
              </w:rPr>
              <w:t>2.1.9</w:t>
            </w:r>
            <w:r>
              <w:rPr>
                <w:rFonts w:eastAsia="Calibri" w:cs="Times New Roman"/>
                <w:color w:val="3B3B3C" w:themeColor="text1"/>
              </w:rPr>
              <w:tab/>
              <w:t>W</w:t>
            </w:r>
            <w:r w:rsidR="00DE5F2A">
              <w:rPr>
                <w:rFonts w:eastAsia="Calibri" w:cs="Times New Roman"/>
                <w:color w:val="3B3B3C" w:themeColor="text1"/>
              </w:rPr>
              <w:t xml:space="preserve">ith </w:t>
            </w:r>
            <w:r w:rsidR="00FE500F" w:rsidRPr="008A5F96">
              <w:rPr>
                <w:rFonts w:eastAsia="Calibri" w:cs="Times New Roman"/>
                <w:color w:val="3B3B3C" w:themeColor="text1"/>
              </w:rPr>
              <w:t>performance to date, it is clear that the Fleming Fund achieve</w:t>
            </w:r>
            <w:r w:rsidR="005A31AC">
              <w:rPr>
                <w:rFonts w:eastAsia="Calibri" w:cs="Times New Roman"/>
                <w:color w:val="3B3B3C" w:themeColor="text1"/>
              </w:rPr>
              <w:t>d</w:t>
            </w:r>
            <w:r w:rsidR="00FE500F" w:rsidRPr="008A5F96">
              <w:rPr>
                <w:rFonts w:eastAsia="Calibri" w:cs="Times New Roman"/>
                <w:color w:val="3B3B3C" w:themeColor="text1"/>
              </w:rPr>
              <w:t xml:space="preserve"> its stated aims for AMR data generation as set out in the implementation plan, albeit targets that were not ambitious</w:t>
            </w:r>
            <w:r w:rsidR="00FE500F">
              <w:rPr>
                <w:rFonts w:eastAsia="Calibri" w:cs="Times New Roman"/>
                <w:color w:val="3B3B3C" w:themeColor="text1"/>
              </w:rPr>
              <w:t xml:space="preserve"> and not sector specific</w:t>
            </w:r>
            <w:r w:rsidR="00FE500F" w:rsidRPr="008A5F96">
              <w:rPr>
                <w:rFonts w:eastAsia="Calibri" w:cs="Times New Roman"/>
                <w:color w:val="3B3B3C" w:themeColor="text1"/>
              </w:rPr>
              <w:t>.</w:t>
            </w:r>
            <w:r w:rsidR="009C7485">
              <w:rPr>
                <w:rFonts w:eastAsia="Calibri" w:cs="Times New Roman"/>
                <w:color w:val="3B3B3C" w:themeColor="text1"/>
              </w:rPr>
              <w:t xml:space="preserve"> However</w:t>
            </w:r>
            <w:r w:rsidR="009C7485" w:rsidRPr="008A5F96">
              <w:rPr>
                <w:rFonts w:eastAsia="Calibri" w:cs="Times New Roman"/>
                <w:color w:val="3B3B3C" w:themeColor="text1"/>
              </w:rPr>
              <w:t>, quality improvements have varied on a site-by-site basis, and it is not clear whether the MA</w:t>
            </w:r>
            <w:r w:rsidR="00AA6A7B">
              <w:rPr>
                <w:rFonts w:eastAsia="Calibri" w:cs="Times New Roman"/>
                <w:color w:val="3B3B3C" w:themeColor="text1"/>
              </w:rPr>
              <w:t>’</w:t>
            </w:r>
            <w:r w:rsidR="009C7485" w:rsidRPr="008A5F96">
              <w:rPr>
                <w:rFonts w:eastAsia="Calibri" w:cs="Times New Roman"/>
                <w:color w:val="3B3B3C" w:themeColor="text1"/>
              </w:rPr>
              <w:t>s aims have been consistently achieved (given the limited delineation of goals on quality at the start of phase 1</w:t>
            </w:r>
            <w:r w:rsidR="00007676">
              <w:rPr>
                <w:rFonts w:eastAsia="Calibri" w:cs="Times New Roman"/>
                <w:color w:val="3B3B3C" w:themeColor="text1"/>
              </w:rPr>
              <w:t>)</w:t>
            </w:r>
            <w:r w:rsidR="009C7485">
              <w:rPr>
                <w:rFonts w:eastAsia="Calibri" w:cs="Times New Roman"/>
                <w:color w:val="3B3B3C" w:themeColor="text1"/>
              </w:rPr>
              <w:t>.</w:t>
            </w:r>
            <w:bookmarkEnd w:id="173"/>
          </w:p>
          <w:p w14:paraId="4DB4273D" w14:textId="38941623" w:rsidR="00FE500F" w:rsidRDefault="0067020B" w:rsidP="0067020B">
            <w:pPr>
              <w:pStyle w:val="FFBoxText"/>
              <w:rPr>
                <w:rFonts w:eastAsia="Calibri" w:cs="Times New Roman"/>
                <w:color w:val="3B3B3C" w:themeColor="text1"/>
              </w:rPr>
            </w:pPr>
            <w:r w:rsidRPr="0067020B">
              <w:rPr>
                <w:rFonts w:eastAsia="Calibri" w:cs="Times New Roman"/>
                <w:color w:val="3FB84E"/>
              </w:rPr>
              <w:t>2.1.10</w:t>
            </w:r>
            <w:r>
              <w:rPr>
                <w:rFonts w:eastAsia="Calibri" w:cs="Times New Roman"/>
                <w:color w:val="3B3B3C" w:themeColor="text1"/>
              </w:rPr>
              <w:tab/>
            </w:r>
            <w:bookmarkStart w:id="174" w:name="_Toc144049360"/>
            <w:r w:rsidR="00DE5F2A">
              <w:rPr>
                <w:rFonts w:eastAsia="Calibri" w:cs="Times New Roman"/>
                <w:color w:val="3B3B3C" w:themeColor="text1"/>
              </w:rPr>
              <w:t>Major</w:t>
            </w:r>
            <w:r w:rsidR="00FE500F" w:rsidRPr="008A5F96">
              <w:rPr>
                <w:rFonts w:eastAsia="Calibri" w:cs="Times New Roman"/>
                <w:color w:val="3B3B3C" w:themeColor="text1"/>
              </w:rPr>
              <w:t xml:space="preserve"> drivers of increases in quantity (and quality) were identified as the renovation of sites and provision of equipment, investment in the capacity of the workforce, AMR governance, and supporting laboratory quality assurance (QA) systems and processes.</w:t>
            </w:r>
            <w:r w:rsidR="009C7485">
              <w:rPr>
                <w:rFonts w:eastAsia="Calibri" w:cs="Times New Roman"/>
                <w:color w:val="3B3B3C" w:themeColor="text1"/>
              </w:rPr>
              <w:t xml:space="preserve"> In </w:t>
            </w:r>
            <w:r w:rsidR="009C7485" w:rsidRPr="008A5F96">
              <w:rPr>
                <w:rFonts w:eastAsia="Calibri" w:cs="Times New Roman"/>
                <w:color w:val="3B3B3C" w:themeColor="text1"/>
              </w:rPr>
              <w:t xml:space="preserve">some countries, increases in the quantity of data at the national level </w:t>
            </w:r>
            <w:r w:rsidR="009C7485" w:rsidRPr="008A5F96" w:rsidDel="00E3708B">
              <w:rPr>
                <w:rFonts w:eastAsia="Calibri" w:cs="Times New Roman"/>
                <w:color w:val="3B3B3C" w:themeColor="text1"/>
              </w:rPr>
              <w:t xml:space="preserve">were </w:t>
            </w:r>
            <w:r w:rsidR="009C7485" w:rsidRPr="008A5F96">
              <w:rPr>
                <w:rFonts w:eastAsia="Calibri" w:cs="Times New Roman"/>
                <w:color w:val="3B3B3C" w:themeColor="text1"/>
              </w:rPr>
              <w:t>driven, to some extent, by the increases in the number of reporting sites or the number of pathogens reported but these were not necessarily from within the surveillance system</w:t>
            </w:r>
            <w:r w:rsidR="009C7485">
              <w:rPr>
                <w:rFonts w:eastAsia="Calibri" w:cs="Times New Roman"/>
                <w:color w:val="3B3B3C" w:themeColor="text1"/>
              </w:rPr>
              <w:t>.</w:t>
            </w:r>
            <w:bookmarkEnd w:id="174"/>
          </w:p>
          <w:p w14:paraId="69D8B066" w14:textId="708F11DD" w:rsidR="00FE500F" w:rsidRDefault="0067020B" w:rsidP="0067020B">
            <w:pPr>
              <w:pStyle w:val="FFBoxText"/>
              <w:rPr>
                <w:rFonts w:eastAsia="Calibri" w:cs="Times New Roman"/>
                <w:color w:val="3B3B3C" w:themeColor="text1"/>
              </w:rPr>
            </w:pPr>
            <w:bookmarkStart w:id="175" w:name="_Toc144049361"/>
            <w:r w:rsidRPr="0067020B">
              <w:rPr>
                <w:rFonts w:eastAsia="Calibri" w:cs="Times New Roman"/>
                <w:color w:val="3FB84E"/>
              </w:rPr>
              <w:t>2.1.11</w:t>
            </w:r>
            <w:r>
              <w:rPr>
                <w:rFonts w:eastAsia="Calibri" w:cs="Times New Roman"/>
                <w:color w:val="3B3B3C" w:themeColor="text1"/>
              </w:rPr>
              <w:tab/>
            </w:r>
            <w:r w:rsidR="00DE5F2A">
              <w:rPr>
                <w:rFonts w:eastAsia="Calibri" w:cs="Times New Roman"/>
                <w:color w:val="3B3B3C" w:themeColor="text1"/>
              </w:rPr>
              <w:t>Where</w:t>
            </w:r>
            <w:r w:rsidR="00FE500F" w:rsidRPr="008A5F96">
              <w:rPr>
                <w:rFonts w:eastAsia="Calibri" w:cs="Times New Roman"/>
                <w:color w:val="3B3B3C" w:themeColor="text1"/>
              </w:rPr>
              <w:t xml:space="preserve"> no progress or reversals in quantity and quality were observed, we identified constraints to progress.</w:t>
            </w:r>
            <w:r w:rsidR="00FE500F" w:rsidRPr="008A5F96" w:rsidDel="007D2E99">
              <w:rPr>
                <w:rFonts w:eastAsia="Calibri" w:cs="Times New Roman"/>
                <w:color w:val="3B3B3C" w:themeColor="text1"/>
              </w:rPr>
              <w:t xml:space="preserve"> </w:t>
            </w:r>
            <w:r w:rsidR="00FE500F" w:rsidRPr="008A5F96">
              <w:rPr>
                <w:rFonts w:eastAsia="Calibri" w:cs="Times New Roman"/>
                <w:color w:val="3B3B3C" w:themeColor="text1"/>
              </w:rPr>
              <w:t xml:space="preserve">In many cases, these were expressed in terms of </w:t>
            </w:r>
            <w:r w:rsidR="00AA6A7B">
              <w:rPr>
                <w:rFonts w:eastAsia="Calibri" w:cs="Times New Roman"/>
                <w:color w:val="3B3B3C" w:themeColor="text1"/>
              </w:rPr>
              <w:t>‘</w:t>
            </w:r>
            <w:r w:rsidR="00FE500F" w:rsidRPr="008A5F96">
              <w:rPr>
                <w:rFonts w:eastAsia="Calibri" w:cs="Times New Roman"/>
                <w:color w:val="3B3B3C" w:themeColor="text1"/>
              </w:rPr>
              <w:t>absence of</w:t>
            </w:r>
            <w:r w:rsidR="00AA6A7B">
              <w:rPr>
                <w:rFonts w:eastAsia="Calibri" w:cs="Times New Roman"/>
                <w:color w:val="3B3B3C" w:themeColor="text1"/>
              </w:rPr>
              <w:t>’</w:t>
            </w:r>
            <w:r w:rsidR="00FE500F" w:rsidRPr="008A5F96">
              <w:rPr>
                <w:rFonts w:eastAsia="Calibri" w:cs="Times New Roman"/>
                <w:color w:val="3B3B3C" w:themeColor="text1"/>
              </w:rPr>
              <w:t xml:space="preserve"> or </w:t>
            </w:r>
            <w:r w:rsidR="00AA6A7B">
              <w:rPr>
                <w:rFonts w:eastAsia="Calibri" w:cs="Times New Roman"/>
                <w:color w:val="3B3B3C" w:themeColor="text1"/>
              </w:rPr>
              <w:t>‘</w:t>
            </w:r>
            <w:r w:rsidR="00FE500F" w:rsidRPr="008A5F96">
              <w:rPr>
                <w:rFonts w:eastAsia="Calibri" w:cs="Times New Roman"/>
                <w:color w:val="3B3B3C" w:themeColor="text1"/>
              </w:rPr>
              <w:t>delays with</w:t>
            </w:r>
            <w:r w:rsidR="00AA6A7B">
              <w:rPr>
                <w:rFonts w:eastAsia="Calibri" w:cs="Times New Roman"/>
                <w:color w:val="3B3B3C" w:themeColor="text1"/>
              </w:rPr>
              <w:t>’</w:t>
            </w:r>
            <w:r w:rsidR="00FE500F" w:rsidRPr="008A5F96">
              <w:rPr>
                <w:rFonts w:eastAsia="Calibri" w:cs="Times New Roman"/>
                <w:color w:val="3B3B3C" w:themeColor="text1"/>
              </w:rPr>
              <w:t xml:space="preserve"> factors that were drivers of progress when present.</w:t>
            </w:r>
            <w:bookmarkEnd w:id="175"/>
          </w:p>
          <w:p w14:paraId="7DEDBE74" w14:textId="76A446A8" w:rsidR="00D56B1F" w:rsidRPr="002B3DDC" w:rsidRDefault="0067020B" w:rsidP="0067020B">
            <w:pPr>
              <w:pStyle w:val="FFBoxText"/>
              <w:rPr>
                <w:rFonts w:eastAsia="Calibri" w:cs="Times New Roman"/>
                <w:color w:val="3B3B3C" w:themeColor="text1"/>
              </w:rPr>
            </w:pPr>
            <w:r w:rsidRPr="0067020B">
              <w:rPr>
                <w:rFonts w:eastAsia="Calibri" w:cs="Times New Roman"/>
                <w:color w:val="3FB84E"/>
              </w:rPr>
              <w:t>2.1.12</w:t>
            </w:r>
            <w:r>
              <w:rPr>
                <w:rFonts w:eastAsia="Calibri" w:cs="Times New Roman"/>
                <w:color w:val="3B3B3C" w:themeColor="text1"/>
              </w:rPr>
              <w:tab/>
            </w:r>
            <w:bookmarkStart w:id="176" w:name="_Toc144049362"/>
            <w:r w:rsidR="00DE5F2A">
              <w:rPr>
                <w:rFonts w:eastAsia="Calibri" w:cs="Times New Roman"/>
                <w:color w:val="3B3B3C" w:themeColor="text1"/>
              </w:rPr>
              <w:t>Overall</w:t>
            </w:r>
            <w:r w:rsidR="00FE500F">
              <w:rPr>
                <w:rFonts w:eastAsia="Calibri" w:cs="Times New Roman"/>
                <w:color w:val="3B3B3C" w:themeColor="text1"/>
              </w:rPr>
              <w:t>,</w:t>
            </w:r>
            <w:r w:rsidR="00FE500F" w:rsidRPr="002B3DDC">
              <w:rPr>
                <w:rFonts w:eastAsia="Calibri" w:cs="Times New Roman"/>
                <w:color w:val="3B3B3C" w:themeColor="text1"/>
              </w:rPr>
              <w:t xml:space="preserve"> the Fleming Fund has made a vital or important</w:t>
            </w:r>
            <w:r w:rsidR="00FE500F" w:rsidRPr="002B3DDC">
              <w:rPr>
                <w:rFonts w:eastAsia="Calibri" w:cs="Times New Roman"/>
                <w:color w:val="3B3B3C" w:themeColor="text1"/>
                <w:vertAlign w:val="superscript"/>
              </w:rPr>
              <w:footnoteReference w:id="64"/>
            </w:r>
            <w:r w:rsidR="00FE500F" w:rsidRPr="002B3DDC">
              <w:rPr>
                <w:rFonts w:eastAsia="Calibri" w:cs="Times New Roman"/>
                <w:color w:val="3B3B3C" w:themeColor="text1"/>
              </w:rPr>
              <w:t xml:space="preserve"> contribution to most key drivers of increased quantity and quality in both HH and AH AMR data, albeit to variable extents.</w:t>
            </w:r>
            <w:bookmarkEnd w:id="176"/>
          </w:p>
        </w:tc>
      </w:tr>
    </w:tbl>
    <w:p w14:paraId="78F7CC8C" w14:textId="6603C891" w:rsidR="00FF2998" w:rsidRPr="008343D7" w:rsidRDefault="00FF2998" w:rsidP="00083937">
      <w:pPr>
        <w:pStyle w:val="ItadH3"/>
      </w:pPr>
      <w:bookmarkStart w:id="177" w:name="_Ref129302060"/>
      <w:bookmarkStart w:id="178" w:name="_Toc144049363"/>
      <w:bookmarkStart w:id="179" w:name="_Toc144715810"/>
      <w:bookmarkEnd w:id="163"/>
      <w:bookmarkEnd w:id="165"/>
      <w:r w:rsidRPr="008343D7">
        <w:t>What was in place in 2018</w:t>
      </w:r>
      <w:bookmarkEnd w:id="177"/>
      <w:r w:rsidR="00083937">
        <w:t>?</w:t>
      </w:r>
      <w:bookmarkEnd w:id="178"/>
      <w:bookmarkEnd w:id="179"/>
    </w:p>
    <w:p w14:paraId="556F1291" w14:textId="207432ED" w:rsidR="00FF2998" w:rsidRPr="00D00972" w:rsidRDefault="00A738C3" w:rsidP="006755A0">
      <w:pPr>
        <w:pStyle w:val="ItadNormalText"/>
        <w:rPr>
          <w:lang w:eastAsia="en-GB"/>
        </w:rPr>
      </w:pPr>
      <w:bookmarkStart w:id="180" w:name="_Hlk129171012"/>
      <w:r w:rsidRPr="006755A0">
        <w:rPr>
          <w:b/>
          <w:bCs/>
          <w:lang w:eastAsia="en-GB"/>
        </w:rPr>
        <w:t xml:space="preserve">Finding </w:t>
      </w:r>
      <w:r w:rsidR="005F1C00" w:rsidRPr="006755A0">
        <w:rPr>
          <w:b/>
          <w:bCs/>
          <w:lang w:eastAsia="en-GB"/>
        </w:rPr>
        <w:t>2.1.1</w:t>
      </w:r>
      <w:r w:rsidRPr="006755A0">
        <w:rPr>
          <w:b/>
          <w:bCs/>
          <w:lang w:eastAsia="en-GB"/>
        </w:rPr>
        <w:t>:</w:t>
      </w:r>
      <w:r w:rsidR="005F1C00" w:rsidRPr="006755A0">
        <w:rPr>
          <w:b/>
          <w:bCs/>
          <w:lang w:eastAsia="en-GB"/>
        </w:rPr>
        <w:t xml:space="preserve"> </w:t>
      </w:r>
      <w:r w:rsidR="00FF2998" w:rsidRPr="006755A0">
        <w:rPr>
          <w:b/>
          <w:bCs/>
          <w:lang w:eastAsia="en-GB"/>
        </w:rPr>
        <w:t>AMR was a known problem in 2018. NAPs were in place in most countries but</w:t>
      </w:r>
      <w:r w:rsidR="003B1429" w:rsidRPr="006755A0">
        <w:rPr>
          <w:b/>
          <w:bCs/>
          <w:lang w:eastAsia="en-GB"/>
        </w:rPr>
        <w:t xml:space="preserve"> were</w:t>
      </w:r>
      <w:r w:rsidR="00FF2998" w:rsidRPr="006755A0">
        <w:rPr>
          <w:b/>
          <w:bCs/>
          <w:lang w:eastAsia="en-GB"/>
        </w:rPr>
        <w:t xml:space="preserve"> not being prioritised and implemented.</w:t>
      </w:r>
      <w:r w:rsidR="00FF2998" w:rsidRPr="006755A0" w:rsidDel="007D2E99">
        <w:rPr>
          <w:b/>
          <w:bCs/>
          <w:lang w:eastAsia="en-GB"/>
        </w:rPr>
        <w:t xml:space="preserve"> </w:t>
      </w:r>
      <w:r w:rsidR="00FF2998" w:rsidRPr="006755A0">
        <w:rPr>
          <w:b/>
          <w:bCs/>
          <w:lang w:eastAsia="en-GB"/>
        </w:rPr>
        <w:t>There were varying degrees of commitment to the agenda across Fleming Fund countries on which to build.</w:t>
      </w:r>
      <w:r w:rsidR="00FF2998" w:rsidRPr="00D00972" w:rsidDel="007D2E99">
        <w:rPr>
          <w:lang w:eastAsia="en-GB"/>
        </w:rPr>
        <w:t xml:space="preserve"> </w:t>
      </w:r>
      <w:r w:rsidR="00FF2998" w:rsidRPr="00D00972">
        <w:rPr>
          <w:lang w:eastAsia="en-GB"/>
        </w:rPr>
        <w:t>NAPs were in place</w:t>
      </w:r>
      <w:r w:rsidR="00FF2998" w:rsidRPr="00D00972">
        <w:rPr>
          <w:sz w:val="20"/>
          <w:szCs w:val="20"/>
          <w:vertAlign w:val="superscript"/>
          <w:lang w:eastAsia="en-GB"/>
        </w:rPr>
        <w:footnoteReference w:id="65"/>
      </w:r>
      <w:r w:rsidR="00FF2998" w:rsidRPr="00D00972">
        <w:rPr>
          <w:lang w:eastAsia="en-GB"/>
        </w:rPr>
        <w:t xml:space="preserve"> </w:t>
      </w:r>
      <w:r w:rsidR="002B3DDC">
        <w:rPr>
          <w:lang w:eastAsia="en-GB"/>
        </w:rPr>
        <w:t>i</w:t>
      </w:r>
      <w:r w:rsidR="002B3DDC" w:rsidRPr="00D00972">
        <w:rPr>
          <w:lang w:eastAsia="en-GB"/>
        </w:rPr>
        <w:t>n 13 of</w:t>
      </w:r>
      <w:r w:rsidR="002B3DDC" w:rsidRPr="00D00972" w:rsidDel="00CE54CF">
        <w:rPr>
          <w:lang w:eastAsia="en-GB"/>
        </w:rPr>
        <w:t xml:space="preserve"> </w:t>
      </w:r>
      <w:r w:rsidR="002B3DDC" w:rsidRPr="00D00972">
        <w:rPr>
          <w:lang w:eastAsia="en-GB"/>
        </w:rPr>
        <w:t xml:space="preserve">the 16 focus countries </w:t>
      </w:r>
      <w:r w:rsidR="00FF2998" w:rsidRPr="00D00972">
        <w:rPr>
          <w:rFonts w:eastAsia="Calibri"/>
          <w:lang w:eastAsia="en-GB"/>
        </w:rPr>
        <w:t xml:space="preserve">(see </w:t>
      </w:r>
      <w:r w:rsidR="00FF2998" w:rsidRPr="00D00972">
        <w:rPr>
          <w:rFonts w:eastAsia="Calibri"/>
        </w:rPr>
        <w:t>Vol. II</w:t>
      </w:r>
      <w:r w:rsidR="00FF2998" w:rsidRPr="00D00972">
        <w:rPr>
          <w:rFonts w:eastAsia="Calibri"/>
          <w:lang w:eastAsia="en-GB"/>
        </w:rPr>
        <w:t xml:space="preserve">, </w:t>
      </w:r>
      <w:r w:rsidR="00FF2998" w:rsidRPr="00077066">
        <w:rPr>
          <w:rFonts w:eastAsia="Calibri"/>
          <w:lang w:eastAsia="en-GB"/>
        </w:rPr>
        <w:t>Annex 8</w:t>
      </w:r>
      <w:r w:rsidR="00817928" w:rsidRPr="00077066">
        <w:rPr>
          <w:rFonts w:eastAsia="Calibri"/>
          <w:lang w:eastAsia="en-GB"/>
        </w:rPr>
        <w:t>, Table 2</w:t>
      </w:r>
      <w:r w:rsidR="006755A0" w:rsidRPr="00077066">
        <w:rPr>
          <w:rFonts w:eastAsia="Calibri"/>
          <w:lang w:eastAsia="en-GB"/>
        </w:rPr>
        <w:t>5</w:t>
      </w:r>
      <w:r w:rsidR="00FF2998" w:rsidRPr="00077066">
        <w:rPr>
          <w:rFonts w:eastAsia="Calibri"/>
          <w:lang w:eastAsia="en-GB"/>
        </w:rPr>
        <w:t>)</w:t>
      </w:r>
      <w:r w:rsidR="00FF2998" w:rsidRPr="00077066">
        <w:rPr>
          <w:lang w:eastAsia="en-GB"/>
        </w:rPr>
        <w:t>,</w:t>
      </w:r>
      <w:r w:rsidR="00FF2998" w:rsidRPr="00D00972">
        <w:rPr>
          <w:lang w:eastAsia="en-GB"/>
        </w:rPr>
        <w:t xml:space="preserve"> which indicates that AMR was a known problem, albeit one of these NAPs had not been approved at </w:t>
      </w:r>
      <w:r w:rsidR="003B1429" w:rsidRPr="008A5F96">
        <w:rPr>
          <w:lang w:eastAsia="en-GB"/>
        </w:rPr>
        <w:t xml:space="preserve">the </w:t>
      </w:r>
      <w:r w:rsidR="00FF2998" w:rsidRPr="00D00972">
        <w:rPr>
          <w:lang w:eastAsia="en-GB"/>
        </w:rPr>
        <w:t>cabinet level.</w:t>
      </w:r>
      <w:r w:rsidR="00FF2998" w:rsidRPr="00D00972" w:rsidDel="007D2E99">
        <w:rPr>
          <w:lang w:eastAsia="en-GB"/>
        </w:rPr>
        <w:t xml:space="preserve"> </w:t>
      </w:r>
      <w:bookmarkStart w:id="181" w:name="_Hlk136459134"/>
      <w:r w:rsidR="00FF2998" w:rsidRPr="00D00972">
        <w:rPr>
          <w:lang w:eastAsia="en-GB"/>
        </w:rPr>
        <w:t xml:space="preserve">Implementation and use of these NAPs was more problematic. </w:t>
      </w:r>
      <w:r w:rsidR="00213EAE" w:rsidRPr="00D00972">
        <w:rPr>
          <w:lang w:eastAsia="en-GB"/>
        </w:rPr>
        <w:t>The story was less positive if</w:t>
      </w:r>
      <w:r w:rsidR="00FF2998" w:rsidRPr="00D00972">
        <w:rPr>
          <w:lang w:eastAsia="en-GB"/>
        </w:rPr>
        <w:t xml:space="preserve"> </w:t>
      </w:r>
      <w:r w:rsidR="003B1429" w:rsidRPr="008A5F96">
        <w:rPr>
          <w:lang w:eastAsia="en-GB"/>
        </w:rPr>
        <w:t xml:space="preserve">the </w:t>
      </w:r>
      <w:r w:rsidR="00FF2998" w:rsidRPr="00D00972">
        <w:rPr>
          <w:lang w:eastAsia="en-GB"/>
        </w:rPr>
        <w:t xml:space="preserve">allocation of funding is used as a measure of commitment and prioritisation towards addressing the problem. Government </w:t>
      </w:r>
      <w:r w:rsidR="00A037CF">
        <w:rPr>
          <w:lang w:eastAsia="en-GB"/>
        </w:rPr>
        <w:t>budgets</w:t>
      </w:r>
      <w:r w:rsidR="00FF2998" w:rsidRPr="00D00972">
        <w:rPr>
          <w:lang w:eastAsia="en-GB"/>
        </w:rPr>
        <w:t xml:space="preserve"> for NAP implementation </w:t>
      </w:r>
      <w:r w:rsidR="003B1429" w:rsidRPr="008A5F96">
        <w:rPr>
          <w:lang w:eastAsia="en-GB"/>
        </w:rPr>
        <w:t>were</w:t>
      </w:r>
      <w:r w:rsidR="00FF2998" w:rsidRPr="00D00972">
        <w:rPr>
          <w:lang w:eastAsia="en-GB"/>
        </w:rPr>
        <w:t xml:space="preserve"> only found in three out of 13 countries in 2018.</w:t>
      </w:r>
      <w:r w:rsidR="00A037CF">
        <w:rPr>
          <w:rStyle w:val="FootnoteReference"/>
          <w:rFonts w:eastAsia="Times New Roman"/>
          <w:lang w:eastAsia="en-GB"/>
        </w:rPr>
        <w:footnoteReference w:id="66"/>
      </w:r>
    </w:p>
    <w:bookmarkEnd w:id="181"/>
    <w:p w14:paraId="21281A52" w14:textId="6287D9B4" w:rsidR="00FF2998" w:rsidRPr="00D00972" w:rsidRDefault="00A738C3" w:rsidP="006755A0">
      <w:pPr>
        <w:pStyle w:val="ItadNormalText"/>
        <w:rPr>
          <w:lang w:eastAsia="en-GB"/>
        </w:rPr>
      </w:pPr>
      <w:r w:rsidRPr="006755A0">
        <w:rPr>
          <w:b/>
          <w:bCs/>
          <w:lang w:eastAsia="en-GB"/>
        </w:rPr>
        <w:t xml:space="preserve">Finding 2.1.2: </w:t>
      </w:r>
      <w:r w:rsidR="00FF2998" w:rsidRPr="006755A0">
        <w:rPr>
          <w:b/>
          <w:bCs/>
          <w:lang w:eastAsia="en-GB"/>
        </w:rPr>
        <w:t xml:space="preserve">Just over half of the 16 countries had </w:t>
      </w:r>
      <w:bookmarkStart w:id="182" w:name="_Hlk128389006"/>
      <w:r w:rsidR="00FF2998" w:rsidRPr="006755A0">
        <w:rPr>
          <w:b/>
          <w:bCs/>
          <w:lang w:eastAsia="en-GB"/>
        </w:rPr>
        <w:t>a formal HH surveillance system in place</w:t>
      </w:r>
      <w:bookmarkEnd w:id="182"/>
      <w:r w:rsidR="00FF2998" w:rsidRPr="006755A0">
        <w:rPr>
          <w:b/>
          <w:bCs/>
          <w:lang w:eastAsia="en-GB"/>
        </w:rPr>
        <w:t>, but less than half had a formal AH surveillance system in place. On the other hand, HH AMR data existed in all countries but not necessarily due to the presence of a formal surveillance system.</w:t>
      </w:r>
      <w:r w:rsidR="00FF2998" w:rsidRPr="00D00972" w:rsidDel="007D2E99">
        <w:rPr>
          <w:lang w:eastAsia="en-GB"/>
        </w:rPr>
        <w:t xml:space="preserve"> </w:t>
      </w:r>
      <w:r w:rsidR="00FF2998" w:rsidRPr="00D00972">
        <w:rPr>
          <w:lang w:eastAsia="en-GB"/>
        </w:rPr>
        <w:t>Baseline data collected by the evaluation team from AMR focal points and NRLs (as part of formal AMR surveillance systems) suggested that</w:t>
      </w:r>
      <w:r w:rsidR="00FF2998" w:rsidRPr="00D00972" w:rsidDel="00DD0D95">
        <w:rPr>
          <w:lang w:eastAsia="en-GB"/>
        </w:rPr>
        <w:t xml:space="preserve"> </w:t>
      </w:r>
      <w:r w:rsidR="00FF2998" w:rsidRPr="00D00972">
        <w:rPr>
          <w:lang w:eastAsia="en-GB"/>
        </w:rPr>
        <w:t xml:space="preserve">nine out of 16 countries had some form of HH AMR surveillance in place in 2018 (compared with </w:t>
      </w:r>
      <w:r w:rsidR="00D53EA4" w:rsidRPr="00D00972">
        <w:rPr>
          <w:lang w:eastAsia="en-GB"/>
        </w:rPr>
        <w:t xml:space="preserve">six </w:t>
      </w:r>
      <w:r w:rsidR="00FF2998" w:rsidRPr="00D00972">
        <w:rPr>
          <w:lang w:eastAsia="en-GB"/>
        </w:rPr>
        <w:t>out of 16 in AH)</w:t>
      </w:r>
      <w:r w:rsidR="00B30736" w:rsidRPr="00D00972">
        <w:rPr>
          <w:lang w:eastAsia="en-GB"/>
        </w:rPr>
        <w:t>.</w:t>
      </w:r>
      <w:r w:rsidR="00B30736">
        <w:rPr>
          <w:rStyle w:val="FootnoteReference"/>
          <w:rFonts w:eastAsia="Times New Roman"/>
          <w:lang w:eastAsia="en-GB"/>
        </w:rPr>
        <w:footnoteReference w:id="67"/>
      </w:r>
      <w:r w:rsidR="00FF2998" w:rsidRPr="00D00972">
        <w:rPr>
          <w:lang w:eastAsia="en-GB"/>
        </w:rPr>
        <w:t xml:space="preserve"> However, NAPs suggested that some AMR data was available in all countries. This was confirmed by the retrospective data collection under the </w:t>
      </w:r>
      <w:r w:rsidR="00FF2998" w:rsidRPr="00D00972">
        <w:rPr>
          <w:rFonts w:eastAsia="Calibri"/>
        </w:rPr>
        <w:t xml:space="preserve">CAPTURA and Mapping Antimicrobial Resistance and Antimicrobial Use Partnership (MAAP) RGs </w:t>
      </w:r>
      <w:r w:rsidR="00FF2998" w:rsidRPr="00D00972">
        <w:rPr>
          <w:lang w:eastAsia="en-GB"/>
        </w:rPr>
        <w:t xml:space="preserve">(see </w:t>
      </w:r>
      <w:r w:rsidR="0008600C">
        <w:rPr>
          <w:lang w:eastAsia="en-GB"/>
        </w:rPr>
        <w:fldChar w:fldCharType="begin"/>
      </w:r>
      <w:r w:rsidR="0008600C">
        <w:rPr>
          <w:lang w:eastAsia="en-GB"/>
        </w:rPr>
        <w:instrText xml:space="preserve"> REF _Ref144720944 \h </w:instrText>
      </w:r>
      <w:r w:rsidR="0008600C">
        <w:rPr>
          <w:lang w:eastAsia="en-GB"/>
        </w:rPr>
      </w:r>
      <w:r w:rsidR="0008600C">
        <w:rPr>
          <w:lang w:eastAsia="en-GB"/>
        </w:rPr>
        <w:fldChar w:fldCharType="separate"/>
      </w:r>
      <w:r w:rsidR="0008600C">
        <w:t xml:space="preserve">Box </w:t>
      </w:r>
      <w:r w:rsidR="0008600C">
        <w:rPr>
          <w:noProof/>
        </w:rPr>
        <w:t>2</w:t>
      </w:r>
      <w:r w:rsidR="0008600C">
        <w:rPr>
          <w:lang w:eastAsia="en-GB"/>
        </w:rPr>
        <w:fldChar w:fldCharType="end"/>
      </w:r>
      <w:r w:rsidR="000C19D3">
        <w:rPr>
          <w:lang w:eastAsia="en-GB"/>
        </w:rPr>
        <w:fldChar w:fldCharType="begin"/>
      </w:r>
      <w:r w:rsidR="000C19D3">
        <w:rPr>
          <w:lang w:eastAsia="en-GB"/>
        </w:rPr>
        <w:instrText xml:space="preserve"> REF _Ref144719633 \h </w:instrText>
      </w:r>
      <w:r w:rsidR="000C19D3">
        <w:rPr>
          <w:lang w:eastAsia="en-GB"/>
        </w:rPr>
      </w:r>
      <w:r w:rsidR="00B33BBD">
        <w:rPr>
          <w:lang w:eastAsia="en-GB"/>
        </w:rPr>
        <w:fldChar w:fldCharType="separate"/>
      </w:r>
      <w:r w:rsidR="000C19D3">
        <w:rPr>
          <w:lang w:eastAsia="en-GB"/>
        </w:rPr>
        <w:fldChar w:fldCharType="end"/>
      </w:r>
      <w:r w:rsidR="000C19D3">
        <w:rPr>
          <w:lang w:eastAsia="en-GB"/>
        </w:rPr>
        <w:t xml:space="preserve"> </w:t>
      </w:r>
      <w:r w:rsidR="00FF2998" w:rsidRPr="00D00972">
        <w:rPr>
          <w:lang w:eastAsia="en-GB"/>
        </w:rPr>
        <w:t>for more details). These RGs identified relevant AMR data in all 16 focus countries.</w:t>
      </w:r>
      <w:r w:rsidR="00FF2998" w:rsidRPr="00D00972" w:rsidDel="007D2E99">
        <w:rPr>
          <w:lang w:eastAsia="en-GB"/>
        </w:rPr>
        <w:t xml:space="preserve"> </w:t>
      </w:r>
      <w:r w:rsidR="00FF2998" w:rsidRPr="00D00972">
        <w:rPr>
          <w:lang w:eastAsia="en-GB"/>
        </w:rPr>
        <w:t>This was also indicated in Global Antibiotic Resistance Partnership (GARP) reports</w:t>
      </w:r>
      <w:r w:rsidR="00FF2998" w:rsidRPr="00D00972">
        <w:rPr>
          <w:sz w:val="20"/>
          <w:szCs w:val="20"/>
          <w:vertAlign w:val="superscript"/>
          <w:lang w:eastAsia="en-GB"/>
        </w:rPr>
        <w:footnoteReference w:id="68"/>
      </w:r>
      <w:r w:rsidR="00FF2998" w:rsidRPr="00D00972">
        <w:rPr>
          <w:lang w:eastAsia="en-GB"/>
        </w:rPr>
        <w:t xml:space="preserve"> for seven of the</w:t>
      </w:r>
      <w:r w:rsidR="00FF2998" w:rsidRPr="00D00972" w:rsidDel="00E3708B">
        <w:rPr>
          <w:lang w:eastAsia="en-GB"/>
        </w:rPr>
        <w:t xml:space="preserve"> </w:t>
      </w:r>
      <w:r w:rsidR="00FF2998" w:rsidRPr="00D00972">
        <w:rPr>
          <w:lang w:eastAsia="en-GB"/>
        </w:rPr>
        <w:t xml:space="preserve">eight countries where GARP reports were </w:t>
      </w:r>
      <w:r w:rsidR="00982509">
        <w:rPr>
          <w:lang w:eastAsia="en-GB"/>
        </w:rPr>
        <w:t>available</w:t>
      </w:r>
      <w:r w:rsidR="00FF2998" w:rsidRPr="00D00972">
        <w:rPr>
          <w:lang w:eastAsia="en-GB"/>
        </w:rPr>
        <w:t>.</w:t>
      </w:r>
      <w:r w:rsidR="00FF2998" w:rsidRPr="00D00972">
        <w:rPr>
          <w:sz w:val="20"/>
          <w:szCs w:val="20"/>
          <w:vertAlign w:val="superscript"/>
          <w:lang w:eastAsia="en-GB"/>
        </w:rPr>
        <w:footnoteReference w:id="69"/>
      </w:r>
      <w:r w:rsidR="00FF2998" w:rsidRPr="00D00972">
        <w:rPr>
          <w:lang w:eastAsia="en-GB"/>
        </w:rPr>
        <w:t xml:space="preserve"> In the main, existing data was derived from either research or testing in non-government health facilities. Given the focus on active surveillance for AH within the Fleming Fund, </w:t>
      </w:r>
      <w:r w:rsidR="006755A0">
        <w:rPr>
          <w:lang w:eastAsia="en-GB"/>
        </w:rPr>
        <w:t>one should</w:t>
      </w:r>
      <w:r w:rsidR="00FF2998" w:rsidRPr="00D00972">
        <w:rPr>
          <w:lang w:eastAsia="en-GB"/>
        </w:rPr>
        <w:t xml:space="preserve"> note that where formal AH systems existed, they relied on passive surveillance approaches drawing on samples taken as part of general </w:t>
      </w:r>
      <w:r w:rsidR="00BE6F91">
        <w:rPr>
          <w:lang w:eastAsia="en-GB"/>
        </w:rPr>
        <w:t>AH</w:t>
      </w:r>
      <w:r w:rsidR="00FF2998" w:rsidRPr="00D00972">
        <w:rPr>
          <w:lang w:eastAsia="en-GB"/>
        </w:rPr>
        <w:t xml:space="preserve"> support delivered through government systems.</w:t>
      </w:r>
    </w:p>
    <w:p w14:paraId="48D7AE27" w14:textId="24279BA6" w:rsidR="001F4525" w:rsidRDefault="00A738C3" w:rsidP="00077066">
      <w:pPr>
        <w:pStyle w:val="ItadNormalText"/>
      </w:pPr>
      <w:r w:rsidRPr="006755A0">
        <w:rPr>
          <w:b/>
          <w:bCs/>
        </w:rPr>
        <w:t xml:space="preserve">Finding 2.1.3: </w:t>
      </w:r>
      <w:r w:rsidR="00FF2998" w:rsidRPr="006755A0">
        <w:rPr>
          <w:b/>
          <w:bCs/>
        </w:rPr>
        <w:t>Few laboratories subsequently supported by the Fleming</w:t>
      </w:r>
      <w:r w:rsidR="00FF2998" w:rsidRPr="006755A0" w:rsidDel="00874568">
        <w:rPr>
          <w:b/>
          <w:bCs/>
        </w:rPr>
        <w:t xml:space="preserve"> </w:t>
      </w:r>
      <w:r w:rsidR="00FF2998" w:rsidRPr="006755A0">
        <w:rPr>
          <w:b/>
          <w:bCs/>
        </w:rPr>
        <w:t>Fund had the processes in place needed to generate high-quality AMR data. There is no evidence suggesting that other government supported laboratories were better situated.</w:t>
      </w:r>
      <w:r w:rsidR="00FF2998" w:rsidRPr="00D00972">
        <w:t xml:space="preserve"> </w:t>
      </w:r>
      <w:r w:rsidR="00FF2998" w:rsidRPr="00D00972">
        <w:rPr>
          <w:bCs/>
        </w:rPr>
        <w:t xml:space="preserve">Direct assessment of the quality of data produced is </w:t>
      </w:r>
      <w:r w:rsidR="00FF2998" w:rsidRPr="00D00972">
        <w:t xml:space="preserve">challenging in the absence of a working and credible </w:t>
      </w:r>
      <w:r w:rsidR="00A5658C">
        <w:t>E</w:t>
      </w:r>
      <w:r w:rsidR="00FF2998" w:rsidRPr="00D00972">
        <w:t>QA</w:t>
      </w:r>
      <w:r w:rsidR="00A5658C">
        <w:t xml:space="preserve"> system</w:t>
      </w:r>
      <w:r w:rsidR="00FF2998" w:rsidRPr="00D00972">
        <w:t xml:space="preserve"> that verifies procedures used in </w:t>
      </w:r>
      <w:r w:rsidR="00D53EA4" w:rsidRPr="00D00972">
        <w:t xml:space="preserve">the </w:t>
      </w:r>
      <w:r w:rsidR="00FF2998" w:rsidRPr="00D00972">
        <w:t>testing of samples. MA quarterly reporting, which relied on self-reports</w:t>
      </w:r>
      <w:r w:rsidR="00FF2998" w:rsidRPr="00D00972">
        <w:rPr>
          <w:rStyle w:val="FootnoteReference"/>
          <w:rFonts w:eastAsia="Calibri"/>
        </w:rPr>
        <w:footnoteReference w:id="70"/>
      </w:r>
      <w:r w:rsidR="00FF2998" w:rsidRPr="00D00972">
        <w:t xml:space="preserve"> on the presence of internal laboratory QA systems, suggests that there was probably a high degree of variability in the quality of AMR data produced in government</w:t>
      </w:r>
      <w:r w:rsidR="00C97B7E">
        <w:t>-funded</w:t>
      </w:r>
      <w:r w:rsidR="00FF2998" w:rsidRPr="00D00972">
        <w:t xml:space="preserve"> laboratories. Variability existed between Fleming Fund countries, </w:t>
      </w:r>
      <w:bookmarkStart w:id="183" w:name="_Hlk129182341"/>
      <w:bookmarkEnd w:id="180"/>
      <w:r w:rsidR="00FF2998" w:rsidRPr="00D00972">
        <w:t xml:space="preserve">between Fleming </w:t>
      </w:r>
      <w:r w:rsidR="00FF2998" w:rsidRPr="00D00972" w:rsidDel="00874568">
        <w:t>Fund</w:t>
      </w:r>
      <w:r w:rsidR="00D50F4C">
        <w:t>-</w:t>
      </w:r>
      <w:r w:rsidR="00FF2998" w:rsidRPr="00D00972">
        <w:t>supported laboratories within a country, and between</w:t>
      </w:r>
      <w:r w:rsidR="00FF2998" w:rsidRPr="00D00972" w:rsidDel="00874568">
        <w:t xml:space="preserve"> </w:t>
      </w:r>
      <w:r w:rsidR="00FF2998" w:rsidRPr="00D00972">
        <w:t xml:space="preserve">HH and AH, with HH laboratories being more capable of undertaking internally </w:t>
      </w:r>
      <w:r w:rsidR="0044387F" w:rsidRPr="00D00972">
        <w:t>quality</w:t>
      </w:r>
      <w:r w:rsidR="0044387F">
        <w:t>-</w:t>
      </w:r>
      <w:r w:rsidR="00FF2998" w:rsidRPr="00D00972">
        <w:t>assured AMR testing (</w:t>
      </w:r>
      <w:r w:rsidR="00FF2998" w:rsidRPr="00FE6065">
        <w:t xml:space="preserve">see </w:t>
      </w:r>
      <w:r w:rsidR="00FF2998" w:rsidRPr="00FE6065">
        <w:rPr>
          <w:highlight w:val="red"/>
        </w:rPr>
        <w:fldChar w:fldCharType="begin"/>
      </w:r>
      <w:r w:rsidR="00FF2998" w:rsidRPr="00FE6065">
        <w:rPr>
          <w:highlight w:val="red"/>
        </w:rPr>
        <w:instrText xml:space="preserve"> REF _Ref118197336 \h </w:instrText>
      </w:r>
      <w:r w:rsidR="00D00972" w:rsidRPr="00FE6065">
        <w:rPr>
          <w:highlight w:val="red"/>
        </w:rPr>
        <w:instrText xml:space="preserve"> \* MERGEFORMAT </w:instrText>
      </w:r>
      <w:r w:rsidR="00FF2998" w:rsidRPr="00FE6065">
        <w:rPr>
          <w:highlight w:val="red"/>
        </w:rPr>
      </w:r>
      <w:r w:rsidR="00FF2998" w:rsidRPr="00FE6065">
        <w:rPr>
          <w:highlight w:val="red"/>
        </w:rPr>
        <w:fldChar w:fldCharType="separate"/>
      </w:r>
      <w:r w:rsidR="00EF1A42" w:rsidRPr="00EF1A42">
        <w:fldChar w:fldCharType="begin"/>
      </w:r>
      <w:r w:rsidR="00EF1A42" w:rsidRPr="00EF1A42">
        <w:instrText xml:space="preserve"> REF _Ref144718851 \h </w:instrText>
      </w:r>
      <w:r w:rsidR="00EF1A42">
        <w:instrText xml:space="preserve"> \* MERGEFORMAT </w:instrText>
      </w:r>
      <w:r w:rsidR="00EF1A42" w:rsidRPr="00EF1A42">
        <w:fldChar w:fldCharType="separate"/>
      </w:r>
      <w:r w:rsidR="00EF1A42" w:rsidRPr="00EF1A42">
        <w:t>Figure 3</w:t>
      </w:r>
      <w:r w:rsidR="00EF1A42" w:rsidRPr="00EF1A42">
        <w:fldChar w:fldCharType="end"/>
      </w:r>
      <w:r w:rsidR="00FF2998" w:rsidRPr="00FE6065">
        <w:t xml:space="preserve"> </w:t>
      </w:r>
      <w:r w:rsidR="00FF2998" w:rsidRPr="00FE6065">
        <w:rPr>
          <w:highlight w:val="red"/>
        </w:rPr>
        <w:fldChar w:fldCharType="end"/>
      </w:r>
      <w:r w:rsidR="00FF2998" w:rsidRPr="00FE6065">
        <w:t>).</w:t>
      </w:r>
      <w:r w:rsidR="00FF2998" w:rsidRPr="00D00972">
        <w:t xml:space="preserve"> Only 20% of the focus countries initially achieved the </w:t>
      </w:r>
      <w:r w:rsidR="00AA6A7B">
        <w:t>‘</w:t>
      </w:r>
      <w:r w:rsidR="00FF2998" w:rsidRPr="00D00972">
        <w:t>core</w:t>
      </w:r>
      <w:r w:rsidR="00AA6A7B">
        <w:t>’</w:t>
      </w:r>
      <w:r w:rsidR="00FF2998" w:rsidRPr="00D00972">
        <w:t xml:space="preserve"> level for quality indicators (the minimum required for reliable testing) on the LSHTM roadmap for HH, with only one country achieving this in AH. This meant that few laboratories were able to process </w:t>
      </w:r>
      <w:r w:rsidR="000C2D5D">
        <w:t>AST</w:t>
      </w:r>
      <w:r w:rsidR="00FF2998" w:rsidRPr="00D00972">
        <w:t xml:space="preserve"> for all priority pathogens according to updated SOPs. In general, reference laboratories provided better quality AMR testing than surveillance sites or </w:t>
      </w:r>
      <w:r w:rsidR="00FF2998" w:rsidRPr="00D00972" w:rsidDel="00874568">
        <w:t>facility</w:t>
      </w:r>
      <w:r w:rsidR="00FF2998" w:rsidRPr="00D00972">
        <w:t>-level laboratories and our KIs did not suggest that the situation was different in government</w:t>
      </w:r>
      <w:r w:rsidR="00FE6065">
        <w:t>-</w:t>
      </w:r>
      <w:r w:rsidR="00FF2998" w:rsidRPr="00D00972">
        <w:t xml:space="preserve">funded facilities not supported through the Fleming Fund. In general, </w:t>
      </w:r>
      <w:r w:rsidR="006B53D0" w:rsidRPr="00D00972">
        <w:t>country</w:t>
      </w:r>
      <w:r w:rsidR="006B53D0">
        <w:t>-</w:t>
      </w:r>
      <w:r w:rsidR="006B53D0" w:rsidRPr="00D00972">
        <w:t xml:space="preserve">level </w:t>
      </w:r>
      <w:r w:rsidR="00FF2998" w:rsidRPr="00D00972">
        <w:t>KIs</w:t>
      </w:r>
      <w:r w:rsidR="00C62132" w:rsidRPr="00D00972">
        <w:t xml:space="preserve"> </w:t>
      </w:r>
      <w:r w:rsidR="00FF2998" w:rsidRPr="00D00972">
        <w:t>stated that other donors</w:t>
      </w:r>
      <w:r w:rsidR="00AA6A7B">
        <w:t>’</w:t>
      </w:r>
      <w:r w:rsidR="00FF2998" w:rsidRPr="00D00972">
        <w:t xml:space="preserve"> funding to increase laboratories</w:t>
      </w:r>
      <w:r w:rsidR="00AA6A7B">
        <w:t>’</w:t>
      </w:r>
      <w:r w:rsidR="00FF2998" w:rsidRPr="00D00972">
        <w:t xml:space="preserve"> capacity focused on testing for </w:t>
      </w:r>
      <w:r w:rsidR="002944F0">
        <w:t xml:space="preserve">tuberculosis (TB) </w:t>
      </w:r>
      <w:r w:rsidR="00FF2998" w:rsidRPr="00D00972">
        <w:t>(through the Global Fund or the US PEPFAR programme to support AID</w:t>
      </w:r>
      <w:r w:rsidR="00C62132" w:rsidRPr="00D00972">
        <w:t>S</w:t>
      </w:r>
      <w:r w:rsidR="00FF2998" w:rsidRPr="00D00972">
        <w:t xml:space="preserve"> programmes) or virology testing (such as for Avian Influenza in AH laboratories).</w:t>
      </w:r>
      <w:bookmarkEnd w:id="183"/>
    </w:p>
    <w:p w14:paraId="67DECC72" w14:textId="2F21F1A6" w:rsidR="000C19D3" w:rsidRDefault="000C19D3" w:rsidP="000C19D3">
      <w:pPr>
        <w:pStyle w:val="Caption"/>
        <w:keepNext/>
      </w:pPr>
      <w:bookmarkStart w:id="184" w:name="_Toc144721400"/>
      <w:r>
        <w:t xml:space="preserve">Box </w:t>
      </w:r>
      <w:r>
        <w:fldChar w:fldCharType="begin"/>
      </w:r>
      <w:r>
        <w:instrText>SEQ Box \* ARABIC</w:instrText>
      </w:r>
      <w:r>
        <w:fldChar w:fldCharType="separate"/>
      </w:r>
      <w:r w:rsidR="009A7BD2">
        <w:rPr>
          <w:noProof/>
        </w:rPr>
        <w:t>5</w:t>
      </w:r>
      <w:r>
        <w:fldChar w:fldCharType="end"/>
      </w:r>
      <w:r>
        <w:t>:</w:t>
      </w:r>
      <w:r w:rsidRPr="000C19D3">
        <w:t xml:space="preserve"> </w:t>
      </w:r>
      <w:r w:rsidRPr="00C3500F">
        <w:t xml:space="preserve">Example of surveillance capacities in </w:t>
      </w:r>
      <w:r>
        <w:t>Timor-Leste</w:t>
      </w:r>
      <w:bookmarkEnd w:id="184"/>
    </w:p>
    <w:tbl>
      <w:tblPr>
        <w:tblStyle w:val="Itadpulloutboxorange"/>
        <w:tblW w:w="0" w:type="auto"/>
        <w:tblLook w:val="04A0" w:firstRow="1" w:lastRow="0" w:firstColumn="1" w:lastColumn="0" w:noHBand="0" w:noVBand="1"/>
      </w:tblPr>
      <w:tblGrid>
        <w:gridCol w:w="9170"/>
      </w:tblGrid>
      <w:tr w:rsidR="001F4525" w14:paraId="21FE2F4F" w14:textId="77777777" w:rsidTr="000C19D3">
        <w:trPr>
          <w:trHeight w:val="1032"/>
        </w:trPr>
        <w:tc>
          <w:tcPr>
            <w:tcW w:w="9170" w:type="dxa"/>
          </w:tcPr>
          <w:p w14:paraId="44ECACBC" w14:textId="09D4BA4C" w:rsidR="001F4525" w:rsidRPr="008A5F96" w:rsidRDefault="001F4525" w:rsidP="00F30820">
            <w:pPr>
              <w:pStyle w:val="FFBoxText"/>
            </w:pPr>
            <w:bookmarkStart w:id="185" w:name="_Hlk129182546"/>
            <w:r w:rsidRPr="008A5F96">
              <w:t xml:space="preserve">Prior to the Fleming Fund, </w:t>
            </w:r>
            <w:r w:rsidR="00B30736">
              <w:t>Timor-Leste</w:t>
            </w:r>
            <w:r w:rsidRPr="008A5F96">
              <w:t xml:space="preserve"> had no functioning AMR surveillance system. In general,</w:t>
            </w:r>
            <w:r w:rsidRPr="008A5F96" w:rsidDel="00D3449C">
              <w:t xml:space="preserve"> </w:t>
            </w:r>
            <w:r w:rsidRPr="008A5F96">
              <w:t>laboratory infrastructure was poor, requiring the Fleming Fund to address underlying issues with electricity outages and flooding.</w:t>
            </w:r>
          </w:p>
          <w:p w14:paraId="46AB8103" w14:textId="14D70BAC" w:rsidR="001F4525" w:rsidRPr="008A5F96" w:rsidRDefault="001F4525" w:rsidP="00F30820">
            <w:pPr>
              <w:pStyle w:val="FFBoxText"/>
            </w:pPr>
            <w:r w:rsidRPr="008A5F96">
              <w:t>Problems with electricity outages at the National Health Laboratory (NHL), which acts as AMR NRL, have been addressed thanks to a back</w:t>
            </w:r>
            <w:r w:rsidR="006B53D0">
              <w:t>-</w:t>
            </w:r>
            <w:r w:rsidRPr="008A5F96">
              <w:t>up generator that now supports the whole laboratory. This generator was previously only used for the TB laboratory as it was procured by the Korea International Cooperation Agency (KOICA). However, thanks to the Fleming Fund investment, the whole NHL is now connected to the back</w:t>
            </w:r>
            <w:r w:rsidR="006B53D0">
              <w:t>-</w:t>
            </w:r>
            <w:r w:rsidRPr="008A5F96">
              <w:t>up generator.</w:t>
            </w:r>
          </w:p>
          <w:p w14:paraId="3C812C54" w14:textId="6AF5CAD4" w:rsidR="001F4525" w:rsidRPr="008A5F96" w:rsidRDefault="001F4525" w:rsidP="00F30820">
            <w:pPr>
              <w:pStyle w:val="FFBoxText"/>
            </w:pPr>
            <w:r w:rsidRPr="008A5F96">
              <w:t>The NHL was also vulnerable to seasonal floodings, causing frequent interruption</w:t>
            </w:r>
            <w:r w:rsidR="007F4DF1" w:rsidRPr="008A5F96">
              <w:t>s</w:t>
            </w:r>
            <w:r w:rsidRPr="008A5F96">
              <w:t xml:space="preserve"> of laboratory services and damage to infrastructure. The Fleming Fund has funded critical flood protection work which was completed in Q1 2022.</w:t>
            </w:r>
          </w:p>
          <w:p w14:paraId="2C9D1A14" w14:textId="5F890514" w:rsidR="001F4525" w:rsidRPr="001F4525" w:rsidRDefault="001F4525" w:rsidP="00F30820">
            <w:pPr>
              <w:pStyle w:val="FFBoxText"/>
              <w:rPr>
                <w:rFonts w:cs="Calibri"/>
              </w:rPr>
            </w:pPr>
            <w:r w:rsidRPr="008A5F96">
              <w:t xml:space="preserve">Aside from general renovation and refurbishment of the NHL, the Fleming Fund also found the need to strengthen the specimen transport system and </w:t>
            </w:r>
            <w:r w:rsidR="007517B2" w:rsidRPr="007517B2">
              <w:t>Laboratory Information Systems</w:t>
            </w:r>
            <w:r w:rsidRPr="008A5F96">
              <w:t>,</w:t>
            </w:r>
            <w:r w:rsidR="007517B2">
              <w:t xml:space="preserve"> </w:t>
            </w:r>
            <w:r w:rsidRPr="008A5F96">
              <w:t>and through the CG hired a procurement consultant to improve national systems for procurement which continue to be a major hindrance for the NHL.</w:t>
            </w:r>
            <w:bookmarkEnd w:id="185"/>
          </w:p>
        </w:tc>
      </w:tr>
    </w:tbl>
    <w:p w14:paraId="68D48694" w14:textId="78D1A285" w:rsidR="00A44EBB" w:rsidRPr="001F4525" w:rsidRDefault="00456C36" w:rsidP="006B53D0">
      <w:pPr>
        <w:pStyle w:val="ItadNormalText"/>
        <w:rPr>
          <w:lang w:eastAsia="en-GB"/>
        </w:rPr>
      </w:pPr>
      <w:bookmarkStart w:id="186" w:name="_Hlk129182698"/>
      <w:r w:rsidRPr="006B53D0">
        <w:rPr>
          <w:b/>
          <w:bCs/>
          <w:lang w:eastAsia="en-GB"/>
        </w:rPr>
        <w:t xml:space="preserve">Finding 2.1.4: </w:t>
      </w:r>
      <w:r w:rsidR="00FF2998" w:rsidRPr="006B53D0">
        <w:rPr>
          <w:b/>
          <w:bCs/>
          <w:lang w:eastAsia="en-GB"/>
        </w:rPr>
        <w:t>The MA</w:t>
      </w:r>
      <w:r w:rsidR="00AA6A7B" w:rsidRPr="006B53D0">
        <w:rPr>
          <w:b/>
          <w:bCs/>
          <w:lang w:eastAsia="en-GB"/>
        </w:rPr>
        <w:t>’</w:t>
      </w:r>
      <w:r w:rsidR="00FF2998" w:rsidRPr="006B53D0">
        <w:rPr>
          <w:b/>
          <w:bCs/>
          <w:lang w:eastAsia="en-GB"/>
        </w:rPr>
        <w:t>s assessment</w:t>
      </w:r>
      <w:r w:rsidR="00CF1F4C" w:rsidRPr="006B53D0">
        <w:rPr>
          <w:b/>
          <w:bCs/>
          <w:lang w:eastAsia="en-GB"/>
        </w:rPr>
        <w:t xml:space="preserve"> of the status of surveillance systems (</w:t>
      </w:r>
      <w:r w:rsidR="00FF2998" w:rsidRPr="006B53D0">
        <w:rPr>
          <w:b/>
          <w:bCs/>
          <w:lang w:eastAsia="en-GB"/>
        </w:rPr>
        <w:t xml:space="preserve"> in 2017 and 2018</w:t>
      </w:r>
      <w:r w:rsidR="00CF1F4C" w:rsidRPr="006B53D0">
        <w:rPr>
          <w:b/>
          <w:bCs/>
          <w:lang w:eastAsia="en-GB"/>
        </w:rPr>
        <w:t>)</w:t>
      </w:r>
      <w:r w:rsidR="00FF2998" w:rsidRPr="006B53D0">
        <w:rPr>
          <w:b/>
          <w:bCs/>
          <w:lang w:eastAsia="en-GB"/>
        </w:rPr>
        <w:t xml:space="preserve"> indicated significant variation in countries</w:t>
      </w:r>
      <w:r w:rsidR="00AA6A7B" w:rsidRPr="006B53D0">
        <w:rPr>
          <w:b/>
          <w:bCs/>
          <w:lang w:eastAsia="en-GB"/>
        </w:rPr>
        <w:t>’</w:t>
      </w:r>
      <w:r w:rsidR="00FF2998" w:rsidRPr="006B53D0">
        <w:rPr>
          <w:b/>
          <w:bCs/>
          <w:lang w:eastAsia="en-GB"/>
        </w:rPr>
        <w:t xml:space="preserve"> surveillance systems; although, in broad terms, HH systems were stronger than AH systems.</w:t>
      </w:r>
      <w:r w:rsidR="00FF2998" w:rsidRPr="001F4525">
        <w:rPr>
          <w:lang w:eastAsia="en-GB"/>
        </w:rPr>
        <w:t xml:space="preserve"> Subsequent experience suggests </w:t>
      </w:r>
      <w:r w:rsidR="00035C4E">
        <w:rPr>
          <w:lang w:eastAsia="en-GB"/>
        </w:rPr>
        <w:t>overestimat</w:t>
      </w:r>
      <w:r w:rsidR="00FF2998" w:rsidRPr="001F4525">
        <w:rPr>
          <w:lang w:eastAsia="en-GB"/>
        </w:rPr>
        <w:t xml:space="preserve">ion of the actual status of surveillance systems across the portfolio of countries from this original analysis. </w:t>
      </w:r>
      <w:r w:rsidR="00411A32" w:rsidRPr="006B53D0">
        <w:rPr>
          <w:bCs/>
          <w:lang w:eastAsia="en-GB"/>
        </w:rPr>
        <w:t>T</w:t>
      </w:r>
      <w:r w:rsidR="003F73AA" w:rsidRPr="006B53D0">
        <w:rPr>
          <w:bCs/>
          <w:lang w:eastAsia="en-GB"/>
        </w:rPr>
        <w:t xml:space="preserve">he assessments </w:t>
      </w:r>
      <w:r w:rsidR="006B53D0">
        <w:rPr>
          <w:bCs/>
          <w:lang w:eastAsia="en-GB"/>
        </w:rPr>
        <w:t>followed</w:t>
      </w:r>
      <w:r w:rsidR="003F73AA" w:rsidRPr="006B53D0">
        <w:rPr>
          <w:bCs/>
          <w:lang w:eastAsia="en-GB"/>
        </w:rPr>
        <w:t xml:space="preserve"> the MA</w:t>
      </w:r>
      <w:r w:rsidR="00AA6A7B">
        <w:rPr>
          <w:bCs/>
          <w:lang w:eastAsia="en-GB"/>
        </w:rPr>
        <w:t>’</w:t>
      </w:r>
      <w:r w:rsidR="003F73AA" w:rsidRPr="006B53D0">
        <w:rPr>
          <w:bCs/>
          <w:lang w:eastAsia="en-GB"/>
        </w:rPr>
        <w:t>s document</w:t>
      </w:r>
      <w:r w:rsidR="00D81613" w:rsidRPr="006B53D0">
        <w:rPr>
          <w:bCs/>
          <w:lang w:eastAsia="en-GB"/>
        </w:rPr>
        <w:t xml:space="preserve"> based on the A</w:t>
      </w:r>
      <w:r w:rsidR="006B53D0">
        <w:rPr>
          <w:bCs/>
          <w:lang w:eastAsia="en-GB"/>
        </w:rPr>
        <w:t>–</w:t>
      </w:r>
      <w:r w:rsidR="00D81613" w:rsidRPr="006B53D0">
        <w:rPr>
          <w:bCs/>
          <w:lang w:eastAsia="en-GB"/>
        </w:rPr>
        <w:t>D categorisation of the status of surveillance systems in 2017 and initial in-country assessments in 2017 and 2018</w:t>
      </w:r>
      <w:r w:rsidR="00D81613">
        <w:rPr>
          <w:lang w:eastAsia="en-GB"/>
        </w:rPr>
        <w:t xml:space="preserve">. </w:t>
      </w:r>
      <w:r w:rsidR="00FF2998" w:rsidRPr="001F4525">
        <w:rPr>
          <w:bCs/>
          <w:lang w:eastAsia="en-GB"/>
        </w:rPr>
        <w:t>T</w:t>
      </w:r>
      <w:r w:rsidR="00FF2998" w:rsidRPr="001F4525">
        <w:rPr>
          <w:lang w:eastAsia="en-GB"/>
        </w:rPr>
        <w:t>he MA</w:t>
      </w:r>
      <w:r w:rsidR="00AA6A7B">
        <w:rPr>
          <w:lang w:eastAsia="en-GB"/>
        </w:rPr>
        <w:t>’</w:t>
      </w:r>
      <w:r w:rsidR="00FF2998" w:rsidRPr="001F4525">
        <w:rPr>
          <w:lang w:eastAsia="en-GB"/>
        </w:rPr>
        <w:t>s initial implementation plan was informed by experience within the team, a review of relevant and accessible documentation, and engagement in four countries where work started in 2018.</w:t>
      </w:r>
      <w:r w:rsidR="00FF2998" w:rsidRPr="001F4525">
        <w:rPr>
          <w:sz w:val="20"/>
          <w:szCs w:val="20"/>
          <w:vertAlign w:val="superscript"/>
          <w:lang w:eastAsia="en-GB"/>
        </w:rPr>
        <w:footnoteReference w:id="71"/>
      </w:r>
      <w:r w:rsidR="00FF2998" w:rsidRPr="001F4525">
        <w:rPr>
          <w:lang w:eastAsia="en-GB"/>
        </w:rPr>
        <w:t xml:space="preserve"> During </w:t>
      </w:r>
      <w:r w:rsidR="00222C91" w:rsidRPr="001F4525">
        <w:rPr>
          <w:lang w:eastAsia="en-GB"/>
        </w:rPr>
        <w:t>phase 1</w:t>
      </w:r>
      <w:r w:rsidR="00FF2998" w:rsidRPr="001F4525">
        <w:rPr>
          <w:lang w:eastAsia="en-GB"/>
        </w:rPr>
        <w:t>, staggered completion of MA assessments of laboratories</w:t>
      </w:r>
      <w:r w:rsidR="00AA6A7B">
        <w:rPr>
          <w:lang w:eastAsia="en-GB"/>
        </w:rPr>
        <w:t>’</w:t>
      </w:r>
      <w:r w:rsidR="00FF2998" w:rsidRPr="001F4525">
        <w:rPr>
          <w:lang w:eastAsia="en-GB"/>
        </w:rPr>
        <w:t xml:space="preserve"> actual capacity, as the MA engaged with more countries, revealed the expected extent of variation in both the status of laboratories that the Fleming Fund was due to support and governments</w:t>
      </w:r>
      <w:r w:rsidR="00AA6A7B">
        <w:rPr>
          <w:lang w:eastAsia="en-GB"/>
        </w:rPr>
        <w:t>’</w:t>
      </w:r>
      <w:r w:rsidR="00FF2998" w:rsidRPr="001F4525">
        <w:rPr>
          <w:lang w:eastAsia="en-GB"/>
        </w:rPr>
        <w:t xml:space="preserve"> level of ambition for AMR surveillance development. For example, sites in some countries were found to lack reliable water and electricity supplies that are fundamental in undertaking AMR testing. Better information highlighted potential </w:t>
      </w:r>
      <w:r w:rsidR="00035C4E">
        <w:rPr>
          <w:lang w:eastAsia="en-GB"/>
        </w:rPr>
        <w:t>overestimat</w:t>
      </w:r>
      <w:r w:rsidR="00FF2998" w:rsidRPr="001F4525">
        <w:rPr>
          <w:lang w:eastAsia="en-GB"/>
        </w:rPr>
        <w:t xml:space="preserve">ion of the </w:t>
      </w:r>
      <w:bookmarkStart w:id="187" w:name="_Hlk128393901"/>
      <w:r w:rsidR="00FF2998" w:rsidRPr="001F4525">
        <w:rPr>
          <w:lang w:eastAsia="en-GB"/>
        </w:rPr>
        <w:t>actual status of surveillance systems across the portfolio of countries</w:t>
      </w:r>
      <w:bookmarkEnd w:id="187"/>
      <w:r w:rsidR="00FF2998" w:rsidRPr="001F4525">
        <w:rPr>
          <w:lang w:eastAsia="en-GB"/>
        </w:rPr>
        <w:t>. This, in turn</w:t>
      </w:r>
      <w:r w:rsidR="008B164E">
        <w:rPr>
          <w:lang w:eastAsia="en-GB"/>
        </w:rPr>
        <w:t>,</w:t>
      </w:r>
      <w:r w:rsidR="00FF2998" w:rsidRPr="001F4525">
        <w:rPr>
          <w:lang w:eastAsia="en-GB"/>
        </w:rPr>
        <w:t xml:space="preserve"> has implications for assessing actual performance against expectations that were initially unrealistic in terms of </w:t>
      </w:r>
      <w:r w:rsidR="008B164E">
        <w:rPr>
          <w:lang w:eastAsia="en-GB"/>
        </w:rPr>
        <w:t xml:space="preserve">the </w:t>
      </w:r>
      <w:r w:rsidR="00FF2998" w:rsidRPr="001F4525">
        <w:rPr>
          <w:lang w:eastAsia="en-GB"/>
        </w:rPr>
        <w:t xml:space="preserve">development of surveillance systems. This challenge was exacerbated by COVID-19 as described in section </w:t>
      </w:r>
      <w:r w:rsidR="00FF2998" w:rsidRPr="001F4525">
        <w:rPr>
          <w:lang w:eastAsia="en-GB"/>
        </w:rPr>
        <w:fldChar w:fldCharType="begin"/>
      </w:r>
      <w:r w:rsidR="00FF2998" w:rsidRPr="001F4525">
        <w:rPr>
          <w:lang w:eastAsia="en-GB"/>
        </w:rPr>
        <w:instrText xml:space="preserve"> REF _Ref118235035 \r \h  \* MERGEFORMAT </w:instrText>
      </w:r>
      <w:r w:rsidR="00FF2998" w:rsidRPr="001F4525">
        <w:rPr>
          <w:lang w:eastAsia="en-GB"/>
        </w:rPr>
      </w:r>
      <w:r w:rsidR="00FF2998" w:rsidRPr="001F4525">
        <w:rPr>
          <w:lang w:eastAsia="en-GB"/>
        </w:rPr>
        <w:fldChar w:fldCharType="separate"/>
      </w:r>
      <w:r w:rsidR="00FF2998" w:rsidRPr="001F4525">
        <w:rPr>
          <w:lang w:eastAsia="en-GB"/>
        </w:rPr>
        <w:t>1.5</w:t>
      </w:r>
      <w:r w:rsidR="00FF2998" w:rsidRPr="001F4525">
        <w:rPr>
          <w:lang w:eastAsia="en-GB"/>
        </w:rPr>
        <w:fldChar w:fldCharType="end"/>
      </w:r>
      <w:r w:rsidR="00FF2998" w:rsidRPr="001F4525">
        <w:rPr>
          <w:lang w:eastAsia="en-GB"/>
        </w:rPr>
        <w:t xml:space="preserve"> </w:t>
      </w:r>
      <w:r w:rsidR="00FF2998" w:rsidRPr="005C7140">
        <w:rPr>
          <w:lang w:eastAsia="en-GB"/>
        </w:rPr>
        <w:t xml:space="preserve">and </w:t>
      </w:r>
      <w:r w:rsidR="00EE25DC">
        <w:rPr>
          <w:lang w:eastAsia="en-GB"/>
        </w:rPr>
        <w:fldChar w:fldCharType="begin"/>
      </w:r>
      <w:r w:rsidR="00EE25DC">
        <w:rPr>
          <w:lang w:eastAsia="en-GB"/>
        </w:rPr>
        <w:instrText xml:space="preserve"> REF _Ref144719880 \h </w:instrText>
      </w:r>
      <w:r w:rsidR="00EE25DC">
        <w:rPr>
          <w:lang w:eastAsia="en-GB"/>
        </w:rPr>
      </w:r>
      <w:r w:rsidR="00EE25DC">
        <w:rPr>
          <w:lang w:eastAsia="en-GB"/>
        </w:rPr>
        <w:fldChar w:fldCharType="separate"/>
      </w:r>
      <w:r w:rsidR="0031444E">
        <w:t xml:space="preserve">Box </w:t>
      </w:r>
      <w:r w:rsidR="0031444E">
        <w:rPr>
          <w:noProof/>
        </w:rPr>
        <w:t>6</w:t>
      </w:r>
      <w:r w:rsidR="00EE25DC">
        <w:rPr>
          <w:lang w:eastAsia="en-GB"/>
        </w:rPr>
        <w:fldChar w:fldCharType="end"/>
      </w:r>
      <w:r w:rsidR="00FF2998" w:rsidRPr="006B53D0">
        <w:t>).</w:t>
      </w:r>
    </w:p>
    <w:p w14:paraId="71428285" w14:textId="77777777" w:rsidR="00FF2998" w:rsidRPr="008343D7" w:rsidRDefault="00FF2998" w:rsidP="0092653F">
      <w:pPr>
        <w:pStyle w:val="ItadH3"/>
      </w:pPr>
      <w:bookmarkStart w:id="188" w:name="_Ref128746797"/>
      <w:bookmarkStart w:id="189" w:name="_Toc144049364"/>
      <w:bookmarkStart w:id="190" w:name="_Toc144715811"/>
      <w:bookmarkEnd w:id="186"/>
      <w:r w:rsidRPr="008343D7">
        <w:t>Had the quantity and quality of data on AMR changed by mid-2022?</w:t>
      </w:r>
      <w:bookmarkEnd w:id="188"/>
      <w:bookmarkEnd w:id="189"/>
      <w:bookmarkEnd w:id="190"/>
    </w:p>
    <w:p w14:paraId="1F961A5C" w14:textId="7BE72A34" w:rsidR="00FF2998" w:rsidRPr="001F4525" w:rsidRDefault="215D7996" w:rsidP="005F63A2">
      <w:pPr>
        <w:pStyle w:val="ItadNormalText"/>
        <w:rPr>
          <w:lang w:eastAsia="en-GB"/>
        </w:rPr>
      </w:pPr>
      <w:bookmarkStart w:id="191" w:name="_Hlk129253500"/>
      <w:r w:rsidRPr="005F63A2">
        <w:rPr>
          <w:b/>
          <w:bCs/>
          <w:lang w:eastAsia="en-GB"/>
        </w:rPr>
        <w:t xml:space="preserve">Finding </w:t>
      </w:r>
      <w:r w:rsidR="2FD8F301" w:rsidRPr="005F63A2">
        <w:rPr>
          <w:b/>
          <w:bCs/>
          <w:lang w:eastAsia="en-GB"/>
        </w:rPr>
        <w:t xml:space="preserve">2.1.5: </w:t>
      </w:r>
      <w:r w:rsidR="4BD3A707" w:rsidRPr="005F63A2">
        <w:rPr>
          <w:b/>
          <w:bCs/>
          <w:lang w:eastAsia="en-GB"/>
        </w:rPr>
        <w:t>By December 2022, 14 out of the 16 focus countries</w:t>
      </w:r>
      <w:r w:rsidR="00FF2998" w:rsidRPr="005F63A2">
        <w:rPr>
          <w:rStyle w:val="FootnoteReference"/>
          <w:rFonts w:eastAsia="Times New Roman"/>
          <w:b/>
          <w:bCs/>
          <w:color w:val="3B3B3C" w:themeColor="text1"/>
          <w:lang w:eastAsia="en-GB"/>
        </w:rPr>
        <w:footnoteReference w:id="72"/>
      </w:r>
      <w:r w:rsidR="4BD3A707" w:rsidRPr="005F63A2">
        <w:rPr>
          <w:b/>
          <w:bCs/>
          <w:lang w:eastAsia="en-GB"/>
        </w:rPr>
        <w:t xml:space="preserve"> had received 36 months or more of Fleming Fund support and so the underlying assumption is that increased data </w:t>
      </w:r>
      <w:r w:rsidR="1909354E" w:rsidRPr="005F63A2">
        <w:rPr>
          <w:b/>
          <w:bCs/>
          <w:lang w:eastAsia="en-GB"/>
        </w:rPr>
        <w:t xml:space="preserve">generation </w:t>
      </w:r>
      <w:r w:rsidR="4BD3A707" w:rsidRPr="005F63A2">
        <w:rPr>
          <w:b/>
          <w:bCs/>
          <w:lang w:eastAsia="en-GB"/>
        </w:rPr>
        <w:t>should be seen. The MA</w:t>
      </w:r>
      <w:r w:rsidR="12EABA28" w:rsidRPr="005F63A2">
        <w:rPr>
          <w:b/>
          <w:bCs/>
          <w:lang w:eastAsia="en-GB"/>
        </w:rPr>
        <w:t>’</w:t>
      </w:r>
      <w:r w:rsidR="4BD3A707" w:rsidRPr="005F63A2">
        <w:rPr>
          <w:b/>
          <w:bCs/>
          <w:lang w:eastAsia="en-GB"/>
        </w:rPr>
        <w:t>s reporting</w:t>
      </w:r>
      <w:r w:rsidR="70D5C87E" w:rsidRPr="005F63A2">
        <w:rPr>
          <w:b/>
          <w:bCs/>
          <w:lang w:eastAsia="en-GB"/>
        </w:rPr>
        <w:t>,</w:t>
      </w:r>
      <w:r w:rsidR="4BD3A707" w:rsidRPr="005F63A2">
        <w:rPr>
          <w:b/>
          <w:bCs/>
          <w:lang w:eastAsia="en-GB"/>
        </w:rPr>
        <w:t xml:space="preserve"> on </w:t>
      </w:r>
      <w:r w:rsidR="4BD3A707" w:rsidRPr="005F63A2">
        <w:rPr>
          <w:b/>
          <w:bCs/>
        </w:rPr>
        <w:t>the number of Fleming Fund</w:t>
      </w:r>
      <w:r w:rsidR="0A0365C3" w:rsidRPr="005F63A2">
        <w:rPr>
          <w:b/>
          <w:bCs/>
        </w:rPr>
        <w:t>-</w:t>
      </w:r>
      <w:r w:rsidR="4BD3A707" w:rsidRPr="005F63A2">
        <w:rPr>
          <w:b/>
          <w:bCs/>
        </w:rPr>
        <w:t>supported HH and AH sites showing progress through the LSHTM roadmap</w:t>
      </w:r>
      <w:r w:rsidR="70D5C87E" w:rsidRPr="005F63A2">
        <w:rPr>
          <w:b/>
          <w:bCs/>
        </w:rPr>
        <w:t>,</w:t>
      </w:r>
      <w:r w:rsidR="4BD3A707" w:rsidRPr="005F63A2">
        <w:rPr>
          <w:b/>
          <w:bCs/>
        </w:rPr>
        <w:t xml:space="preserve"> suggest</w:t>
      </w:r>
      <w:r w:rsidR="70D5C87E" w:rsidRPr="005F63A2">
        <w:rPr>
          <w:b/>
          <w:bCs/>
        </w:rPr>
        <w:t>s</w:t>
      </w:r>
      <w:r w:rsidR="4BD3A707" w:rsidRPr="005F63A2">
        <w:rPr>
          <w:b/>
          <w:bCs/>
        </w:rPr>
        <w:t xml:space="preserve"> that significant implementation failure was not expected.</w:t>
      </w:r>
      <w:r w:rsidR="4BD3A707" w:rsidRPr="001F4525">
        <w:t xml:space="preserve"> The initial assumption was that increased quantities of data would be found after 36 months of support. In practice, by June 2022 </w:t>
      </w:r>
      <w:r w:rsidR="30A4F697">
        <w:t>there is some evidence that</w:t>
      </w:r>
      <w:r w:rsidR="4BD3A707" w:rsidRPr="001F4525">
        <w:t xml:space="preserve"> data availability increased in 11 out of the 16 countries where the evaluation collected data .</w:t>
      </w:r>
      <w:r w:rsidR="0009646D">
        <w:rPr>
          <w:rStyle w:val="FootnoteReference"/>
          <w:color w:val="3B3B3C" w:themeColor="text1"/>
        </w:rPr>
        <w:footnoteReference w:id="73"/>
      </w:r>
      <w:r w:rsidR="4BD3A707" w:rsidRPr="001F4525">
        <w:t xml:space="preserve"> </w:t>
      </w:r>
      <w:r w:rsidR="4BD3A707" w:rsidRPr="001F4525">
        <w:rPr>
          <w:rFonts w:eastAsia="Calibri"/>
        </w:rPr>
        <w:t>Recognising that our data collection took place in the first half of 2022 – generally with six to nine months of implementation remaining – we asked KIs whether further progress was expected in generating AMR data by the end of 2022.</w:t>
      </w:r>
      <w:r w:rsidR="4BD3A707" w:rsidRPr="001F4525" w:rsidDel="007D2E99">
        <w:rPr>
          <w:rFonts w:eastAsia="Calibri"/>
        </w:rPr>
        <w:t xml:space="preserve"> </w:t>
      </w:r>
      <w:r w:rsidR="4BD3A707" w:rsidRPr="001F4525">
        <w:rPr>
          <w:rFonts w:eastAsia="Calibri"/>
        </w:rPr>
        <w:t>This was particularly relevant where countries had not yet completed laboratory renovation or received Fleming Fund-procured equipment ).</w:t>
      </w:r>
      <w:r w:rsidR="4BD3A707" w:rsidRPr="001F4525" w:rsidDel="007D2E99">
        <w:rPr>
          <w:rFonts w:eastAsia="Calibri"/>
        </w:rPr>
        <w:t xml:space="preserve"> </w:t>
      </w:r>
      <w:r w:rsidR="4BD3A707" w:rsidRPr="001F4525">
        <w:rPr>
          <w:rFonts w:eastAsia="Calibri"/>
        </w:rPr>
        <w:t xml:space="preserve">Further progress was expected in </w:t>
      </w:r>
      <w:r w:rsidR="03FECAC7">
        <w:rPr>
          <w:rFonts w:eastAsia="Calibri"/>
        </w:rPr>
        <w:t xml:space="preserve">nine out of </w:t>
      </w:r>
      <w:r w:rsidR="4BD3A707" w:rsidRPr="001F4525">
        <w:rPr>
          <w:rFonts w:eastAsia="Calibri"/>
        </w:rPr>
        <w:t xml:space="preserve">16 (57%) HH systems, and in </w:t>
      </w:r>
      <w:r w:rsidR="03FECAC7">
        <w:rPr>
          <w:rFonts w:eastAsia="Calibri"/>
        </w:rPr>
        <w:t xml:space="preserve">six out of </w:t>
      </w:r>
      <w:r w:rsidR="4BD3A707" w:rsidRPr="001F4525">
        <w:rPr>
          <w:rFonts w:eastAsia="Calibri"/>
        </w:rPr>
        <w:t xml:space="preserve">16 (38%) AH systems by the end of 2022 when </w:t>
      </w:r>
      <w:r w:rsidR="03FECAC7">
        <w:rPr>
          <w:rFonts w:eastAsia="Calibri"/>
        </w:rPr>
        <w:t xml:space="preserve">most </w:t>
      </w:r>
      <w:r w:rsidR="2658EF50" w:rsidRPr="001F4525">
        <w:rPr>
          <w:rFonts w:eastAsia="Calibri"/>
        </w:rPr>
        <w:t>phase 1</w:t>
      </w:r>
      <w:r w:rsidR="4BD3A707" w:rsidRPr="001F4525">
        <w:rPr>
          <w:rFonts w:eastAsia="Calibri"/>
        </w:rPr>
        <w:t xml:space="preserve"> implementation ceased.</w:t>
      </w:r>
    </w:p>
    <w:p w14:paraId="5C5D5FDB" w14:textId="7709DCAF" w:rsidR="001F4525" w:rsidRPr="001F4525" w:rsidRDefault="00FF2998" w:rsidP="001F4525">
      <w:pPr>
        <w:widowControl w:val="0"/>
        <w:spacing w:before="120" w:after="120"/>
        <w:rPr>
          <w:color w:val="3B3B3C" w:themeColor="text1"/>
        </w:rPr>
      </w:pPr>
      <w:bookmarkStart w:id="192" w:name="_Hlk136460483"/>
      <w:r w:rsidRPr="001F4525">
        <w:rPr>
          <w:color w:val="3B3B3C" w:themeColor="text1"/>
        </w:rPr>
        <w:t>The MA</w:t>
      </w:r>
      <w:r w:rsidR="00AA6A7B">
        <w:rPr>
          <w:color w:val="3B3B3C" w:themeColor="text1"/>
        </w:rPr>
        <w:t>’</w:t>
      </w:r>
      <w:r w:rsidRPr="001F4525">
        <w:rPr>
          <w:color w:val="3B3B3C" w:themeColor="text1"/>
        </w:rPr>
        <w:t xml:space="preserve">s reporting </w:t>
      </w:r>
      <w:r w:rsidR="0096652F">
        <w:rPr>
          <w:color w:val="3B3B3C" w:themeColor="text1"/>
        </w:rPr>
        <w:t xml:space="preserve">(shown in </w:t>
      </w:r>
      <w:r w:rsidR="00EB481D">
        <w:rPr>
          <w:color w:val="3B3B3C" w:themeColor="text1"/>
        </w:rPr>
        <w:fldChar w:fldCharType="begin"/>
      </w:r>
      <w:r w:rsidR="00EB481D">
        <w:rPr>
          <w:color w:val="3B3B3C" w:themeColor="text1"/>
        </w:rPr>
        <w:instrText xml:space="preserve"> REF _Ref144054746 \h </w:instrText>
      </w:r>
      <w:r w:rsidR="00EB481D">
        <w:rPr>
          <w:color w:val="3B3B3C" w:themeColor="text1"/>
        </w:rPr>
      </w:r>
      <w:r w:rsidR="00EB481D">
        <w:rPr>
          <w:color w:val="3B3B3C" w:themeColor="text1"/>
        </w:rPr>
        <w:fldChar w:fldCharType="separate"/>
      </w:r>
      <w:r w:rsidR="00EB481D">
        <w:t xml:space="preserve">Figure </w:t>
      </w:r>
      <w:r w:rsidR="00EB481D">
        <w:rPr>
          <w:noProof/>
        </w:rPr>
        <w:t>12</w:t>
      </w:r>
      <w:r w:rsidR="00EB481D">
        <w:rPr>
          <w:color w:val="3B3B3C" w:themeColor="text1"/>
        </w:rPr>
        <w:fldChar w:fldCharType="end"/>
      </w:r>
      <w:r w:rsidR="00EB481D">
        <w:rPr>
          <w:color w:val="3B3B3C" w:themeColor="text1"/>
        </w:rPr>
        <w:t xml:space="preserve"> </w:t>
      </w:r>
      <w:r w:rsidR="0096652F">
        <w:rPr>
          <w:color w:val="3B3B3C" w:themeColor="text1"/>
        </w:rPr>
        <w:t xml:space="preserve">and </w:t>
      </w:r>
      <w:r w:rsidR="00EB481D">
        <w:rPr>
          <w:color w:val="3B3B3C" w:themeColor="text1"/>
        </w:rPr>
        <w:fldChar w:fldCharType="begin"/>
      </w:r>
      <w:r w:rsidR="00EB481D">
        <w:rPr>
          <w:color w:val="3B3B3C" w:themeColor="text1"/>
        </w:rPr>
        <w:instrText xml:space="preserve"> REF _Ref144054758 \h </w:instrText>
      </w:r>
      <w:r w:rsidR="00EB481D">
        <w:rPr>
          <w:color w:val="3B3B3C" w:themeColor="text1"/>
        </w:rPr>
      </w:r>
      <w:r w:rsidR="00EB481D">
        <w:rPr>
          <w:color w:val="3B3B3C" w:themeColor="text1"/>
        </w:rPr>
        <w:fldChar w:fldCharType="separate"/>
      </w:r>
      <w:r w:rsidR="00EB481D">
        <w:t xml:space="preserve">Figure </w:t>
      </w:r>
      <w:r w:rsidR="00EB481D">
        <w:rPr>
          <w:noProof/>
        </w:rPr>
        <w:t>13</w:t>
      </w:r>
      <w:r w:rsidR="00EB481D">
        <w:rPr>
          <w:color w:val="3B3B3C" w:themeColor="text1"/>
        </w:rPr>
        <w:fldChar w:fldCharType="end"/>
      </w:r>
      <w:r w:rsidR="0096652F">
        <w:rPr>
          <w:color w:val="3B3B3C" w:themeColor="text1"/>
        </w:rPr>
        <w:t>)</w:t>
      </w:r>
      <w:r w:rsidRPr="001F4525">
        <w:rPr>
          <w:color w:val="3B3B3C" w:themeColor="text1"/>
        </w:rPr>
        <w:t xml:space="preserve"> suggests that despite probably initially </w:t>
      </w:r>
      <w:r w:rsidR="00035C4E">
        <w:rPr>
          <w:color w:val="3B3B3C" w:themeColor="text1"/>
        </w:rPr>
        <w:t>overestimat</w:t>
      </w:r>
      <w:r w:rsidRPr="001F4525">
        <w:rPr>
          <w:color w:val="3B3B3C" w:themeColor="text1"/>
        </w:rPr>
        <w:t>ing the actual status of surveillance systems across the portfolio of countries, significant progress was made and in fact</w:t>
      </w:r>
      <w:r w:rsidR="00D325E9">
        <w:rPr>
          <w:color w:val="3B3B3C" w:themeColor="text1"/>
        </w:rPr>
        <w:t>,</w:t>
      </w:r>
      <w:r w:rsidRPr="001F4525">
        <w:rPr>
          <w:color w:val="3B3B3C" w:themeColor="text1"/>
        </w:rPr>
        <w:t xml:space="preserve"> </w:t>
      </w:r>
      <w:r w:rsidR="00984B31">
        <w:rPr>
          <w:color w:val="3B3B3C" w:themeColor="text1"/>
        </w:rPr>
        <w:t>exceeded</w:t>
      </w:r>
      <w:r w:rsidRPr="001F4525">
        <w:rPr>
          <w:color w:val="3B3B3C" w:themeColor="text1"/>
        </w:rPr>
        <w:t xml:space="preserve"> the targets agreed</w:t>
      </w:r>
      <w:r w:rsidR="00D325E9">
        <w:rPr>
          <w:color w:val="3B3B3C" w:themeColor="text1"/>
        </w:rPr>
        <w:t xml:space="preserve"> upon</w:t>
      </w:r>
      <w:r w:rsidRPr="001F4525">
        <w:rPr>
          <w:color w:val="3B3B3C" w:themeColor="text1"/>
        </w:rPr>
        <w:t xml:space="preserve"> with DHSC (as described below). This suggests that significant implementation failure should</w:t>
      </w:r>
      <w:r w:rsidR="002E1017">
        <w:rPr>
          <w:color w:val="3B3B3C" w:themeColor="text1"/>
        </w:rPr>
        <w:t xml:space="preserve"> </w:t>
      </w:r>
      <w:r w:rsidRPr="001F4525">
        <w:rPr>
          <w:color w:val="3B3B3C" w:themeColor="text1"/>
        </w:rPr>
        <w:t>n</w:t>
      </w:r>
      <w:r w:rsidR="002E1017">
        <w:rPr>
          <w:color w:val="3B3B3C" w:themeColor="text1"/>
        </w:rPr>
        <w:t>o</w:t>
      </w:r>
      <w:r w:rsidRPr="001F4525">
        <w:rPr>
          <w:color w:val="3B3B3C" w:themeColor="text1"/>
        </w:rPr>
        <w:t xml:space="preserve">t be a significant explanatory factor for </w:t>
      </w:r>
      <w:r w:rsidR="00C92AAA">
        <w:rPr>
          <w:color w:val="3B3B3C" w:themeColor="text1"/>
        </w:rPr>
        <w:t>the</w:t>
      </w:r>
      <w:r w:rsidRPr="001F4525">
        <w:rPr>
          <w:color w:val="3B3B3C" w:themeColor="text1"/>
        </w:rPr>
        <w:t xml:space="preserve"> lack of data observed.</w:t>
      </w:r>
      <w:bookmarkEnd w:id="191"/>
    </w:p>
    <w:bookmarkEnd w:id="192"/>
    <w:p w14:paraId="784B9D6C" w14:textId="77777777" w:rsidR="00093B76" w:rsidRDefault="001F4525" w:rsidP="00093B76">
      <w:pPr>
        <w:keepNext/>
        <w:widowControl w:val="0"/>
        <w:spacing w:before="120" w:after="120"/>
      </w:pPr>
      <w:r>
        <w:rPr>
          <w:noProof/>
          <w:lang w:eastAsia="en-GB"/>
        </w:rPr>
        <w:drawing>
          <wp:inline distT="0" distB="0" distL="0" distR="0" wp14:anchorId="0D78763A" wp14:editId="047DC8FC">
            <wp:extent cx="5175250" cy="3451243"/>
            <wp:effectExtent l="0" t="0" r="6350" b="0"/>
            <wp:docPr id="62761684" name="Picture 627616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61680" name="Picture 62761680" descr="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82047" cy="3455776"/>
                    </a:xfrm>
                    <a:prstGeom prst="rect">
                      <a:avLst/>
                    </a:prstGeom>
                    <a:noFill/>
                  </pic:spPr>
                </pic:pic>
              </a:graphicData>
            </a:graphic>
          </wp:inline>
        </w:drawing>
      </w:r>
    </w:p>
    <w:p w14:paraId="07E338AA" w14:textId="067E8959" w:rsidR="00093B76" w:rsidRDefault="00093B76" w:rsidP="00093B76">
      <w:pPr>
        <w:pStyle w:val="ItadFigureCap"/>
        <w:jc w:val="left"/>
      </w:pPr>
      <w:bookmarkStart w:id="193" w:name="_Ref144054746"/>
      <w:bookmarkStart w:id="194" w:name="_Toc144717854"/>
      <w:r>
        <w:t xml:space="preserve">Figure </w:t>
      </w:r>
      <w:r>
        <w:fldChar w:fldCharType="begin"/>
      </w:r>
      <w:r>
        <w:instrText>SEQ Figure \* ARABIC</w:instrText>
      </w:r>
      <w:r>
        <w:fldChar w:fldCharType="separate"/>
      </w:r>
      <w:r w:rsidR="00B17EAE">
        <w:rPr>
          <w:noProof/>
        </w:rPr>
        <w:t>12</w:t>
      </w:r>
      <w:r>
        <w:fldChar w:fldCharType="end"/>
      </w:r>
      <w:bookmarkEnd w:id="193"/>
      <w:r>
        <w:t>: Number of Fleming Fund-supported HH surveillance sites showing progress through the LSHTM roadmap</w:t>
      </w:r>
      <w:bookmarkEnd w:id="194"/>
    </w:p>
    <w:p w14:paraId="1A8C3603" w14:textId="68AE0D93" w:rsidR="001F4525" w:rsidRDefault="001F4525" w:rsidP="001F4525">
      <w:pPr>
        <w:widowControl w:val="0"/>
        <w:spacing w:before="120" w:after="120"/>
      </w:pPr>
    </w:p>
    <w:p w14:paraId="61B62497" w14:textId="77777777" w:rsidR="00093B76" w:rsidRDefault="00FF2998" w:rsidP="00093B76">
      <w:pPr>
        <w:keepNext/>
        <w:spacing w:before="120" w:after="120"/>
      </w:pPr>
      <w:r>
        <w:rPr>
          <w:noProof/>
          <w:lang w:eastAsia="en-GB"/>
        </w:rPr>
        <w:drawing>
          <wp:inline distT="0" distB="0" distL="0" distR="0" wp14:anchorId="4CF50160" wp14:editId="1C4B014E">
            <wp:extent cx="5199981" cy="3467735"/>
            <wp:effectExtent l="0" t="0" r="1270" b="0"/>
            <wp:docPr id="62761685" name="Picture 627616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61682" name="Picture 62761682"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13984" cy="3477073"/>
                    </a:xfrm>
                    <a:prstGeom prst="rect">
                      <a:avLst/>
                    </a:prstGeom>
                    <a:noFill/>
                  </pic:spPr>
                </pic:pic>
              </a:graphicData>
            </a:graphic>
          </wp:inline>
        </w:drawing>
      </w:r>
    </w:p>
    <w:p w14:paraId="4A496D8E" w14:textId="29BE97EB" w:rsidR="00FF2998" w:rsidRDefault="00093B76" w:rsidP="00204230">
      <w:pPr>
        <w:pStyle w:val="ItadFigureCap"/>
        <w:rPr>
          <w:rFonts w:eastAsia="Times New Roman" w:cs="Calibri"/>
          <w:bCs/>
          <w:color w:val="3B3B3C"/>
        </w:rPr>
      </w:pPr>
      <w:bookmarkStart w:id="195" w:name="_Ref144054758"/>
      <w:bookmarkStart w:id="196" w:name="_Toc144717855"/>
      <w:r>
        <w:t xml:space="preserve">Figure </w:t>
      </w:r>
      <w:r>
        <w:fldChar w:fldCharType="begin"/>
      </w:r>
      <w:r>
        <w:instrText>SEQ Figure \* ARABIC</w:instrText>
      </w:r>
      <w:r>
        <w:fldChar w:fldCharType="separate"/>
      </w:r>
      <w:r w:rsidR="00B17EAE">
        <w:rPr>
          <w:noProof/>
        </w:rPr>
        <w:t>13</w:t>
      </w:r>
      <w:r>
        <w:fldChar w:fldCharType="end"/>
      </w:r>
      <w:bookmarkEnd w:id="195"/>
      <w:r>
        <w:t xml:space="preserve">: </w:t>
      </w:r>
      <w:r w:rsidRPr="000F30B8">
        <w:t>Number of Fleming Fund</w:t>
      </w:r>
      <w:r>
        <w:t>-</w:t>
      </w:r>
      <w:r w:rsidRPr="000F30B8">
        <w:t>supported AH sites showing progress through the LSHTM roadmap</w:t>
      </w:r>
      <w:bookmarkEnd w:id="196"/>
    </w:p>
    <w:p w14:paraId="48712A33" w14:textId="0E5F1EA5" w:rsidR="00FF2998" w:rsidRPr="00D00972" w:rsidRDefault="00713067" w:rsidP="0032613C">
      <w:pPr>
        <w:pStyle w:val="ItadNormalText"/>
        <w:rPr>
          <w:lang w:eastAsia="en-GB"/>
        </w:rPr>
      </w:pPr>
      <w:bookmarkStart w:id="197" w:name="_Hlk129254040"/>
      <w:r w:rsidRPr="0032613C">
        <w:rPr>
          <w:b/>
          <w:bCs/>
          <w:lang w:eastAsia="en-GB"/>
        </w:rPr>
        <w:t xml:space="preserve">Finding 2.1.6: </w:t>
      </w:r>
      <w:r w:rsidR="00FF2998" w:rsidRPr="0032613C">
        <w:rPr>
          <w:b/>
          <w:bCs/>
          <w:lang w:eastAsia="en-GB"/>
        </w:rPr>
        <w:t>There is</w:t>
      </w:r>
      <w:r w:rsidR="001E4733" w:rsidRPr="0032613C">
        <w:rPr>
          <w:b/>
          <w:bCs/>
          <w:lang w:eastAsia="en-GB"/>
        </w:rPr>
        <w:t xml:space="preserve"> solid</w:t>
      </w:r>
      <w:r w:rsidR="00FF2998" w:rsidRPr="0032613C">
        <w:rPr>
          <w:b/>
          <w:bCs/>
          <w:lang w:eastAsia="en-GB"/>
        </w:rPr>
        <w:t xml:space="preserve"> evidence that the quantity of HH AMR surveillance data available from government</w:t>
      </w:r>
      <w:r w:rsidR="005F63A2">
        <w:rPr>
          <w:b/>
          <w:bCs/>
          <w:lang w:eastAsia="en-GB"/>
        </w:rPr>
        <w:t>-</w:t>
      </w:r>
      <w:r w:rsidR="00FF2998" w:rsidRPr="0032613C">
        <w:rPr>
          <w:b/>
          <w:bCs/>
          <w:lang w:eastAsia="en-GB"/>
        </w:rPr>
        <w:t>funded laboratories supported through the Fleming Fund has increased in 11 out of 16 (69%)</w:t>
      </w:r>
      <w:r w:rsidR="00FF2998" w:rsidRPr="0032613C">
        <w:rPr>
          <w:b/>
          <w:bCs/>
          <w:sz w:val="20"/>
          <w:szCs w:val="20"/>
          <w:vertAlign w:val="superscript"/>
          <w:lang w:eastAsia="en-GB"/>
        </w:rPr>
        <w:footnoteReference w:id="74"/>
      </w:r>
      <w:r w:rsidR="00FF2998" w:rsidRPr="0032613C">
        <w:rPr>
          <w:b/>
          <w:bCs/>
          <w:lang w:eastAsia="en-GB"/>
        </w:rPr>
        <w:t xml:space="preserve"> of</w:t>
      </w:r>
      <w:r w:rsidR="00FF2998" w:rsidRPr="0032613C" w:rsidDel="00360EBB">
        <w:rPr>
          <w:b/>
          <w:bCs/>
          <w:lang w:eastAsia="en-GB"/>
        </w:rPr>
        <w:t xml:space="preserve"> </w:t>
      </w:r>
      <w:r w:rsidR="00FF2998" w:rsidRPr="0032613C">
        <w:rPr>
          <w:b/>
          <w:bCs/>
          <w:lang w:eastAsia="en-GB"/>
        </w:rPr>
        <w:t>the focus countries.</w:t>
      </w:r>
      <w:r w:rsidR="00FF2998" w:rsidRPr="00D00972">
        <w:rPr>
          <w:lang w:eastAsia="en-GB"/>
        </w:rPr>
        <w:t xml:space="preserve"> </w:t>
      </w:r>
      <w:r w:rsidR="00453B07" w:rsidRPr="008A5F96">
        <w:rPr>
          <w:rFonts w:eastAsia="Calibri"/>
          <w:bCs/>
          <w:lang w:eastAsia="en-GB"/>
        </w:rPr>
        <w:t xml:space="preserve">Of the five countries not demonstrating increased </w:t>
      </w:r>
      <w:r w:rsidR="00453B07" w:rsidRPr="00D00972">
        <w:rPr>
          <w:rFonts w:eastAsia="Calibri"/>
          <w:bCs/>
          <w:lang w:eastAsia="en-GB"/>
        </w:rPr>
        <w:t>AMR data availability in HH</w:t>
      </w:r>
      <w:r w:rsidR="00453B07" w:rsidRPr="008A5F96">
        <w:rPr>
          <w:rFonts w:eastAsia="Calibri"/>
          <w:bCs/>
          <w:lang w:eastAsia="en-GB"/>
        </w:rPr>
        <w:t>, two had not received 36 months of support and three lacked firm evidence of increases.</w:t>
      </w:r>
      <w:r w:rsidR="00FF2998" w:rsidRPr="008A5F96">
        <w:rPr>
          <w:rFonts w:eastAsia="Calibri"/>
          <w:lang w:eastAsia="en-GB"/>
        </w:rPr>
        <w:t xml:space="preserve"> </w:t>
      </w:r>
      <w:r w:rsidR="00FF2998" w:rsidRPr="002B3DDC">
        <w:rPr>
          <w:bCs/>
          <w:lang w:eastAsia="en-GB"/>
        </w:rPr>
        <w:t>Quantifying the actual amount of new data has</w:t>
      </w:r>
      <w:r w:rsidR="00D325E9" w:rsidRPr="002B3DDC">
        <w:rPr>
          <w:bCs/>
          <w:lang w:eastAsia="en-GB"/>
        </w:rPr>
        <w:t xml:space="preserve"> </w:t>
      </w:r>
      <w:r w:rsidR="00FF2998" w:rsidRPr="002B3DDC">
        <w:rPr>
          <w:bCs/>
          <w:lang w:eastAsia="en-GB"/>
        </w:rPr>
        <w:t>n</w:t>
      </w:r>
      <w:r w:rsidR="00D325E9" w:rsidRPr="002B3DDC">
        <w:rPr>
          <w:bCs/>
          <w:lang w:eastAsia="en-GB"/>
        </w:rPr>
        <w:t>o</w:t>
      </w:r>
      <w:r w:rsidR="00FF2998" w:rsidRPr="002B3DDC">
        <w:rPr>
          <w:bCs/>
          <w:lang w:eastAsia="en-GB"/>
        </w:rPr>
        <w:t xml:space="preserve">t been feasible. </w:t>
      </w:r>
      <w:r w:rsidR="00335009" w:rsidRPr="002B3DDC">
        <w:rPr>
          <w:bCs/>
          <w:lang w:eastAsia="en-GB"/>
        </w:rPr>
        <w:t xml:space="preserve">What is less clear is whether the full range of information is being recorded at </w:t>
      </w:r>
      <w:r w:rsidR="008F7759" w:rsidRPr="002B3DDC">
        <w:rPr>
          <w:bCs/>
          <w:lang w:eastAsia="en-GB"/>
        </w:rPr>
        <w:t xml:space="preserve">the </w:t>
      </w:r>
      <w:r w:rsidR="00335009" w:rsidRPr="002B3DDC">
        <w:rPr>
          <w:bCs/>
          <w:lang w:eastAsia="en-GB"/>
        </w:rPr>
        <w:t xml:space="preserve">facility level and then collated at </w:t>
      </w:r>
      <w:r w:rsidR="008F7759" w:rsidRPr="002B3DDC">
        <w:rPr>
          <w:bCs/>
          <w:lang w:eastAsia="en-GB"/>
        </w:rPr>
        <w:t xml:space="preserve">the </w:t>
      </w:r>
      <w:r w:rsidR="00335009" w:rsidRPr="002B3DDC">
        <w:rPr>
          <w:bCs/>
          <w:lang w:eastAsia="en-GB"/>
        </w:rPr>
        <w:t>national level as required to carry out solid analysis (see</w:t>
      </w:r>
      <w:r w:rsidR="00EE25DC">
        <w:rPr>
          <w:bCs/>
          <w:lang w:eastAsia="en-GB"/>
        </w:rPr>
        <w:t xml:space="preserve"> </w:t>
      </w:r>
      <w:r w:rsidR="00EE25DC">
        <w:rPr>
          <w:bCs/>
          <w:lang w:eastAsia="en-GB"/>
        </w:rPr>
        <w:fldChar w:fldCharType="begin"/>
      </w:r>
      <w:r w:rsidR="00EE25DC">
        <w:rPr>
          <w:bCs/>
          <w:lang w:eastAsia="en-GB"/>
        </w:rPr>
        <w:instrText xml:space="preserve"> REF _Ref144719903 \h </w:instrText>
      </w:r>
      <w:r w:rsidR="00EE25DC">
        <w:rPr>
          <w:bCs/>
          <w:lang w:eastAsia="en-GB"/>
        </w:rPr>
      </w:r>
      <w:r w:rsidR="00EE25DC">
        <w:rPr>
          <w:bCs/>
          <w:lang w:eastAsia="en-GB"/>
        </w:rPr>
        <w:fldChar w:fldCharType="separate"/>
      </w:r>
      <w:r w:rsidR="0031444E">
        <w:t xml:space="preserve">Box </w:t>
      </w:r>
      <w:r w:rsidR="0031444E">
        <w:rPr>
          <w:noProof/>
        </w:rPr>
        <w:t>1</w:t>
      </w:r>
      <w:r w:rsidR="00EE25DC">
        <w:rPr>
          <w:bCs/>
          <w:lang w:eastAsia="en-GB"/>
        </w:rPr>
        <w:fldChar w:fldCharType="end"/>
      </w:r>
      <w:r w:rsidR="00335009" w:rsidRPr="002B3DDC">
        <w:rPr>
          <w:bCs/>
          <w:lang w:eastAsia="en-GB"/>
        </w:rPr>
        <w:t xml:space="preserve">) at </w:t>
      </w:r>
      <w:r w:rsidR="008F7759" w:rsidRPr="002B3DDC">
        <w:rPr>
          <w:bCs/>
          <w:lang w:eastAsia="en-GB"/>
        </w:rPr>
        <w:t xml:space="preserve">a </w:t>
      </w:r>
      <w:r w:rsidR="00335009" w:rsidRPr="002B3DDC">
        <w:rPr>
          <w:bCs/>
          <w:lang w:eastAsia="en-GB"/>
        </w:rPr>
        <w:t>national level</w:t>
      </w:r>
      <w:r w:rsidR="00335009" w:rsidRPr="00D00972">
        <w:rPr>
          <w:bCs/>
          <w:lang w:eastAsia="en-GB"/>
        </w:rPr>
        <w:t>.</w:t>
      </w:r>
      <w:r w:rsidR="00FF2998" w:rsidRPr="00D00972">
        <w:rPr>
          <w:lang w:eastAsia="en-GB"/>
        </w:rPr>
        <w:t xml:space="preserve"> </w:t>
      </w:r>
      <w:r w:rsidR="007517B2" w:rsidRPr="007517B2">
        <w:rPr>
          <w:lang w:eastAsia="en-GB"/>
        </w:rPr>
        <w:t>The MA did not consistently track and report the increase in AMR found (it instead reported data on the number of samples generated in each supported site and the number of these that resulted in the identification of a pathogen of interest), and neither did the governments.</w:t>
      </w:r>
      <w:r w:rsidR="00DC1D8D" w:rsidRPr="00D00972">
        <w:rPr>
          <w:lang w:eastAsia="en-GB"/>
        </w:rPr>
        <w:t xml:space="preserve"> </w:t>
      </w:r>
      <w:r w:rsidR="00FF2998" w:rsidRPr="00D00972">
        <w:rPr>
          <w:lang w:eastAsia="en-GB"/>
        </w:rPr>
        <w:t>To fill this gap, in our data collection, we tried to collate data from various sources on patients tested, samples and isolates; we did not try to gather data on the number of ASTs completed, or on their results.</w:t>
      </w:r>
      <w:r w:rsidR="00C84D6A">
        <w:rPr>
          <w:rStyle w:val="FootnoteReference"/>
          <w:rFonts w:eastAsia="Times New Roman"/>
          <w:lang w:eastAsia="en-GB"/>
        </w:rPr>
        <w:footnoteReference w:id="75"/>
      </w:r>
      <w:r w:rsidR="00FF2998" w:rsidRPr="00D00972">
        <w:rPr>
          <w:lang w:eastAsia="en-GB"/>
        </w:rPr>
        <w:t xml:space="preserve"> We were unable to routinely gather comparable data for all of these types of data, even </w:t>
      </w:r>
      <w:proofErr w:type="spellStart"/>
      <w:r w:rsidR="00FF2998" w:rsidRPr="00D00972">
        <w:rPr>
          <w:lang w:eastAsia="en-GB"/>
        </w:rPr>
        <w:t>through</w:t>
      </w:r>
      <w:proofErr w:type="spellEnd"/>
      <w:r w:rsidR="00FF2998" w:rsidRPr="00D00972">
        <w:rPr>
          <w:lang w:eastAsia="en-GB"/>
        </w:rPr>
        <w:t xml:space="preserve"> conversations with laboratory staff and AMR focal points in each country. Even where data on several samples was available for multiple years, it was not clear to what extent it was comparable (i.e. more sites, more pathogens), increasing the challenge of interpretation. We used a range of sources to triangulate data from NRLs to form a picture of the changes in the quantity of data.</w:t>
      </w:r>
      <w:r w:rsidR="00FF2998" w:rsidRPr="00D00972" w:rsidDel="007D2E99">
        <w:rPr>
          <w:lang w:eastAsia="en-GB"/>
        </w:rPr>
        <w:t xml:space="preserve"> </w:t>
      </w:r>
      <w:r w:rsidR="00FF2998" w:rsidRPr="00D00972">
        <w:rPr>
          <w:lang w:eastAsia="en-GB"/>
        </w:rPr>
        <w:t>Additional sources included:</w:t>
      </w:r>
    </w:p>
    <w:p w14:paraId="386CCB3B" w14:textId="7EADD1FD" w:rsidR="00FF2998" w:rsidRPr="008A5F96" w:rsidRDefault="00FF2998" w:rsidP="008A5F96">
      <w:pPr>
        <w:pStyle w:val="ItadBullets"/>
        <w:rPr>
          <w:sz w:val="24"/>
          <w:szCs w:val="24"/>
        </w:rPr>
      </w:pPr>
      <w:bookmarkStart w:id="198" w:name="_Hlk136460969"/>
      <w:r w:rsidRPr="00AC2686">
        <w:t xml:space="preserve">MA quarterly reporting: </w:t>
      </w:r>
      <w:bookmarkStart w:id="199" w:name="_Hlk128394315"/>
      <w:r w:rsidRPr="00AC2686">
        <w:t>data on the number of samples generated in each supported site and the number of these</w:t>
      </w:r>
      <w:r w:rsidR="008F7759" w:rsidRPr="00AC2686">
        <w:t xml:space="preserve"> samples</w:t>
      </w:r>
      <w:r w:rsidRPr="00AC2686">
        <w:t xml:space="preserve"> that resulted in the identification of a pathogen of interest</w:t>
      </w:r>
      <w:bookmarkEnd w:id="199"/>
      <w:r w:rsidRPr="00AC2686">
        <w:t>; it does not report on the number of isolates or ASTs.</w:t>
      </w:r>
    </w:p>
    <w:p w14:paraId="40BD7511" w14:textId="7054139A" w:rsidR="00FF2998" w:rsidRPr="008A5F96" w:rsidRDefault="00FF2998" w:rsidP="008A5F96">
      <w:pPr>
        <w:pStyle w:val="ItadBullets"/>
        <w:rPr>
          <w:sz w:val="24"/>
          <w:szCs w:val="24"/>
        </w:rPr>
      </w:pPr>
      <w:r w:rsidRPr="00AC2686">
        <w:t xml:space="preserve">Other relevant documentation </w:t>
      </w:r>
      <w:r w:rsidR="008F7759" w:rsidRPr="00AC2686">
        <w:t>(</w:t>
      </w:r>
      <w:r w:rsidRPr="00AC2686">
        <w:t>where available</w:t>
      </w:r>
      <w:r w:rsidR="008F7759" w:rsidRPr="00AC2686">
        <w:t>):</w:t>
      </w:r>
      <w:r w:rsidRPr="00AC2686">
        <w:t xml:space="preserve"> such as country-level reporting or reports from RGs (MAAP and CAPTURA).</w:t>
      </w:r>
    </w:p>
    <w:p w14:paraId="3F40F6D3" w14:textId="617CF29A" w:rsidR="00FF2998" w:rsidRPr="008A5F96" w:rsidRDefault="00FF2998" w:rsidP="008A5F96">
      <w:pPr>
        <w:pStyle w:val="ItadBullets"/>
        <w:rPr>
          <w:sz w:val="24"/>
          <w:szCs w:val="24"/>
        </w:rPr>
      </w:pPr>
      <w:r w:rsidRPr="00AC2686">
        <w:t>Data from GLASS</w:t>
      </w:r>
      <w:r w:rsidR="008F7759" w:rsidRPr="00AC2686">
        <w:t>:</w:t>
      </w:r>
      <w:r w:rsidRPr="00AC2686">
        <w:t xml:space="preserve"> using publicly available data from annual GLASS reports. This is objectively verifiable data but takes time to reach the public domain (the 2022 GLASS report published in December 2022 includes countries</w:t>
      </w:r>
      <w:r w:rsidR="00AA6A7B">
        <w:t>’</w:t>
      </w:r>
      <w:r w:rsidRPr="00AC2686">
        <w:t xml:space="preserve"> data from 2020). The 2022 GLASS report shows that more than 70% of our </w:t>
      </w:r>
      <w:r w:rsidRPr="003F3AB4">
        <w:t xml:space="preserve">focus countries </w:t>
      </w:r>
      <w:r w:rsidR="00EA4B94" w:rsidRPr="003F3AB4">
        <w:t xml:space="preserve">have </w:t>
      </w:r>
      <w:r w:rsidR="00456FCA" w:rsidRPr="003F3AB4">
        <w:t>shar</w:t>
      </w:r>
      <w:r w:rsidR="00EA4B94" w:rsidRPr="003F3AB4">
        <w:t>ed</w:t>
      </w:r>
      <w:r w:rsidR="00456FCA" w:rsidRPr="003F3AB4">
        <w:t xml:space="preserve"> </w:t>
      </w:r>
      <w:r w:rsidRPr="003F3AB4">
        <w:t xml:space="preserve">data compared with </w:t>
      </w:r>
      <w:r w:rsidR="00AF5F81" w:rsidRPr="003F3AB4">
        <w:t>around 6% in</w:t>
      </w:r>
      <w:r w:rsidRPr="003F3AB4">
        <w:t xml:space="preserve"> 2018 (see </w:t>
      </w:r>
      <w:r w:rsidR="00803F81" w:rsidRPr="003F3AB4">
        <w:t>Vol. I</w:t>
      </w:r>
      <w:r w:rsidRPr="003F3AB4">
        <w:t>I, Annex 8</w:t>
      </w:r>
      <w:r w:rsidR="00250392" w:rsidRPr="003F3AB4">
        <w:t>, Table 2</w:t>
      </w:r>
      <w:r w:rsidR="00587D57" w:rsidRPr="003F3AB4">
        <w:t>9</w:t>
      </w:r>
      <w:r w:rsidRPr="003F3AB4">
        <w:t xml:space="preserve"> for details</w:t>
      </w:r>
      <w:r w:rsidRPr="00AC2686">
        <w:t>).</w:t>
      </w:r>
    </w:p>
    <w:p w14:paraId="3A49DAD6" w14:textId="06D53941" w:rsidR="00FF2998" w:rsidRPr="008A5F96" w:rsidRDefault="00FF2998" w:rsidP="008A5F96">
      <w:pPr>
        <w:pStyle w:val="ItadBullets"/>
        <w:rPr>
          <w:sz w:val="24"/>
          <w:szCs w:val="24"/>
        </w:rPr>
      </w:pPr>
      <w:r w:rsidRPr="00AC2686">
        <w:t>KIIs</w:t>
      </w:r>
      <w:r w:rsidR="008F7759" w:rsidRPr="00AC2686">
        <w:t>:</w:t>
      </w:r>
      <w:r w:rsidRPr="00AC2686">
        <w:t xml:space="preserve"> including during site visits; we asked KIs whether more data on AMR was available. Annex </w:t>
      </w:r>
      <w:r w:rsidRPr="00AC2686" w:rsidDel="00C516A9">
        <w:t xml:space="preserve">20 </w:t>
      </w:r>
      <w:r w:rsidRPr="00AC2686">
        <w:t>lists KIIs completed in each country.</w:t>
      </w:r>
    </w:p>
    <w:p w14:paraId="3E5D29F2" w14:textId="3CAB8D26" w:rsidR="00FF2998" w:rsidRPr="00D00972" w:rsidRDefault="00FF2998" w:rsidP="00B46F7A">
      <w:pPr>
        <w:pStyle w:val="ItadNormalText"/>
        <w:rPr>
          <w:lang w:eastAsia="en-GB"/>
        </w:rPr>
      </w:pPr>
      <w:bookmarkStart w:id="200" w:name="_Hlk136461052"/>
      <w:r w:rsidRPr="00D00972">
        <w:rPr>
          <w:lang w:eastAsia="en-GB"/>
        </w:rPr>
        <w:t>Based on this range of data, there is evidence that the quantity of data has increased (albeit with variation across Fleming Fund countries) but with less certainty on the extent of the increase (see Vol. II, Annex 8</w:t>
      </w:r>
      <w:r w:rsidR="00ED5400">
        <w:rPr>
          <w:lang w:eastAsia="en-GB"/>
        </w:rPr>
        <w:t>.1</w:t>
      </w:r>
      <w:r w:rsidR="001F3913">
        <w:rPr>
          <w:lang w:eastAsia="en-GB"/>
        </w:rPr>
        <w:t>, Tabl</w:t>
      </w:r>
      <w:r w:rsidR="00D17101">
        <w:rPr>
          <w:lang w:eastAsia="en-GB"/>
        </w:rPr>
        <w:t>e 26 and 27</w:t>
      </w:r>
      <w:r w:rsidRPr="00D00972">
        <w:rPr>
          <w:lang w:eastAsia="en-GB"/>
        </w:rPr>
        <w:t xml:space="preserve"> for supporting evidence).</w:t>
      </w:r>
    </w:p>
    <w:p w14:paraId="171EF977" w14:textId="7FB14E02" w:rsidR="00FF2998" w:rsidRPr="008A5F96" w:rsidRDefault="4BD3A707" w:rsidP="00B46F7A">
      <w:pPr>
        <w:pStyle w:val="ItadNormalText"/>
        <w:rPr>
          <w:rFonts w:ascii="Arial" w:eastAsia="Times New Roman" w:hAnsi="Arial"/>
          <w:sz w:val="20"/>
          <w:szCs w:val="20"/>
          <w:lang w:eastAsia="en-GB"/>
        </w:rPr>
      </w:pPr>
      <w:bookmarkStart w:id="201" w:name="_Hlk129259671"/>
      <w:bookmarkEnd w:id="197"/>
      <w:bookmarkEnd w:id="198"/>
      <w:r w:rsidRPr="00146E7B">
        <w:rPr>
          <w:lang w:eastAsia="en-GB"/>
        </w:rPr>
        <w:t>Of the five countries not demonstrating increased AMR data availability in HH, two had not received 36 months of support and three lacked firm evidence of increases.</w:t>
      </w:r>
      <w:r w:rsidRPr="008A5F96">
        <w:rPr>
          <w:b/>
          <w:bCs/>
          <w:lang w:eastAsia="en-GB"/>
        </w:rPr>
        <w:t xml:space="preserve"> </w:t>
      </w:r>
      <w:r w:rsidRPr="008A5F96">
        <w:rPr>
          <w:lang w:eastAsia="en-GB"/>
        </w:rPr>
        <w:t>As noted above, data availability increased in 11 out of the 16 countries where the evaluation collected data. Of the</w:t>
      </w:r>
      <w:r w:rsidR="004E26F6">
        <w:rPr>
          <w:lang w:eastAsia="en-GB"/>
        </w:rPr>
        <w:t xml:space="preserve"> five exceptions</w:t>
      </w:r>
      <w:r w:rsidRPr="008A5F96">
        <w:rPr>
          <w:lang w:eastAsia="en-GB"/>
        </w:rPr>
        <w:t>, two  did not receive 36 months</w:t>
      </w:r>
      <w:r w:rsidR="6E02CE24">
        <w:rPr>
          <w:lang w:eastAsia="en-GB"/>
        </w:rPr>
        <w:t>’</w:t>
      </w:r>
      <w:r w:rsidR="46C0A282" w:rsidRPr="00D00972">
        <w:rPr>
          <w:lang w:eastAsia="en-GB"/>
        </w:rPr>
        <w:t xml:space="preserve"> </w:t>
      </w:r>
      <w:r w:rsidRPr="008A5F96">
        <w:rPr>
          <w:lang w:eastAsia="en-GB"/>
        </w:rPr>
        <w:t>support and based on the underlying assumptions of Fleming Fund support, this may have been expected</w:t>
      </w:r>
      <w:r w:rsidR="43808BD3" w:rsidRPr="00D00972">
        <w:rPr>
          <w:lang w:eastAsia="en-GB"/>
        </w:rPr>
        <w:t>.</w:t>
      </w:r>
      <w:r w:rsidRPr="008A5F96">
        <w:rPr>
          <w:lang w:eastAsia="en-GB"/>
        </w:rPr>
        <w:t xml:space="preserve"> </w:t>
      </w:r>
      <w:r w:rsidR="004E26F6">
        <w:rPr>
          <w:lang w:eastAsia="en-GB"/>
        </w:rPr>
        <w:t>This included</w:t>
      </w:r>
      <w:r w:rsidRPr="008A5F96">
        <w:rPr>
          <w:lang w:eastAsia="en-GB"/>
        </w:rPr>
        <w:t xml:space="preserve"> one of only two category A countries</w:t>
      </w:r>
      <w:r w:rsidR="00FF2998" w:rsidRPr="00D00972">
        <w:rPr>
          <w:rStyle w:val="FootnoteReference"/>
          <w:rFonts w:eastAsia="Calibri"/>
          <w:lang w:eastAsia="en-GB"/>
        </w:rPr>
        <w:footnoteReference w:id="76"/>
      </w:r>
      <w:r w:rsidRPr="008A5F96">
        <w:rPr>
          <w:lang w:eastAsia="en-GB"/>
        </w:rPr>
        <w:t xml:space="preserve"> from the entire Fleming Fund portfolio . Th</w:t>
      </w:r>
      <w:r w:rsidR="004E26F6">
        <w:rPr>
          <w:lang w:eastAsia="en-GB"/>
        </w:rPr>
        <w:t>re</w:t>
      </w:r>
      <w:r w:rsidRPr="008A5F96">
        <w:rPr>
          <w:lang w:eastAsia="en-GB"/>
        </w:rPr>
        <w:t xml:space="preserve">e remaining </w:t>
      </w:r>
      <w:r w:rsidR="00EB6D47">
        <w:rPr>
          <w:lang w:eastAsia="en-GB"/>
        </w:rPr>
        <w:t>countries</w:t>
      </w:r>
      <w:r w:rsidRPr="008A5F96">
        <w:rPr>
          <w:lang w:eastAsia="en-GB"/>
        </w:rPr>
        <w:t xml:space="preserve"> did not demonstrate increased data availability. In </w:t>
      </w:r>
      <w:r w:rsidR="004E26F6">
        <w:rPr>
          <w:lang w:eastAsia="en-GB"/>
        </w:rPr>
        <w:t>one</w:t>
      </w:r>
      <w:r w:rsidRPr="008A5F96">
        <w:rPr>
          <w:lang w:eastAsia="en-GB"/>
        </w:rPr>
        <w:t xml:space="preserve">, a reduction in data was noted but </w:t>
      </w:r>
      <w:r w:rsidR="66D30771">
        <w:rPr>
          <w:lang w:eastAsia="en-GB"/>
        </w:rPr>
        <w:t>KIIs indicate that</w:t>
      </w:r>
      <w:r w:rsidRPr="008A5F96">
        <w:rPr>
          <w:lang w:eastAsia="en-GB"/>
        </w:rPr>
        <w:t xml:space="preserve"> this </w:t>
      </w:r>
      <w:r w:rsidR="66D30771">
        <w:rPr>
          <w:lang w:eastAsia="en-GB"/>
        </w:rPr>
        <w:t>was</w:t>
      </w:r>
      <w:r w:rsidRPr="008A5F96">
        <w:rPr>
          <w:lang w:eastAsia="en-GB"/>
        </w:rPr>
        <w:t xml:space="preserve"> linked to the timing of </w:t>
      </w:r>
      <w:r w:rsidR="09E67C54">
        <w:rPr>
          <w:lang w:eastAsia="en-GB"/>
        </w:rPr>
        <w:t>the data’s</w:t>
      </w:r>
      <w:r w:rsidRPr="008A5F96">
        <w:rPr>
          <w:lang w:eastAsia="en-GB"/>
        </w:rPr>
        <w:t xml:space="preserve"> collection and the impact of COVID-19 on demand and capacity within the AMR surveillance system. </w:t>
      </w:r>
      <w:r w:rsidR="004E26F6">
        <w:rPr>
          <w:lang w:eastAsia="en-GB"/>
        </w:rPr>
        <w:t>In the two others</w:t>
      </w:r>
      <w:r w:rsidR="56E1CBC5">
        <w:rPr>
          <w:lang w:eastAsia="en-GB"/>
        </w:rPr>
        <w:t>,</w:t>
      </w:r>
      <w:r w:rsidRPr="008A5F96">
        <w:rPr>
          <w:lang w:eastAsia="en-GB"/>
        </w:rPr>
        <w:t xml:space="preserve"> we experienced challenges in obtaining data from country-level sources to confirm trends in data availability so we could not </w:t>
      </w:r>
      <w:r w:rsidR="2EFA15A4" w:rsidRPr="002C18E9">
        <w:rPr>
          <w:lang w:eastAsia="en-GB"/>
        </w:rPr>
        <w:t>draw firm conclusions.</w:t>
      </w:r>
    </w:p>
    <w:p w14:paraId="4B19E8F7" w14:textId="0A66DBC1" w:rsidR="00FF2998" w:rsidRPr="00D00972" w:rsidRDefault="00FF2998" w:rsidP="00B46F7A">
      <w:pPr>
        <w:pStyle w:val="ItadNormalText"/>
        <w:rPr>
          <w:lang w:eastAsia="en-GB"/>
        </w:rPr>
      </w:pPr>
      <w:r w:rsidRPr="00D00972">
        <w:rPr>
          <w:lang w:eastAsia="en-GB"/>
        </w:rPr>
        <w:t xml:space="preserve">It proved harder to obtain reliable and relevant information on progress towards data sharing and use (see section </w:t>
      </w:r>
      <w:r w:rsidR="00195FA4" w:rsidRPr="00D00972">
        <w:rPr>
          <w:lang w:eastAsia="en-GB"/>
        </w:rPr>
        <w:fldChar w:fldCharType="begin"/>
      </w:r>
      <w:r w:rsidR="00195FA4" w:rsidRPr="00D00972">
        <w:rPr>
          <w:lang w:eastAsia="en-GB"/>
        </w:rPr>
        <w:instrText xml:space="preserve"> REF _Ref129083432 \r \h </w:instrText>
      </w:r>
      <w:r w:rsidR="00D00972">
        <w:rPr>
          <w:lang w:eastAsia="en-GB"/>
        </w:rPr>
        <w:instrText xml:space="preserve"> \* MERGEFORMAT </w:instrText>
      </w:r>
      <w:r w:rsidR="00195FA4" w:rsidRPr="00D00972">
        <w:rPr>
          <w:lang w:eastAsia="en-GB"/>
        </w:rPr>
      </w:r>
      <w:r w:rsidR="00195FA4" w:rsidRPr="00D00972">
        <w:rPr>
          <w:lang w:eastAsia="en-GB"/>
        </w:rPr>
        <w:fldChar w:fldCharType="separate"/>
      </w:r>
      <w:r w:rsidR="00195FA4" w:rsidRPr="00D00972">
        <w:rPr>
          <w:lang w:eastAsia="en-GB"/>
        </w:rPr>
        <w:t>2.2</w:t>
      </w:r>
      <w:r w:rsidR="00195FA4" w:rsidRPr="00D00972">
        <w:rPr>
          <w:lang w:eastAsia="en-GB"/>
        </w:rPr>
        <w:fldChar w:fldCharType="end"/>
      </w:r>
      <w:r w:rsidR="00195FA4" w:rsidRPr="00D00972">
        <w:rPr>
          <w:lang w:eastAsia="en-GB"/>
        </w:rPr>
        <w:t>).</w:t>
      </w:r>
      <w:r w:rsidRPr="00D00972">
        <w:rPr>
          <w:lang w:eastAsia="en-GB"/>
        </w:rPr>
        <w:t xml:space="preserve"> </w:t>
      </w:r>
      <w:r w:rsidR="00DC1D8D" w:rsidRPr="00D00972">
        <w:rPr>
          <w:lang w:eastAsia="en-GB"/>
        </w:rPr>
        <w:t xml:space="preserve">The issue of </w:t>
      </w:r>
      <w:r w:rsidRPr="00D00972">
        <w:rPr>
          <w:lang w:eastAsia="en-GB"/>
        </w:rPr>
        <w:t>data quantity necessarily raise</w:t>
      </w:r>
      <w:r w:rsidR="00DC1D8D" w:rsidRPr="00D00972">
        <w:rPr>
          <w:lang w:eastAsia="en-GB"/>
        </w:rPr>
        <w:t>s</w:t>
      </w:r>
      <w:r w:rsidRPr="00D00972">
        <w:rPr>
          <w:lang w:eastAsia="en-GB"/>
        </w:rPr>
        <w:t xml:space="preserve"> questions about data sharing and use processes in surveillance systems. </w:t>
      </w:r>
      <w:r w:rsidRPr="00D00972">
        <w:rPr>
          <w:rFonts w:eastAsia="Times New Roman" w:cs="Calibri"/>
          <w:lang w:eastAsia="en-GB"/>
        </w:rPr>
        <w:t>We note, as described in</w:t>
      </w:r>
      <w:r w:rsidR="00EE25DC">
        <w:rPr>
          <w:rFonts w:eastAsia="Times New Roman" w:cs="Calibri"/>
          <w:lang w:eastAsia="en-GB"/>
        </w:rPr>
        <w:t xml:space="preserve"> </w:t>
      </w:r>
      <w:r w:rsidR="00EE25DC">
        <w:rPr>
          <w:rFonts w:eastAsia="Times New Roman" w:cs="Calibri"/>
          <w:lang w:eastAsia="en-GB"/>
        </w:rPr>
        <w:fldChar w:fldCharType="begin"/>
      </w:r>
      <w:r w:rsidR="00EE25DC">
        <w:rPr>
          <w:rFonts w:eastAsia="Times New Roman" w:cs="Calibri"/>
          <w:lang w:eastAsia="en-GB"/>
        </w:rPr>
        <w:instrText xml:space="preserve"> REF _Ref144719903 \h </w:instrText>
      </w:r>
      <w:r w:rsidR="00EE25DC">
        <w:rPr>
          <w:rFonts w:eastAsia="Times New Roman" w:cs="Calibri"/>
          <w:lang w:eastAsia="en-GB"/>
        </w:rPr>
      </w:r>
      <w:r w:rsidR="00EE25DC">
        <w:rPr>
          <w:rFonts w:eastAsia="Times New Roman" w:cs="Calibri"/>
          <w:lang w:eastAsia="en-GB"/>
        </w:rPr>
        <w:fldChar w:fldCharType="separate"/>
      </w:r>
      <w:r w:rsidR="0031444E">
        <w:t xml:space="preserve">Box </w:t>
      </w:r>
      <w:r w:rsidR="0031444E">
        <w:rPr>
          <w:noProof/>
        </w:rPr>
        <w:t>1</w:t>
      </w:r>
      <w:r w:rsidR="00EE25DC">
        <w:rPr>
          <w:rFonts w:eastAsia="Times New Roman" w:cs="Calibri"/>
          <w:lang w:eastAsia="en-GB"/>
        </w:rPr>
        <w:fldChar w:fldCharType="end"/>
      </w:r>
      <w:r w:rsidRPr="00D00972">
        <w:rPr>
          <w:rFonts w:eastAsia="Times New Roman" w:cs="Calibri"/>
          <w:lang w:eastAsia="en-GB"/>
        </w:rPr>
        <w:t xml:space="preserve">, </w:t>
      </w:r>
      <w:r w:rsidR="00D316A4" w:rsidRPr="00D00972">
        <w:rPr>
          <w:rFonts w:eastAsia="Times New Roman" w:cs="Calibri"/>
          <w:lang w:eastAsia="en-GB"/>
        </w:rPr>
        <w:t xml:space="preserve">that </w:t>
      </w:r>
      <w:r w:rsidR="006C16B0" w:rsidRPr="008A5F96">
        <w:rPr>
          <w:rFonts w:cs="Calibri"/>
        </w:rPr>
        <w:t xml:space="preserve">healthcare providers </w:t>
      </w:r>
      <w:r w:rsidR="006C16B0">
        <w:rPr>
          <w:rFonts w:cs="Calibri"/>
        </w:rPr>
        <w:t xml:space="preserve">furnish </w:t>
      </w:r>
      <w:r w:rsidRPr="00D00972">
        <w:rPr>
          <w:rFonts w:eastAsia="Times New Roman" w:cs="Calibri"/>
          <w:lang w:eastAsia="en-GB"/>
        </w:rPr>
        <w:t>a useful set of surveillance data</w:t>
      </w:r>
      <w:r w:rsidRPr="008A5F96">
        <w:rPr>
          <w:rFonts w:cs="Calibri"/>
        </w:rPr>
        <w:t xml:space="preserve"> from on a range of key syndromic infection diagnoses (e.g. </w:t>
      </w:r>
      <w:r w:rsidR="00AA6A7B">
        <w:rPr>
          <w:rFonts w:cs="Calibri"/>
        </w:rPr>
        <w:t>‘</w:t>
      </w:r>
      <w:r w:rsidRPr="008A5F96">
        <w:rPr>
          <w:rFonts w:cs="Calibri"/>
        </w:rPr>
        <w:t>sepsis</w:t>
      </w:r>
      <w:r w:rsidR="00AA6A7B">
        <w:rPr>
          <w:rFonts w:cs="Calibri"/>
        </w:rPr>
        <w:t>’</w:t>
      </w:r>
      <w:r w:rsidRPr="008A5F96">
        <w:rPr>
          <w:rFonts w:cs="Calibri"/>
        </w:rPr>
        <w:t xml:space="preserve">, urinary tract infections, </w:t>
      </w:r>
      <w:r w:rsidR="00D316A4" w:rsidRPr="00D00972">
        <w:rPr>
          <w:rFonts w:cs="Calibri"/>
        </w:rPr>
        <w:t xml:space="preserve">and </w:t>
      </w:r>
      <w:r w:rsidRPr="00D00972">
        <w:rPr>
          <w:rFonts w:cs="Calibri"/>
        </w:rPr>
        <w:t>s</w:t>
      </w:r>
      <w:r w:rsidRPr="008A5F96">
        <w:rPr>
          <w:rFonts w:cs="Calibri"/>
        </w:rPr>
        <w:t>exually transmitted infections)</w:t>
      </w:r>
      <w:r w:rsidR="00DB0C71" w:rsidRPr="00D00972">
        <w:rPr>
          <w:rFonts w:cs="Calibri"/>
        </w:rPr>
        <w:t>. It would also</w:t>
      </w:r>
      <w:r w:rsidRPr="00D00972">
        <w:rPr>
          <w:rFonts w:cs="Calibri"/>
        </w:rPr>
        <w:t xml:space="preserve"> provide information on the number of cases where AMR is not found and link </w:t>
      </w:r>
      <w:r w:rsidRPr="008A5F96">
        <w:rPr>
          <w:rFonts w:cs="Calibri"/>
        </w:rPr>
        <w:t>clinical, demographic and laboratory data.</w:t>
      </w:r>
      <w:r w:rsidRPr="00D00972">
        <w:rPr>
          <w:rFonts w:eastAsia="Times New Roman" w:cs="Calibri"/>
          <w:lang w:eastAsia="en-GB"/>
        </w:rPr>
        <w:t xml:space="preserve"> Ideally, all of these types of data should be available for each case, as interpretation is challenging if key data points are missing. By implication, even if</w:t>
      </w:r>
      <w:r w:rsidR="00DB0C71" w:rsidRPr="00D00972">
        <w:rPr>
          <w:rFonts w:eastAsia="Times New Roman" w:cs="Calibri"/>
          <w:lang w:eastAsia="en-GB"/>
        </w:rPr>
        <w:t xml:space="preserve"> the</w:t>
      </w:r>
      <w:r w:rsidRPr="00D00972">
        <w:rPr>
          <w:rFonts w:eastAsia="Times New Roman" w:cs="Calibri"/>
          <w:lang w:eastAsia="en-GB"/>
        </w:rPr>
        <w:t xml:space="preserve"> data on </w:t>
      </w:r>
      <w:r w:rsidR="00DC1D8D" w:rsidRPr="00D00972">
        <w:rPr>
          <w:rFonts w:eastAsia="Times New Roman" w:cs="Calibri"/>
          <w:lang w:eastAsia="en-GB"/>
        </w:rPr>
        <w:t>increased</w:t>
      </w:r>
      <w:r w:rsidRPr="00D00972">
        <w:rPr>
          <w:rFonts w:eastAsia="Times New Roman" w:cs="Calibri"/>
          <w:lang w:eastAsia="en-GB"/>
        </w:rPr>
        <w:t xml:space="preserve"> reported instances of AMR </w:t>
      </w:r>
      <w:r w:rsidR="00DB0C71" w:rsidRPr="00D00972">
        <w:rPr>
          <w:rFonts w:eastAsia="Times New Roman" w:cs="Calibri"/>
          <w:lang w:eastAsia="en-GB"/>
        </w:rPr>
        <w:t>is</w:t>
      </w:r>
      <w:r w:rsidRPr="00D00972">
        <w:rPr>
          <w:rFonts w:eastAsia="Times New Roman" w:cs="Calibri"/>
          <w:lang w:eastAsia="en-GB"/>
        </w:rPr>
        <w:t xml:space="preserve"> easily accessible, its utility above the level of the facility in which the test was carried out would be limited </w:t>
      </w:r>
      <w:r w:rsidR="00DB0C71" w:rsidRPr="00D00972">
        <w:rPr>
          <w:rFonts w:eastAsia="Times New Roman" w:cs="Calibri"/>
          <w:lang w:eastAsia="en-GB"/>
        </w:rPr>
        <w:t>without being</w:t>
      </w:r>
      <w:r w:rsidRPr="00D00972">
        <w:rPr>
          <w:rFonts w:eastAsia="Times New Roman" w:cs="Calibri"/>
          <w:lang w:eastAsia="en-GB"/>
        </w:rPr>
        <w:t xml:space="preserve"> linked with the other required information.</w:t>
      </w:r>
    </w:p>
    <w:p w14:paraId="1578E383" w14:textId="04DA594F" w:rsidR="00FF2998" w:rsidRPr="00D00972" w:rsidRDefault="005B080F" w:rsidP="00B46F7A">
      <w:pPr>
        <w:pStyle w:val="ItadNormalText"/>
        <w:rPr>
          <w:lang w:eastAsia="en-GB"/>
        </w:rPr>
      </w:pPr>
      <w:bookmarkStart w:id="202" w:name="_Hlk129265941"/>
      <w:bookmarkStart w:id="203" w:name="_Hlk136461193"/>
      <w:bookmarkEnd w:id="200"/>
      <w:bookmarkEnd w:id="201"/>
      <w:r w:rsidRPr="00146E7B">
        <w:rPr>
          <w:b/>
          <w:bCs/>
          <w:lang w:eastAsia="en-GB"/>
        </w:rPr>
        <w:t>Finding 2.1.</w:t>
      </w:r>
      <w:r w:rsidR="00453B07" w:rsidRPr="00146E7B">
        <w:rPr>
          <w:b/>
          <w:bCs/>
          <w:lang w:eastAsia="en-GB"/>
        </w:rPr>
        <w:t>7</w:t>
      </w:r>
      <w:r w:rsidRPr="00146E7B">
        <w:rPr>
          <w:b/>
          <w:bCs/>
          <w:lang w:eastAsia="en-GB"/>
        </w:rPr>
        <w:t xml:space="preserve">: </w:t>
      </w:r>
      <w:r w:rsidR="00FF2998" w:rsidRPr="00146E7B">
        <w:rPr>
          <w:b/>
          <w:bCs/>
          <w:lang w:eastAsia="en-GB"/>
        </w:rPr>
        <w:t xml:space="preserve">There is evidence of increases in the quantity of </w:t>
      </w:r>
      <w:r w:rsidR="009C7EC2" w:rsidRPr="00146E7B">
        <w:rPr>
          <w:b/>
          <w:bCs/>
          <w:lang w:eastAsia="en-GB"/>
        </w:rPr>
        <w:t xml:space="preserve">AH </w:t>
      </w:r>
      <w:r w:rsidR="00FF2998" w:rsidRPr="00146E7B">
        <w:rPr>
          <w:b/>
          <w:bCs/>
          <w:lang w:eastAsia="en-GB"/>
        </w:rPr>
        <w:t xml:space="preserve">AMR surveillance data in 13 out of 16 countries (81%), with variation across the Fleming Fund country portfolio, although less confidence in the exact extent of change. </w:t>
      </w:r>
      <w:r w:rsidR="00453B07" w:rsidRPr="00146E7B">
        <w:rPr>
          <w:rFonts w:eastAsia="Calibri"/>
          <w:b/>
          <w:bCs/>
          <w:lang w:eastAsia="en-GB"/>
        </w:rPr>
        <w:t>Of the three countries not demonstrating increased AMR data availability in AH, two had not received 36 months</w:t>
      </w:r>
      <w:r w:rsidR="00B27202" w:rsidRPr="00146E7B">
        <w:rPr>
          <w:rFonts w:eastAsia="Calibri"/>
          <w:b/>
          <w:bCs/>
          <w:lang w:eastAsia="en-GB"/>
        </w:rPr>
        <w:t>’</w:t>
      </w:r>
      <w:r w:rsidR="00453B07" w:rsidRPr="00146E7B">
        <w:rPr>
          <w:rFonts w:eastAsia="Calibri"/>
          <w:b/>
          <w:bCs/>
          <w:lang w:eastAsia="en-GB"/>
        </w:rPr>
        <w:t xml:space="preserve"> support and one lacked firm evidence of any increases</w:t>
      </w:r>
      <w:r w:rsidR="00453B07" w:rsidRPr="00D00972">
        <w:rPr>
          <w:rFonts w:eastAsia="Calibri"/>
          <w:lang w:eastAsia="en-GB"/>
        </w:rPr>
        <w:t xml:space="preserve">. </w:t>
      </w:r>
      <w:r w:rsidR="00FF2998" w:rsidRPr="00D00972">
        <w:rPr>
          <w:lang w:eastAsia="en-GB"/>
        </w:rPr>
        <w:t>Similar to HH, we attempted to collate data on samples and isolates but instead of patients tested</w:t>
      </w:r>
      <w:r w:rsidR="002C21CC" w:rsidRPr="00D00972">
        <w:rPr>
          <w:lang w:eastAsia="en-GB"/>
        </w:rPr>
        <w:t>,</w:t>
      </w:r>
      <w:r w:rsidR="00FF2998" w:rsidRPr="00D00972">
        <w:rPr>
          <w:lang w:eastAsia="en-GB"/>
        </w:rPr>
        <w:t xml:space="preserve"> we looked for data on animals tested.</w:t>
      </w:r>
      <w:r w:rsidR="00FF2998" w:rsidRPr="00D00972" w:rsidDel="007D2E99">
        <w:rPr>
          <w:lang w:eastAsia="en-GB"/>
        </w:rPr>
        <w:t xml:space="preserve"> </w:t>
      </w:r>
      <w:r w:rsidR="00FF2998" w:rsidRPr="00D00972">
        <w:rPr>
          <w:lang w:eastAsia="en-GB"/>
        </w:rPr>
        <w:t xml:space="preserve">Unlike in HH we also asked for information on the number of sampling rounds completed as part of active surveillance (see </w:t>
      </w:r>
      <w:r w:rsidR="004017C3">
        <w:rPr>
          <w:lang w:eastAsia="en-GB"/>
        </w:rPr>
        <w:fldChar w:fldCharType="begin"/>
      </w:r>
      <w:r w:rsidR="004017C3">
        <w:rPr>
          <w:lang w:eastAsia="en-GB"/>
        </w:rPr>
        <w:instrText xml:space="preserve"> REF _Ref144719903 \h </w:instrText>
      </w:r>
      <w:r w:rsidR="004017C3">
        <w:rPr>
          <w:lang w:eastAsia="en-GB"/>
        </w:rPr>
      </w:r>
      <w:r w:rsidR="004017C3">
        <w:rPr>
          <w:lang w:eastAsia="en-GB"/>
        </w:rPr>
        <w:fldChar w:fldCharType="separate"/>
      </w:r>
      <w:r w:rsidR="0031444E">
        <w:t xml:space="preserve">Box </w:t>
      </w:r>
      <w:r w:rsidR="0031444E">
        <w:rPr>
          <w:noProof/>
        </w:rPr>
        <w:t>1</w:t>
      </w:r>
      <w:r w:rsidR="004017C3">
        <w:rPr>
          <w:lang w:eastAsia="en-GB"/>
        </w:rPr>
        <w:fldChar w:fldCharType="end"/>
      </w:r>
      <w:r w:rsidR="004017C3">
        <w:rPr>
          <w:lang w:eastAsia="en-GB"/>
        </w:rPr>
        <w:t xml:space="preserve"> </w:t>
      </w:r>
      <w:r w:rsidR="00FF2998" w:rsidRPr="00D00972">
        <w:rPr>
          <w:lang w:eastAsia="en-GB"/>
        </w:rPr>
        <w:t>and</w:t>
      </w:r>
      <w:r w:rsidR="00076E67">
        <w:rPr>
          <w:lang w:eastAsia="en-GB"/>
        </w:rPr>
        <w:t xml:space="preserve"> </w:t>
      </w:r>
      <w:r w:rsidR="00076E67">
        <w:rPr>
          <w:lang w:eastAsia="en-GB"/>
        </w:rPr>
        <w:fldChar w:fldCharType="begin"/>
      </w:r>
      <w:r w:rsidR="00076E67">
        <w:rPr>
          <w:lang w:eastAsia="en-GB"/>
        </w:rPr>
        <w:instrText xml:space="preserve"> REF _Ref144720177 \h </w:instrText>
      </w:r>
      <w:r w:rsidR="00076E67">
        <w:rPr>
          <w:lang w:eastAsia="en-GB"/>
        </w:rPr>
      </w:r>
      <w:r w:rsidR="00076E67">
        <w:rPr>
          <w:lang w:eastAsia="en-GB"/>
        </w:rPr>
        <w:fldChar w:fldCharType="separate"/>
      </w:r>
      <w:r w:rsidR="00076E67">
        <w:t xml:space="preserve">Box </w:t>
      </w:r>
      <w:r w:rsidR="00076E67">
        <w:rPr>
          <w:noProof/>
        </w:rPr>
        <w:t>8</w:t>
      </w:r>
      <w:r w:rsidR="00076E67">
        <w:rPr>
          <w:lang w:eastAsia="en-GB"/>
        </w:rPr>
        <w:fldChar w:fldCharType="end"/>
      </w:r>
      <w:r w:rsidR="00FF2998" w:rsidRPr="00146E7B">
        <w:rPr>
          <w:rFonts w:eastAsia="Times New Roman" w:cs="Calibri"/>
          <w:lang w:eastAsia="en-GB"/>
        </w:rPr>
        <w:t>)</w:t>
      </w:r>
      <w:r w:rsidR="00FF2998" w:rsidRPr="00146E7B">
        <w:rPr>
          <w:lang w:eastAsia="en-GB"/>
        </w:rPr>
        <w:t xml:space="preserve">, given the intent of the Fleming Fund was to increase evidence drawn from active rather than passive surveillance methods. </w:t>
      </w:r>
      <w:r w:rsidR="00FA4487" w:rsidRPr="00146E7B">
        <w:rPr>
          <w:lang w:eastAsia="en-GB"/>
        </w:rPr>
        <w:t xml:space="preserve">In 2018, there was no active ongoing AH surveillance </w:t>
      </w:r>
      <w:r w:rsidR="00FA4487" w:rsidRPr="007D2EFB">
        <w:rPr>
          <w:lang w:eastAsia="en-GB"/>
        </w:rPr>
        <w:t>in three out of 16 countries.</w:t>
      </w:r>
      <w:r w:rsidR="00DC1D8D" w:rsidRPr="007D2EFB">
        <w:rPr>
          <w:lang w:eastAsia="en-GB"/>
        </w:rPr>
        <w:t xml:space="preserve"> </w:t>
      </w:r>
      <w:r w:rsidR="00FF2998" w:rsidRPr="007D2EFB">
        <w:rPr>
          <w:lang w:eastAsia="en-GB"/>
        </w:rPr>
        <w:t xml:space="preserve">From a low baseline, there is evidence of increases in the quantity of data in most countries, which is corroborated through KIIs and triangulated through other documentation. </w:t>
      </w:r>
      <w:r w:rsidR="00A358CB" w:rsidRPr="007D2EFB">
        <w:rPr>
          <w:lang w:eastAsia="en-GB"/>
        </w:rPr>
        <w:t xml:space="preserve">See Annex </w:t>
      </w:r>
      <w:r w:rsidR="00F614CE" w:rsidRPr="007D2EFB">
        <w:rPr>
          <w:lang w:eastAsia="en-GB"/>
        </w:rPr>
        <w:t xml:space="preserve">8.1, </w:t>
      </w:r>
      <w:r w:rsidR="00AA6A7B" w:rsidRPr="007D2EFB">
        <w:rPr>
          <w:lang w:eastAsia="en-GB"/>
        </w:rPr>
        <w:t>Table</w:t>
      </w:r>
      <w:r w:rsidR="00F614CE" w:rsidRPr="007D2EFB">
        <w:rPr>
          <w:lang w:eastAsia="en-GB"/>
        </w:rPr>
        <w:t xml:space="preserve"> 2</w:t>
      </w:r>
      <w:r w:rsidR="005518D5" w:rsidRPr="007D2EFB">
        <w:rPr>
          <w:lang w:eastAsia="en-GB"/>
        </w:rPr>
        <w:t>8</w:t>
      </w:r>
      <w:r w:rsidR="00F614CE" w:rsidRPr="007D2EFB">
        <w:rPr>
          <w:lang w:eastAsia="en-GB"/>
        </w:rPr>
        <w:t xml:space="preserve"> for more information.</w:t>
      </w:r>
    </w:p>
    <w:p w14:paraId="59BCD548" w14:textId="6932A75A" w:rsidR="00FF2998" w:rsidRPr="00D00972" w:rsidRDefault="4BD3A707" w:rsidP="00B46F7A">
      <w:pPr>
        <w:pStyle w:val="ItadNormalText"/>
        <w:rPr>
          <w:lang w:eastAsia="en-GB"/>
        </w:rPr>
      </w:pPr>
      <w:r w:rsidRPr="4EF651D4">
        <w:rPr>
          <w:lang w:eastAsia="en-GB"/>
        </w:rPr>
        <w:t>Of the three countries not demonstrating increased AMR data availability in AH, two had not received support</w:t>
      </w:r>
      <w:r w:rsidR="70884F55" w:rsidRPr="4EF651D4">
        <w:rPr>
          <w:lang w:eastAsia="en-GB"/>
        </w:rPr>
        <w:t xml:space="preserve"> for</w:t>
      </w:r>
      <w:r w:rsidRPr="4EF651D4">
        <w:rPr>
          <w:lang w:eastAsia="en-GB"/>
        </w:rPr>
        <w:t xml:space="preserve"> </w:t>
      </w:r>
      <w:r w:rsidR="70884F55" w:rsidRPr="4EF651D4">
        <w:rPr>
          <w:lang w:eastAsia="en-GB"/>
        </w:rPr>
        <w:t xml:space="preserve">36 months </w:t>
      </w:r>
      <w:r w:rsidRPr="4EF651D4">
        <w:rPr>
          <w:lang w:eastAsia="en-GB"/>
        </w:rPr>
        <w:t xml:space="preserve">and one lacked firm </w:t>
      </w:r>
      <w:r>
        <w:t>evidence</w:t>
      </w:r>
      <w:r w:rsidRPr="4EF651D4">
        <w:rPr>
          <w:lang w:eastAsia="en-GB"/>
        </w:rPr>
        <w:t xml:space="preserve"> of</w:t>
      </w:r>
      <w:r w:rsidR="31B31E95" w:rsidRPr="4EF651D4">
        <w:rPr>
          <w:lang w:eastAsia="en-GB"/>
        </w:rPr>
        <w:t xml:space="preserve"> any</w:t>
      </w:r>
      <w:r w:rsidRPr="4EF651D4">
        <w:rPr>
          <w:lang w:eastAsia="en-GB"/>
        </w:rPr>
        <w:t xml:space="preserve"> increases.</w:t>
      </w:r>
      <w:r w:rsidR="46C0A282" w:rsidRPr="4EF651D4">
        <w:rPr>
          <w:b/>
          <w:bCs/>
          <w:lang w:eastAsia="en-GB"/>
        </w:rPr>
        <w:t xml:space="preserve"> </w:t>
      </w:r>
      <w:r w:rsidRPr="4EF651D4">
        <w:rPr>
          <w:lang w:eastAsia="en-GB"/>
        </w:rPr>
        <w:t>As noted above, data availability increased in 13 out of the 16 countries where the evaluation collected data..</w:t>
      </w:r>
      <w:r w:rsidR="46C0A282" w:rsidRPr="4EF651D4">
        <w:rPr>
          <w:lang w:eastAsia="en-GB"/>
        </w:rPr>
        <w:t xml:space="preserve"> </w:t>
      </w:r>
      <w:r w:rsidRPr="4EF651D4">
        <w:rPr>
          <w:lang w:eastAsia="en-GB"/>
        </w:rPr>
        <w:t xml:space="preserve">Of </w:t>
      </w:r>
      <w:r w:rsidR="005C7D9A">
        <w:rPr>
          <w:lang w:eastAsia="en-GB"/>
        </w:rPr>
        <w:t>the three exceptions</w:t>
      </w:r>
      <w:r w:rsidRPr="4EF651D4">
        <w:rPr>
          <w:lang w:eastAsia="en-GB"/>
        </w:rPr>
        <w:t>, two did not receive 36 months</w:t>
      </w:r>
      <w:r w:rsidR="09AD1EB8" w:rsidRPr="4EF651D4">
        <w:rPr>
          <w:lang w:eastAsia="en-GB"/>
        </w:rPr>
        <w:t>’</w:t>
      </w:r>
      <w:r w:rsidR="21750F23" w:rsidRPr="4EF651D4">
        <w:rPr>
          <w:lang w:eastAsia="en-GB"/>
        </w:rPr>
        <w:t xml:space="preserve"> </w:t>
      </w:r>
      <w:r w:rsidRPr="4EF651D4">
        <w:rPr>
          <w:lang w:eastAsia="en-GB"/>
        </w:rPr>
        <w:t>support in the AH sector. As with HH, in Pakistan we experienced challenges in obtaining data from country-level sources to confirm trends in data availability</w:t>
      </w:r>
      <w:r w:rsidR="048BA10C" w:rsidRPr="4EF651D4">
        <w:rPr>
          <w:lang w:eastAsia="en-GB"/>
        </w:rPr>
        <w:t>,</w:t>
      </w:r>
      <w:r w:rsidRPr="4EF651D4">
        <w:rPr>
          <w:lang w:eastAsia="en-GB"/>
        </w:rPr>
        <w:t xml:space="preserve"> </w:t>
      </w:r>
      <w:r w:rsidR="048BA10C" w:rsidRPr="4EF651D4">
        <w:rPr>
          <w:lang w:eastAsia="en-GB"/>
        </w:rPr>
        <w:t>making it difficult to see if there were any increases.</w:t>
      </w:r>
    </w:p>
    <w:p w14:paraId="3F3D33C6" w14:textId="0D741BDE" w:rsidR="00FF2998" w:rsidRPr="00D00972" w:rsidRDefault="00FF2998" w:rsidP="00B27202">
      <w:pPr>
        <w:pStyle w:val="ItadNormalText"/>
        <w:rPr>
          <w:lang w:eastAsia="en-GB"/>
        </w:rPr>
      </w:pPr>
      <w:r w:rsidRPr="00B46F7A">
        <w:rPr>
          <w:rFonts w:eastAsia="Calibri"/>
          <w:lang w:eastAsia="en-GB"/>
        </w:rPr>
        <w:t xml:space="preserve">For the AH sector, it is important to note that </w:t>
      </w:r>
      <w:r w:rsidRPr="00B46F7A">
        <w:rPr>
          <w:lang w:eastAsia="en-GB"/>
        </w:rPr>
        <w:t>increases in data derived from active surveillance have been modest at this stage. We note that, reflecting practice in 2018, a significant amount of AMR data reported is derived from passive surveillance and not the active surveillance approach proposed by the Fleming Fund.</w:t>
      </w:r>
      <w:r w:rsidR="00DC1D8D" w:rsidRPr="00B46F7A">
        <w:rPr>
          <w:lang w:eastAsia="en-GB"/>
        </w:rPr>
        <w:t xml:space="preserve"> </w:t>
      </w:r>
      <w:r w:rsidRPr="00B46F7A">
        <w:rPr>
          <w:lang w:eastAsia="en-GB"/>
        </w:rPr>
        <w:t>It is not clear whether these data</w:t>
      </w:r>
      <w:r w:rsidR="00B27202">
        <w:rPr>
          <w:lang w:eastAsia="en-GB"/>
        </w:rPr>
        <w:t>sets</w:t>
      </w:r>
      <w:r w:rsidRPr="00B46F7A">
        <w:rPr>
          <w:lang w:eastAsia="en-GB"/>
        </w:rPr>
        <w:t xml:space="preserve"> are generated from production systems that are </w:t>
      </w:r>
      <w:r w:rsidR="00E616AE" w:rsidRPr="00B46F7A">
        <w:rPr>
          <w:lang w:eastAsia="en-GB"/>
        </w:rPr>
        <w:t xml:space="preserve">the </w:t>
      </w:r>
      <w:r w:rsidRPr="00B46F7A">
        <w:rPr>
          <w:lang w:eastAsia="en-GB"/>
        </w:rPr>
        <w:t xml:space="preserve">most </w:t>
      </w:r>
      <w:r w:rsidR="00E616AE" w:rsidRPr="00B46F7A">
        <w:rPr>
          <w:lang w:eastAsia="en-GB"/>
        </w:rPr>
        <w:t xml:space="preserve">relevant </w:t>
      </w:r>
      <w:r w:rsidRPr="00B46F7A">
        <w:rPr>
          <w:lang w:eastAsia="en-GB"/>
        </w:rPr>
        <w:t xml:space="preserve">for analysing AMR; the risk is that data from passive systems </w:t>
      </w:r>
      <w:r w:rsidR="00B27202">
        <w:rPr>
          <w:lang w:eastAsia="en-GB"/>
        </w:rPr>
        <w:t>is</w:t>
      </w:r>
      <w:r w:rsidR="00B27202" w:rsidRPr="00B46F7A">
        <w:rPr>
          <w:lang w:eastAsia="en-GB"/>
        </w:rPr>
        <w:t xml:space="preserve"> </w:t>
      </w:r>
      <w:r w:rsidRPr="00B46F7A">
        <w:rPr>
          <w:lang w:eastAsia="en-GB"/>
        </w:rPr>
        <w:t>driven by the dynamics in the AH sector</w:t>
      </w:r>
      <w:r w:rsidR="00C116D5" w:rsidRPr="00B46F7A">
        <w:rPr>
          <w:rStyle w:val="FootnoteReference"/>
          <w:rFonts w:eastAsia="Times New Roman"/>
          <w:lang w:eastAsia="en-GB"/>
        </w:rPr>
        <w:footnoteReference w:id="77"/>
      </w:r>
      <w:r w:rsidRPr="00B46F7A">
        <w:rPr>
          <w:lang w:eastAsia="en-GB"/>
        </w:rPr>
        <w:t xml:space="preserve"> rather than focusing </w:t>
      </w:r>
      <w:r w:rsidR="00E616AE" w:rsidRPr="00B46F7A">
        <w:rPr>
          <w:lang w:eastAsia="en-GB"/>
        </w:rPr>
        <w:t xml:space="preserve">on </w:t>
      </w:r>
      <w:r w:rsidRPr="00B46F7A">
        <w:rPr>
          <w:lang w:eastAsia="en-GB"/>
        </w:rPr>
        <w:t>sampling where the risk of AMR is thought to be more significant.</w:t>
      </w:r>
    </w:p>
    <w:p w14:paraId="64B1823C" w14:textId="27FD2DC5" w:rsidR="00FF2998" w:rsidRPr="00D00972" w:rsidRDefault="0604FBCD" w:rsidP="00B46F7A">
      <w:pPr>
        <w:pStyle w:val="ItadNormalText"/>
        <w:rPr>
          <w:sz w:val="18"/>
          <w:szCs w:val="18"/>
          <w:lang w:eastAsia="en-GB"/>
        </w:rPr>
      </w:pPr>
      <w:bookmarkStart w:id="204" w:name="_Hlk129281650"/>
      <w:bookmarkEnd w:id="202"/>
      <w:r w:rsidRPr="00B46F7A">
        <w:rPr>
          <w:b/>
          <w:bCs/>
          <w:lang w:eastAsia="en-GB"/>
        </w:rPr>
        <w:t>Finding 2.1.</w:t>
      </w:r>
      <w:r w:rsidR="33572038" w:rsidRPr="00B46F7A">
        <w:rPr>
          <w:b/>
          <w:bCs/>
          <w:lang w:eastAsia="en-GB"/>
        </w:rPr>
        <w:t>8</w:t>
      </w:r>
      <w:r w:rsidRPr="00B46F7A">
        <w:rPr>
          <w:b/>
          <w:bCs/>
          <w:lang w:eastAsia="en-GB"/>
        </w:rPr>
        <w:t xml:space="preserve">: </w:t>
      </w:r>
      <w:r w:rsidR="4BD3A707" w:rsidRPr="00B46F7A">
        <w:rPr>
          <w:b/>
          <w:bCs/>
          <w:lang w:eastAsia="en-GB"/>
        </w:rPr>
        <w:t>Improvements in internal systems ensuring the quality of AMR testing were seen in HH and AH in a majority of countries but progress was mixed.</w:t>
      </w:r>
      <w:r w:rsidR="4BD3A707" w:rsidRPr="00D00972">
        <w:rPr>
          <w:lang w:eastAsia="en-GB"/>
        </w:rPr>
        <w:t xml:space="preserve"> As stated above, in 2018, </w:t>
      </w:r>
      <w:r w:rsidR="4BD3A707" w:rsidRPr="00D00972">
        <w:rPr>
          <w:rFonts w:eastAsia="Calibri" w:cs="Calibri"/>
        </w:rPr>
        <w:t xml:space="preserve">only three out of 16 of the focus countries reached the </w:t>
      </w:r>
      <w:r w:rsidR="12EABA28">
        <w:rPr>
          <w:rFonts w:eastAsia="Calibri" w:cs="Calibri"/>
        </w:rPr>
        <w:t>‘</w:t>
      </w:r>
      <w:r w:rsidR="4BD3A707" w:rsidRPr="00D00972">
        <w:rPr>
          <w:rFonts w:eastAsia="Calibri" w:cs="Calibri"/>
        </w:rPr>
        <w:t>core</w:t>
      </w:r>
      <w:r w:rsidR="12EABA28">
        <w:rPr>
          <w:rFonts w:eastAsia="Calibri" w:cs="Calibri"/>
        </w:rPr>
        <w:t>’</w:t>
      </w:r>
      <w:r w:rsidR="4BD3A707" w:rsidRPr="00D00972">
        <w:rPr>
          <w:rFonts w:eastAsia="Calibri" w:cs="Calibri"/>
        </w:rPr>
        <w:t xml:space="preserve"> level for quality indicators (the minimum required for reliable testing) on the LSHTM roadmap for HH, with only one country achieving this in AH</w:t>
      </w:r>
      <w:r w:rsidR="13B26C71">
        <w:rPr>
          <w:rFonts w:eastAsia="Calibri" w:cs="Calibri"/>
        </w:rPr>
        <w:t xml:space="preserve"> (see Annex </w:t>
      </w:r>
      <w:r w:rsidR="13B26C71" w:rsidRPr="00B80740">
        <w:rPr>
          <w:rFonts w:eastAsia="Calibri" w:cs="Calibri"/>
        </w:rPr>
        <w:t>8.</w:t>
      </w:r>
      <w:r w:rsidR="4DB973BD" w:rsidRPr="00B80740">
        <w:rPr>
          <w:rFonts w:eastAsia="Calibri" w:cs="Calibri"/>
        </w:rPr>
        <w:t>2</w:t>
      </w:r>
      <w:r w:rsidR="13B26C71" w:rsidRPr="00B80740">
        <w:rPr>
          <w:rFonts w:eastAsia="Calibri" w:cs="Calibri"/>
        </w:rPr>
        <w:t xml:space="preserve"> </w:t>
      </w:r>
      <w:r w:rsidR="70884F55" w:rsidRPr="00B80740">
        <w:rPr>
          <w:rFonts w:eastAsia="Calibri" w:cs="Calibri"/>
        </w:rPr>
        <w:t>T</w:t>
      </w:r>
      <w:r w:rsidR="1E5D48F7" w:rsidRPr="00B80740">
        <w:rPr>
          <w:rFonts w:eastAsia="Calibri" w:cs="Calibri"/>
        </w:rPr>
        <w:t>ables 3</w:t>
      </w:r>
      <w:r w:rsidR="6B96CF78" w:rsidRPr="00B80740">
        <w:rPr>
          <w:rFonts w:eastAsia="Calibri" w:cs="Calibri"/>
        </w:rPr>
        <w:t>4</w:t>
      </w:r>
      <w:r w:rsidR="1E5D48F7" w:rsidRPr="00B80740">
        <w:rPr>
          <w:rFonts w:eastAsia="Calibri" w:cs="Calibri"/>
        </w:rPr>
        <w:t xml:space="preserve"> and 3</w:t>
      </w:r>
      <w:r w:rsidR="6B96CF78" w:rsidRPr="00B80740">
        <w:rPr>
          <w:rFonts w:eastAsia="Calibri" w:cs="Calibri"/>
        </w:rPr>
        <w:t>5</w:t>
      </w:r>
      <w:r w:rsidR="1E5D48F7" w:rsidRPr="00B80740">
        <w:rPr>
          <w:rFonts w:eastAsia="Calibri" w:cs="Calibri"/>
        </w:rPr>
        <w:t xml:space="preserve"> for more details)</w:t>
      </w:r>
      <w:r w:rsidR="4BD3A707" w:rsidRPr="00B80740">
        <w:rPr>
          <w:rFonts w:eastAsia="Calibri" w:cs="Calibri"/>
        </w:rPr>
        <w:t>.</w:t>
      </w:r>
      <w:r w:rsidR="4BD3A707" w:rsidRPr="00D00972">
        <w:rPr>
          <w:rFonts w:eastAsia="Calibri" w:cs="Calibri"/>
        </w:rPr>
        <w:t xml:space="preserve"> This meant that few laboratories were able to process </w:t>
      </w:r>
      <w:r w:rsidR="03E31431">
        <w:rPr>
          <w:rFonts w:eastAsia="Calibri"/>
        </w:rPr>
        <w:t>AST</w:t>
      </w:r>
      <w:r w:rsidR="4BD3A707" w:rsidRPr="00D00972">
        <w:rPr>
          <w:rFonts w:eastAsia="Calibri" w:cs="Calibri"/>
        </w:rPr>
        <w:t xml:space="preserve"> for all priority pathogens according to updated S</w:t>
      </w:r>
      <w:r w:rsidR="4196FC73">
        <w:rPr>
          <w:rFonts w:eastAsia="Calibri" w:cs="Calibri"/>
        </w:rPr>
        <w:t>OPs</w:t>
      </w:r>
      <w:r w:rsidR="4BD3A707" w:rsidRPr="00D00972">
        <w:rPr>
          <w:rFonts w:eastAsia="Calibri" w:cs="Calibri"/>
        </w:rPr>
        <w:t xml:space="preserve">. Evidence reported by the MA suggests that by 2022 progress had been </w:t>
      </w:r>
      <w:r w:rsidR="4BD3A707" w:rsidRPr="00D00972">
        <w:rPr>
          <w:lang w:eastAsia="en-GB"/>
        </w:rPr>
        <w:t>highly variable (</w:t>
      </w:r>
      <w:r w:rsidR="00EB481D">
        <w:rPr>
          <w:lang w:eastAsia="en-GB"/>
        </w:rPr>
        <w:fldChar w:fldCharType="begin"/>
      </w:r>
      <w:r w:rsidR="00EB481D">
        <w:rPr>
          <w:lang w:eastAsia="en-GB"/>
        </w:rPr>
        <w:instrText xml:space="preserve"> REF _Ref144718933 \h </w:instrText>
      </w:r>
      <w:r w:rsidR="00EB481D">
        <w:rPr>
          <w:lang w:eastAsia="en-GB"/>
        </w:rPr>
      </w:r>
      <w:r w:rsidR="00EB481D">
        <w:rPr>
          <w:lang w:eastAsia="en-GB"/>
        </w:rPr>
        <w:fldChar w:fldCharType="separate"/>
      </w:r>
      <w:r w:rsidR="30FC0FD6">
        <w:t xml:space="preserve">Figure </w:t>
      </w:r>
      <w:r w:rsidR="30FC0FD6">
        <w:rPr>
          <w:noProof/>
        </w:rPr>
        <w:t>14</w:t>
      </w:r>
      <w:r w:rsidR="00EB481D">
        <w:rPr>
          <w:lang w:eastAsia="en-GB"/>
        </w:rPr>
        <w:fldChar w:fldCharType="end"/>
      </w:r>
      <w:r w:rsidR="4BD3A707" w:rsidRPr="00D00972">
        <w:rPr>
          <w:lang w:eastAsia="en-GB"/>
        </w:rPr>
        <w:t>), with some countries only showing progress in some sites, and others showing progress across all sites for HH facilities. Variation in performance across the 16 countries appears more marked in AH than HH, where despite significant progress in some countries , progress overall has been limited.</w:t>
      </w:r>
      <w:r w:rsidR="4BD3A707" w:rsidRPr="00D00972">
        <w:rPr>
          <w:sz w:val="18"/>
          <w:szCs w:val="18"/>
          <w:lang w:eastAsia="en-GB"/>
        </w:rPr>
        <w:t xml:space="preserve"> </w:t>
      </w:r>
      <w:r w:rsidR="4BD3A707" w:rsidRPr="008A5F96">
        <w:rPr>
          <w:lang w:eastAsia="en-GB"/>
        </w:rPr>
        <w:t xml:space="preserve">Reasons given in KIIs for this variation </w:t>
      </w:r>
      <w:r w:rsidR="4BD3A707" w:rsidRPr="00D00972">
        <w:rPr>
          <w:lang w:eastAsia="en-GB"/>
        </w:rPr>
        <w:t>include a poorer than anticipated baseline situation,</w:t>
      </w:r>
      <w:r w:rsidR="4BD3A707" w:rsidRPr="00D00972" w:rsidDel="00F03CF1">
        <w:rPr>
          <w:lang w:eastAsia="en-GB"/>
        </w:rPr>
        <w:t xml:space="preserve"> </w:t>
      </w:r>
      <w:r w:rsidR="4BD3A707" w:rsidRPr="00D00972">
        <w:rPr>
          <w:lang w:eastAsia="en-GB"/>
        </w:rPr>
        <w:t xml:space="preserve">fewer government resources and infrastructure available in the </w:t>
      </w:r>
      <w:r w:rsidR="10811B28" w:rsidRPr="00D00972">
        <w:rPr>
          <w:lang w:eastAsia="en-GB"/>
        </w:rPr>
        <w:t>AH</w:t>
      </w:r>
      <w:r w:rsidR="4BD3A707" w:rsidRPr="00D00972">
        <w:rPr>
          <w:lang w:eastAsia="en-GB"/>
        </w:rPr>
        <w:t xml:space="preserve"> sector</w:t>
      </w:r>
      <w:r w:rsidR="35C738B1" w:rsidRPr="00D00972">
        <w:rPr>
          <w:lang w:eastAsia="en-GB"/>
        </w:rPr>
        <w:t>,</w:t>
      </w:r>
      <w:r w:rsidR="4BD3A707" w:rsidRPr="00D00972">
        <w:rPr>
          <w:lang w:eastAsia="en-GB"/>
        </w:rPr>
        <w:t xml:space="preserve"> and less demand for laboratory testing than in </w:t>
      </w:r>
      <w:r w:rsidR="10811B28" w:rsidRPr="00D00972">
        <w:rPr>
          <w:lang w:eastAsia="en-GB"/>
        </w:rPr>
        <w:t>HH</w:t>
      </w:r>
      <w:r w:rsidR="4BD3A707" w:rsidRPr="00D00972">
        <w:rPr>
          <w:lang w:eastAsia="en-GB"/>
        </w:rPr>
        <w:t xml:space="preserve"> facilities. We were unable to </w:t>
      </w:r>
      <w:r w:rsidR="35C738B1" w:rsidRPr="00D00972">
        <w:rPr>
          <w:lang w:eastAsia="en-GB"/>
        </w:rPr>
        <w:t>assess</w:t>
      </w:r>
      <w:r w:rsidR="4BD3A707" w:rsidRPr="00D00972">
        <w:rPr>
          <w:lang w:eastAsia="en-GB"/>
        </w:rPr>
        <w:t xml:space="preserve"> whether the number of countries reaching </w:t>
      </w:r>
      <w:r w:rsidR="35C738B1" w:rsidRPr="00D00972">
        <w:rPr>
          <w:lang w:eastAsia="en-GB"/>
        </w:rPr>
        <w:t xml:space="preserve">the </w:t>
      </w:r>
      <w:r w:rsidR="12EABA28">
        <w:rPr>
          <w:lang w:eastAsia="en-GB"/>
        </w:rPr>
        <w:t>‘</w:t>
      </w:r>
      <w:r w:rsidR="4BD3A707" w:rsidRPr="00D00972">
        <w:rPr>
          <w:lang w:eastAsia="en-GB"/>
        </w:rPr>
        <w:t>core</w:t>
      </w:r>
      <w:r w:rsidR="12EABA28">
        <w:rPr>
          <w:lang w:eastAsia="en-GB"/>
        </w:rPr>
        <w:t>’</w:t>
      </w:r>
      <w:r w:rsidR="4BD3A707" w:rsidRPr="00D00972">
        <w:rPr>
          <w:lang w:eastAsia="en-GB"/>
        </w:rPr>
        <w:t xml:space="preserve"> level had increased because this was not reported through the MA systems and </w:t>
      </w:r>
      <w:r w:rsidR="35C738B1" w:rsidRPr="00D00972">
        <w:rPr>
          <w:lang w:eastAsia="en-GB"/>
        </w:rPr>
        <w:t xml:space="preserve">was </w:t>
      </w:r>
      <w:r w:rsidR="10811B28" w:rsidRPr="00D00972">
        <w:rPr>
          <w:lang w:eastAsia="en-GB"/>
        </w:rPr>
        <w:t xml:space="preserve">not </w:t>
      </w:r>
      <w:r w:rsidR="4BD3A707" w:rsidRPr="00D00972">
        <w:rPr>
          <w:lang w:eastAsia="en-GB"/>
        </w:rPr>
        <w:t>feasible for the evaluation team to generate within available resources.</w:t>
      </w:r>
    </w:p>
    <w:bookmarkEnd w:id="203"/>
    <w:bookmarkEnd w:id="204"/>
    <w:p w14:paraId="08DE18E8" w14:textId="7E4F276E" w:rsidR="00FF2998" w:rsidRDefault="00FF2998" w:rsidP="00FF2998">
      <w:pPr>
        <w:tabs>
          <w:tab w:val="left" w:pos="1420"/>
        </w:tabs>
        <w:spacing w:before="120" w:after="120"/>
        <w:rPr>
          <w:rFonts w:eastAsia="Calibri"/>
          <w:color w:val="767171"/>
          <w:sz w:val="18"/>
          <w:szCs w:val="18"/>
          <w:lang w:eastAsia="en-GB"/>
        </w:rPr>
      </w:pPr>
      <w:r w:rsidRPr="008343D7">
        <w:rPr>
          <w:rFonts w:eastAsia="Calibri"/>
          <w:noProof/>
          <w:color w:val="767171"/>
          <w:sz w:val="18"/>
          <w:szCs w:val="18"/>
          <w:lang w:eastAsia="en-GB"/>
        </w:rPr>
        <w:drawing>
          <wp:anchor distT="0" distB="0" distL="114300" distR="114300" simplePos="0" relativeHeight="251658247" behindDoc="0" locked="0" layoutInCell="1" allowOverlap="1" wp14:anchorId="058927C1" wp14:editId="3DA8B147">
            <wp:simplePos x="0" y="0"/>
            <wp:positionH relativeFrom="margin">
              <wp:align>left</wp:align>
            </wp:positionH>
            <wp:positionV relativeFrom="paragraph">
              <wp:posOffset>233680</wp:posOffset>
            </wp:positionV>
            <wp:extent cx="5351780" cy="3473450"/>
            <wp:effectExtent l="19050" t="19050" r="20320" b="12700"/>
            <wp:wrapTopAndBottom/>
            <wp:docPr id="62761686" name="Picture 6276168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61723" name="Picture 62761723" descr="Chart, waterfall chart&#10;&#10;Description automatically generated"/>
                    <pic:cNvPicPr/>
                  </pic:nvPicPr>
                  <pic:blipFill rotWithShape="1">
                    <a:blip r:embed="rId37">
                      <a:extLst>
                        <a:ext uri="{28A0092B-C50C-407E-A947-70E740481C1C}">
                          <a14:useLocalDpi xmlns:a14="http://schemas.microsoft.com/office/drawing/2010/main" val="0"/>
                        </a:ext>
                      </a:extLst>
                    </a:blip>
                    <a:srcRect l="-1330" t="-1315" r="-568" b="-1418"/>
                    <a:stretch/>
                  </pic:blipFill>
                  <pic:spPr bwMode="auto">
                    <a:xfrm>
                      <a:off x="0" y="0"/>
                      <a:ext cx="5351780" cy="3473450"/>
                    </a:xfrm>
                    <a:prstGeom prst="rect">
                      <a:avLst/>
                    </a:prstGeom>
                    <a:ln>
                      <a:solidFill>
                        <a:srgbClr val="3B3B3C">
                          <a:lumMod val="20000"/>
                          <a:lumOff val="80000"/>
                        </a:srgbClr>
                      </a:solidFill>
                    </a:ln>
                    <a:extLst>
                      <a:ext uri="{53640926-AAD7-44D8-BBD7-CCE9431645EC}">
                        <a14:shadowObscured xmlns:a14="http://schemas.microsoft.com/office/drawing/2010/main"/>
                      </a:ext>
                    </a:extLst>
                  </pic:spPr>
                </pic:pic>
              </a:graphicData>
            </a:graphic>
          </wp:anchor>
        </w:drawing>
      </w:r>
    </w:p>
    <w:p w14:paraId="32F7E829" w14:textId="77777777" w:rsidR="00794C76" w:rsidRPr="001E7318" w:rsidRDefault="00794C76" w:rsidP="00794C76">
      <w:pPr>
        <w:pStyle w:val="ItadFigureCap"/>
        <w:jc w:val="left"/>
        <w:rPr>
          <w:rFonts w:eastAsia="Calibri"/>
          <w:noProof/>
          <w:color w:val="767171"/>
        </w:rPr>
      </w:pPr>
      <w:bookmarkStart w:id="205" w:name="_Ref144718933"/>
      <w:bookmarkStart w:id="206" w:name="_Toc144717856"/>
      <w:bookmarkStart w:id="207" w:name="_Hlk129283150"/>
      <w:bookmarkStart w:id="208" w:name="_Hlk136461278"/>
      <w:r>
        <w:t xml:space="preserve">Figure </w:t>
      </w:r>
      <w:r>
        <w:fldChar w:fldCharType="begin"/>
      </w:r>
      <w:r>
        <w:instrText>SEQ Figure \* ARABIC</w:instrText>
      </w:r>
      <w:r>
        <w:fldChar w:fldCharType="separate"/>
      </w:r>
      <w:r>
        <w:rPr>
          <w:noProof/>
        </w:rPr>
        <w:t>14</w:t>
      </w:r>
      <w:r>
        <w:fldChar w:fldCharType="end"/>
      </w:r>
      <w:bookmarkEnd w:id="205"/>
      <w:r>
        <w:t xml:space="preserve">: </w:t>
      </w:r>
      <w:r w:rsidRPr="001738F4">
        <w:t>Heatmap of quality of human health and animal health data</w:t>
      </w:r>
      <w:bookmarkEnd w:id="206"/>
    </w:p>
    <w:p w14:paraId="5F80DC3F" w14:textId="327424DB" w:rsidR="00FF2998" w:rsidRPr="008343D7" w:rsidRDefault="00FF2998" w:rsidP="008A5F96">
      <w:pPr>
        <w:pStyle w:val="ItadNormalText"/>
        <w:rPr>
          <w:lang w:eastAsia="en-GB"/>
        </w:rPr>
      </w:pPr>
      <w:r w:rsidRPr="00CB7D3E">
        <w:rPr>
          <w:noProof/>
          <w:lang w:eastAsia="en-GB"/>
        </w:rPr>
        <w:t xml:space="preserve">Note that for </w:t>
      </w:r>
      <w:r w:rsidR="005454B4">
        <w:rPr>
          <w:noProof/>
          <w:lang w:eastAsia="en-GB"/>
        </w:rPr>
        <w:fldChar w:fldCharType="begin"/>
      </w:r>
      <w:r w:rsidR="005454B4">
        <w:rPr>
          <w:noProof/>
          <w:lang w:eastAsia="en-GB"/>
        </w:rPr>
        <w:instrText xml:space="preserve"> REF _Ref144718933 \h </w:instrText>
      </w:r>
      <w:r w:rsidR="005454B4">
        <w:rPr>
          <w:noProof/>
          <w:lang w:eastAsia="en-GB"/>
        </w:rPr>
      </w:r>
      <w:r w:rsidR="005454B4">
        <w:rPr>
          <w:noProof/>
          <w:lang w:eastAsia="en-GB"/>
        </w:rPr>
        <w:fldChar w:fldCharType="separate"/>
      </w:r>
      <w:r w:rsidR="005454B4">
        <w:t xml:space="preserve">Figure </w:t>
      </w:r>
      <w:r w:rsidR="005454B4">
        <w:rPr>
          <w:noProof/>
        </w:rPr>
        <w:t>14</w:t>
      </w:r>
      <w:r w:rsidR="005454B4">
        <w:rPr>
          <w:noProof/>
          <w:lang w:eastAsia="en-GB"/>
        </w:rPr>
        <w:fldChar w:fldCharType="end"/>
      </w:r>
      <w:r w:rsidR="006B0ACA">
        <w:rPr>
          <w:noProof/>
          <w:lang w:eastAsia="en-GB"/>
        </w:rPr>
        <w:fldChar w:fldCharType="begin"/>
      </w:r>
      <w:r w:rsidR="006B0ACA">
        <w:rPr>
          <w:noProof/>
          <w:lang w:eastAsia="en-GB"/>
        </w:rPr>
        <w:instrText xml:space="preserve"> REF _Ref129281841 \h </w:instrText>
      </w:r>
      <w:r w:rsidR="006B0ACA">
        <w:rPr>
          <w:noProof/>
          <w:lang w:eastAsia="en-GB"/>
        </w:rPr>
      </w:r>
      <w:r w:rsidR="00B33BBD">
        <w:rPr>
          <w:noProof/>
          <w:lang w:eastAsia="en-GB"/>
        </w:rPr>
        <w:fldChar w:fldCharType="separate"/>
      </w:r>
      <w:r w:rsidR="006B0ACA">
        <w:rPr>
          <w:noProof/>
          <w:lang w:eastAsia="en-GB"/>
        </w:rPr>
        <w:fldChar w:fldCharType="end"/>
      </w:r>
      <w:r w:rsidRPr="00CB7D3E">
        <w:rPr>
          <w:noProof/>
          <w:lang w:eastAsia="en-GB"/>
        </w:rPr>
        <w:t xml:space="preserve">, as described in </w:t>
      </w:r>
      <w:r w:rsidR="00803F81">
        <w:rPr>
          <w:noProof/>
          <w:lang w:eastAsia="en-GB"/>
        </w:rPr>
        <w:t>Vol. I</w:t>
      </w:r>
      <w:r w:rsidRPr="00CB7D3E">
        <w:rPr>
          <w:noProof/>
          <w:lang w:eastAsia="en-GB"/>
        </w:rPr>
        <w:t>I, Annex</w:t>
      </w:r>
      <w:r w:rsidR="00DC1D8D">
        <w:rPr>
          <w:noProof/>
          <w:lang w:eastAsia="en-GB"/>
        </w:rPr>
        <w:t xml:space="preserve"> </w:t>
      </w:r>
      <w:r w:rsidRPr="00CB7D3E">
        <w:rPr>
          <w:noProof/>
          <w:lang w:eastAsia="en-GB"/>
        </w:rPr>
        <w:t>8</w:t>
      </w:r>
      <w:r w:rsidR="00ED5400">
        <w:rPr>
          <w:noProof/>
          <w:lang w:eastAsia="en-GB"/>
        </w:rPr>
        <w:t>.2</w:t>
      </w:r>
      <w:r w:rsidRPr="00CB7D3E">
        <w:rPr>
          <w:noProof/>
          <w:lang w:eastAsia="en-GB"/>
        </w:rPr>
        <w:t>,</w:t>
      </w:r>
      <w:r w:rsidR="00ED5400">
        <w:rPr>
          <w:noProof/>
          <w:lang w:eastAsia="en-GB"/>
        </w:rPr>
        <w:t xml:space="preserve"> Table 3</w:t>
      </w:r>
      <w:r w:rsidR="00ED301D">
        <w:rPr>
          <w:noProof/>
          <w:lang w:eastAsia="en-GB"/>
        </w:rPr>
        <w:t>3</w:t>
      </w:r>
      <w:r w:rsidR="00DC1D8D">
        <w:rPr>
          <w:noProof/>
          <w:lang w:eastAsia="en-GB"/>
        </w:rPr>
        <w:t xml:space="preserve"> </w:t>
      </w:r>
      <w:r w:rsidR="00AA6A7B">
        <w:rPr>
          <w:noProof/>
          <w:lang w:eastAsia="en-GB"/>
        </w:rPr>
        <w:t>‘</w:t>
      </w:r>
      <w:r w:rsidRPr="00CB7D3E">
        <w:rPr>
          <w:noProof/>
          <w:lang w:eastAsia="en-GB"/>
        </w:rPr>
        <w:t>Quality Score</w:t>
      </w:r>
      <w:r w:rsidR="00AA6A7B">
        <w:rPr>
          <w:noProof/>
          <w:lang w:eastAsia="en-GB"/>
        </w:rPr>
        <w:t>’</w:t>
      </w:r>
      <w:r w:rsidRPr="00CB7D3E">
        <w:rPr>
          <w:noProof/>
          <w:lang w:eastAsia="en-GB"/>
        </w:rPr>
        <w:t xml:space="preserve"> reflects a scale of 0</w:t>
      </w:r>
      <w:r w:rsidR="00ED301D">
        <w:rPr>
          <w:noProof/>
          <w:lang w:eastAsia="en-GB"/>
        </w:rPr>
        <w:t>–</w:t>
      </w:r>
      <w:r w:rsidRPr="00CB7D3E">
        <w:rPr>
          <w:noProof/>
          <w:lang w:eastAsia="en-GB"/>
        </w:rPr>
        <w:t>8 using MA reporting on whether eight key markers of quality processes were in place</w:t>
      </w:r>
      <w:r w:rsidR="006B0ACA">
        <w:rPr>
          <w:noProof/>
          <w:lang w:eastAsia="en-GB"/>
        </w:rPr>
        <w:t>.</w:t>
      </w:r>
      <w:r w:rsidRPr="00CB7D3E">
        <w:rPr>
          <w:noProof/>
          <w:lang w:eastAsia="en-GB"/>
        </w:rPr>
        <w:t xml:space="preserve"> </w:t>
      </w:r>
      <w:r w:rsidR="006B0ACA" w:rsidRPr="00CB7D3E">
        <w:rPr>
          <w:noProof/>
          <w:lang w:eastAsia="en-GB"/>
        </w:rPr>
        <w:t>When</w:t>
      </w:r>
      <w:r w:rsidRPr="00CB7D3E">
        <w:rPr>
          <w:noProof/>
          <w:lang w:eastAsia="en-GB"/>
        </w:rPr>
        <w:t xml:space="preserve"> a marker was in place</w:t>
      </w:r>
      <w:r w:rsidR="006B0ACA">
        <w:rPr>
          <w:noProof/>
          <w:lang w:eastAsia="en-GB"/>
        </w:rPr>
        <w:t>,</w:t>
      </w:r>
      <w:r w:rsidRPr="00CB7D3E">
        <w:rPr>
          <w:noProof/>
          <w:lang w:eastAsia="en-GB"/>
        </w:rPr>
        <w:t xml:space="preserve"> a score of 1 was recorded so each site could score a maximum of 8. </w:t>
      </w:r>
      <w:r w:rsidR="00157D50">
        <w:rPr>
          <w:noProof/>
          <w:lang w:eastAsia="en-GB"/>
        </w:rPr>
        <w:t xml:space="preserve">The </w:t>
      </w:r>
      <w:r w:rsidR="00AA6A7B">
        <w:rPr>
          <w:noProof/>
          <w:lang w:eastAsia="en-GB"/>
        </w:rPr>
        <w:t>‘</w:t>
      </w:r>
      <w:r w:rsidRPr="00CB7D3E">
        <w:rPr>
          <w:noProof/>
          <w:lang w:eastAsia="en-GB"/>
        </w:rPr>
        <w:t>Sites</w:t>
      </w:r>
      <w:r w:rsidR="00AA6A7B">
        <w:rPr>
          <w:noProof/>
          <w:lang w:eastAsia="en-GB"/>
        </w:rPr>
        <w:t>’</w:t>
      </w:r>
      <w:r w:rsidRPr="00CB7D3E">
        <w:rPr>
          <w:noProof/>
          <w:lang w:eastAsia="en-GB"/>
        </w:rPr>
        <w:t xml:space="preserve"> </w:t>
      </w:r>
      <w:r w:rsidR="00157D50">
        <w:rPr>
          <w:noProof/>
          <w:lang w:eastAsia="en-GB"/>
        </w:rPr>
        <w:t xml:space="preserve">graph </w:t>
      </w:r>
      <w:r w:rsidRPr="00CB7D3E">
        <w:rPr>
          <w:noProof/>
          <w:lang w:eastAsia="en-GB"/>
        </w:rPr>
        <w:t xml:space="preserve">in </w:t>
      </w:r>
      <w:r w:rsidR="002749FC">
        <w:rPr>
          <w:noProof/>
          <w:lang w:eastAsia="en-GB"/>
        </w:rPr>
        <w:fldChar w:fldCharType="begin"/>
      </w:r>
      <w:r w:rsidR="002749FC">
        <w:rPr>
          <w:noProof/>
          <w:lang w:eastAsia="en-GB"/>
        </w:rPr>
        <w:instrText xml:space="preserve"> REF _Ref144718933 \h </w:instrText>
      </w:r>
      <w:r w:rsidR="002749FC">
        <w:rPr>
          <w:noProof/>
          <w:lang w:eastAsia="en-GB"/>
        </w:rPr>
      </w:r>
      <w:r w:rsidR="002749FC">
        <w:rPr>
          <w:noProof/>
          <w:lang w:eastAsia="en-GB"/>
        </w:rPr>
        <w:fldChar w:fldCharType="separate"/>
      </w:r>
      <w:r w:rsidR="002749FC">
        <w:t xml:space="preserve">Figure </w:t>
      </w:r>
      <w:r w:rsidR="002749FC">
        <w:rPr>
          <w:noProof/>
        </w:rPr>
        <w:t>14</w:t>
      </w:r>
      <w:r w:rsidR="002749FC">
        <w:rPr>
          <w:noProof/>
          <w:lang w:eastAsia="en-GB"/>
        </w:rPr>
        <w:fldChar w:fldCharType="end"/>
      </w:r>
      <w:r w:rsidR="002749FC">
        <w:rPr>
          <w:noProof/>
          <w:lang w:eastAsia="en-GB"/>
        </w:rPr>
        <w:t xml:space="preserve"> </w:t>
      </w:r>
      <w:r w:rsidRPr="00CB7D3E">
        <w:rPr>
          <w:noProof/>
          <w:lang w:eastAsia="en-GB"/>
        </w:rPr>
        <w:t>shows how many sites</w:t>
      </w:r>
      <w:r w:rsidR="00FC3D7C">
        <w:rPr>
          <w:noProof/>
          <w:lang w:eastAsia="en-GB"/>
        </w:rPr>
        <w:t xml:space="preserve"> that</w:t>
      </w:r>
      <w:r w:rsidRPr="00CB7D3E">
        <w:rPr>
          <w:noProof/>
          <w:lang w:eastAsia="en-GB"/>
        </w:rPr>
        <w:t xml:space="preserve"> the F</w:t>
      </w:r>
      <w:r w:rsidR="00FC3D7C">
        <w:rPr>
          <w:noProof/>
          <w:lang w:eastAsia="en-GB"/>
        </w:rPr>
        <w:t xml:space="preserve">leming </w:t>
      </w:r>
      <w:r w:rsidRPr="00CB7D3E">
        <w:rPr>
          <w:noProof/>
          <w:lang w:eastAsia="en-GB"/>
        </w:rPr>
        <w:t>F</w:t>
      </w:r>
      <w:r w:rsidR="00FC3D7C">
        <w:rPr>
          <w:noProof/>
          <w:lang w:eastAsia="en-GB"/>
        </w:rPr>
        <w:t>und</w:t>
      </w:r>
      <w:r w:rsidRPr="00CB7D3E">
        <w:rPr>
          <w:noProof/>
          <w:lang w:eastAsia="en-GB"/>
        </w:rPr>
        <w:t xml:space="preserve"> supported in each country</w:t>
      </w:r>
      <w:r>
        <w:rPr>
          <w:noProof/>
          <w:lang w:eastAsia="en-GB"/>
        </w:rPr>
        <w:t>.</w:t>
      </w:r>
    </w:p>
    <w:p w14:paraId="6D8E4F73" w14:textId="3CF63E40" w:rsidR="00FF2998" w:rsidRPr="008A5F96" w:rsidRDefault="00FF2998" w:rsidP="00146FAA">
      <w:pPr>
        <w:pStyle w:val="ItadH4"/>
      </w:pPr>
      <w:r w:rsidRPr="008A5F96">
        <w:t>Comparing performance with targets from the MA</w:t>
      </w:r>
      <w:r w:rsidR="00AA6A7B">
        <w:t>’</w:t>
      </w:r>
      <w:r w:rsidRPr="008A5F96">
        <w:t>s implementation plan</w:t>
      </w:r>
    </w:p>
    <w:p w14:paraId="078AE492" w14:textId="51A1690F" w:rsidR="00FF2998" w:rsidRPr="00D00972" w:rsidRDefault="00EA5F9F" w:rsidP="00146FAA">
      <w:pPr>
        <w:pStyle w:val="ItadNormalText"/>
        <w:rPr>
          <w:lang w:eastAsia="en-GB"/>
        </w:rPr>
      </w:pPr>
      <w:r w:rsidRPr="00146FAA">
        <w:rPr>
          <w:b/>
          <w:bCs/>
          <w:lang w:eastAsia="en-GB"/>
        </w:rPr>
        <w:t>Finding 2.1.</w:t>
      </w:r>
      <w:r w:rsidR="00345559" w:rsidRPr="00146FAA">
        <w:rPr>
          <w:b/>
          <w:bCs/>
          <w:lang w:eastAsia="en-GB"/>
        </w:rPr>
        <w:t>9</w:t>
      </w:r>
      <w:r w:rsidRPr="00146FAA">
        <w:rPr>
          <w:b/>
          <w:bCs/>
          <w:lang w:eastAsia="en-GB"/>
        </w:rPr>
        <w:t xml:space="preserve">: </w:t>
      </w:r>
      <w:r w:rsidR="00FF2998" w:rsidRPr="00146FAA">
        <w:rPr>
          <w:b/>
          <w:bCs/>
          <w:lang w:eastAsia="en-GB"/>
        </w:rPr>
        <w:t xml:space="preserve">With performance to date, it is clear that the Fleming Fund </w:t>
      </w:r>
      <w:r w:rsidR="00C116D5" w:rsidRPr="00146FAA">
        <w:rPr>
          <w:b/>
          <w:bCs/>
          <w:lang w:eastAsia="en-GB"/>
        </w:rPr>
        <w:t>achieved</w:t>
      </w:r>
      <w:r w:rsidR="00FF2998" w:rsidRPr="00146FAA">
        <w:rPr>
          <w:b/>
          <w:bCs/>
          <w:lang w:eastAsia="en-GB"/>
        </w:rPr>
        <w:t xml:space="preserve"> its stated aims for AMR data generation as set out in the implementation plan, albeit targets that were not ambitious</w:t>
      </w:r>
      <w:r w:rsidR="00AB4888" w:rsidRPr="00146FAA">
        <w:rPr>
          <w:b/>
          <w:bCs/>
          <w:lang w:eastAsia="en-GB"/>
        </w:rPr>
        <w:t xml:space="preserve"> and not sector specific</w:t>
      </w:r>
      <w:r w:rsidR="00FF2998" w:rsidRPr="00146FAA">
        <w:rPr>
          <w:b/>
          <w:bCs/>
          <w:lang w:eastAsia="en-GB"/>
        </w:rPr>
        <w:t>.</w:t>
      </w:r>
      <w:r w:rsidR="00FF2998" w:rsidRPr="00146FAA" w:rsidDel="007D2E99">
        <w:rPr>
          <w:b/>
          <w:bCs/>
          <w:lang w:eastAsia="en-GB"/>
        </w:rPr>
        <w:t xml:space="preserve"> </w:t>
      </w:r>
      <w:r w:rsidR="00DA5A0C" w:rsidRPr="00146FAA">
        <w:rPr>
          <w:b/>
          <w:bCs/>
          <w:lang w:eastAsia="en-GB"/>
        </w:rPr>
        <w:t>However, quality improvements have varied on a site-by-site basis, and it is not clear whether the MA</w:t>
      </w:r>
      <w:r w:rsidR="00AA6A7B" w:rsidRPr="00146FAA">
        <w:rPr>
          <w:b/>
          <w:bCs/>
          <w:lang w:eastAsia="en-GB"/>
        </w:rPr>
        <w:t>’</w:t>
      </w:r>
      <w:r w:rsidR="00DA5A0C" w:rsidRPr="00146FAA">
        <w:rPr>
          <w:b/>
          <w:bCs/>
          <w:lang w:eastAsia="en-GB"/>
        </w:rPr>
        <w:t>s aims have been consistently achieved (given the limited delineation of goals on quality at the start of phase 1).</w:t>
      </w:r>
      <w:r w:rsidR="00DA5A0C" w:rsidRPr="00D00972">
        <w:rPr>
          <w:lang w:eastAsia="en-GB"/>
        </w:rPr>
        <w:t xml:space="preserve"> </w:t>
      </w:r>
      <w:r w:rsidR="00FF2998" w:rsidRPr="008A5F96">
        <w:rPr>
          <w:lang w:eastAsia="en-GB"/>
        </w:rPr>
        <w:t>The MA</w:t>
      </w:r>
      <w:r w:rsidR="00AA6A7B">
        <w:rPr>
          <w:lang w:eastAsia="en-GB"/>
        </w:rPr>
        <w:t>’</w:t>
      </w:r>
      <w:r w:rsidR="00FF2998" w:rsidRPr="008A5F96">
        <w:rPr>
          <w:lang w:eastAsia="en-GB"/>
        </w:rPr>
        <w:t xml:space="preserve">s implementation plan set out targets for data generation that could be expected at different stages of </w:t>
      </w:r>
      <w:r w:rsidR="005E75BF">
        <w:rPr>
          <w:lang w:eastAsia="en-GB"/>
        </w:rPr>
        <w:t>Fleming Fund</w:t>
      </w:r>
      <w:r w:rsidR="00FF2998" w:rsidRPr="008A5F96">
        <w:rPr>
          <w:lang w:eastAsia="en-GB"/>
        </w:rPr>
        <w:t xml:space="preserve"> implementation (see </w:t>
      </w:r>
      <w:r w:rsidR="006568E8">
        <w:rPr>
          <w:lang w:eastAsia="en-GB"/>
        </w:rPr>
        <w:fldChar w:fldCharType="begin"/>
      </w:r>
      <w:r w:rsidR="006568E8">
        <w:rPr>
          <w:lang w:eastAsia="en-GB"/>
        </w:rPr>
        <w:instrText xml:space="preserve"> REF _Ref144721924 \h </w:instrText>
      </w:r>
      <w:r w:rsidR="006568E8">
        <w:rPr>
          <w:lang w:eastAsia="en-GB"/>
        </w:rPr>
      </w:r>
      <w:r w:rsidR="006568E8">
        <w:rPr>
          <w:lang w:eastAsia="en-GB"/>
        </w:rPr>
        <w:fldChar w:fldCharType="separate"/>
      </w:r>
      <w:r w:rsidR="006568E8">
        <w:t xml:space="preserve">Table </w:t>
      </w:r>
      <w:r w:rsidR="006568E8">
        <w:rPr>
          <w:noProof/>
        </w:rPr>
        <w:t>1</w:t>
      </w:r>
      <w:r w:rsidR="006568E8">
        <w:rPr>
          <w:lang w:eastAsia="en-GB"/>
        </w:rPr>
        <w:fldChar w:fldCharType="end"/>
      </w:r>
      <w:r w:rsidR="005106CC" w:rsidRPr="008A5F96">
        <w:rPr>
          <w:lang w:eastAsia="en-GB"/>
        </w:rPr>
        <w:fldChar w:fldCharType="begin"/>
      </w:r>
      <w:r w:rsidR="005106CC" w:rsidRPr="008A5F96">
        <w:rPr>
          <w:lang w:eastAsia="en-GB"/>
        </w:rPr>
        <w:instrText xml:space="preserve"> REF _Ref118796812 \h </w:instrText>
      </w:r>
      <w:r w:rsidR="00D00972">
        <w:rPr>
          <w:lang w:eastAsia="en-GB"/>
        </w:rPr>
        <w:instrText xml:space="preserve"> \* MERGEFORMAT </w:instrText>
      </w:r>
      <w:r w:rsidR="005106CC" w:rsidRPr="008A5F96">
        <w:rPr>
          <w:lang w:eastAsia="en-GB"/>
        </w:rPr>
      </w:r>
      <w:r w:rsidR="00B33BBD">
        <w:rPr>
          <w:lang w:eastAsia="en-GB"/>
        </w:rPr>
        <w:fldChar w:fldCharType="separate"/>
      </w:r>
      <w:r w:rsidR="005106CC" w:rsidRPr="008A5F96">
        <w:rPr>
          <w:lang w:eastAsia="en-GB"/>
        </w:rPr>
        <w:fldChar w:fldCharType="end"/>
      </w:r>
      <w:r w:rsidR="00FF2998" w:rsidRPr="008A5F96">
        <w:rPr>
          <w:rFonts w:cs="Calibri"/>
          <w:lang w:eastAsia="en-GB"/>
        </w:rPr>
        <w:t>), including a target of 18</w:t>
      </w:r>
      <w:r w:rsidR="005106CC" w:rsidRPr="008A5F96">
        <w:rPr>
          <w:rFonts w:cs="Calibri"/>
          <w:lang w:eastAsia="en-GB"/>
        </w:rPr>
        <w:t xml:space="preserve"> out of </w:t>
      </w:r>
      <w:r w:rsidR="00FF2998" w:rsidRPr="008A5F96">
        <w:rPr>
          <w:rFonts w:cs="Calibri"/>
          <w:lang w:eastAsia="en-GB"/>
        </w:rPr>
        <w:t xml:space="preserve">24 countries generating data after 48 months of implementation. By December 2022, </w:t>
      </w:r>
      <w:r w:rsidR="00FF2998" w:rsidRPr="008A5F96">
        <w:rPr>
          <w:lang w:eastAsia="en-GB"/>
        </w:rPr>
        <w:t>19</w:t>
      </w:r>
      <w:r w:rsidR="005106CC" w:rsidRPr="008A5F96">
        <w:rPr>
          <w:lang w:eastAsia="en-GB"/>
        </w:rPr>
        <w:t xml:space="preserve"> out of </w:t>
      </w:r>
      <w:r w:rsidR="00FF2998" w:rsidRPr="008A5F96">
        <w:rPr>
          <w:lang w:eastAsia="en-GB"/>
        </w:rPr>
        <w:t xml:space="preserve">23 </w:t>
      </w:r>
      <w:r w:rsidR="005106CC" w:rsidRPr="008A5F96">
        <w:rPr>
          <w:lang w:eastAsia="en-GB"/>
        </w:rPr>
        <w:t xml:space="preserve">countries </w:t>
      </w:r>
      <w:r w:rsidR="00FF2998" w:rsidRPr="008A5F96">
        <w:rPr>
          <w:lang w:eastAsia="en-GB"/>
        </w:rPr>
        <w:t xml:space="preserve">(83%) had </w:t>
      </w:r>
      <w:r w:rsidR="005106CC" w:rsidRPr="008A5F96">
        <w:rPr>
          <w:lang w:eastAsia="en-GB"/>
        </w:rPr>
        <w:t xml:space="preserve">either </w:t>
      </w:r>
      <w:r w:rsidR="00FF2998" w:rsidRPr="008A5F96">
        <w:rPr>
          <w:lang w:eastAsia="en-GB"/>
        </w:rPr>
        <w:t>reported data to GLASS or there is evidence from evaluation data collection that data is being generated</w:t>
      </w:r>
      <w:r w:rsidR="00D227B1">
        <w:rPr>
          <w:lang w:eastAsia="en-GB"/>
        </w:rPr>
        <w:t>.</w:t>
      </w:r>
      <w:r w:rsidR="00FF2998" w:rsidRPr="008A5F96">
        <w:rPr>
          <w:rStyle w:val="FootnoteReference"/>
          <w:rFonts w:eastAsia="Times New Roman"/>
          <w:lang w:eastAsia="en-GB"/>
        </w:rPr>
        <w:footnoteReference w:id="78"/>
      </w:r>
      <w:r w:rsidR="00DB301C">
        <w:rPr>
          <w:rStyle w:val="FootnoteReference"/>
          <w:rFonts w:eastAsia="Times New Roman"/>
          <w:lang w:eastAsia="en-GB"/>
        </w:rPr>
        <w:t xml:space="preserve"> </w:t>
      </w:r>
      <w:r w:rsidR="00FF2998" w:rsidRPr="008A5F96">
        <w:rPr>
          <w:lang w:eastAsia="en-GB"/>
        </w:rPr>
        <w:t>This surpasses the MA</w:t>
      </w:r>
      <w:r w:rsidR="00AA6A7B">
        <w:rPr>
          <w:lang w:eastAsia="en-GB"/>
        </w:rPr>
        <w:t>’</w:t>
      </w:r>
      <w:r w:rsidR="00FF2998" w:rsidRPr="008A5F96">
        <w:rPr>
          <w:lang w:eastAsia="en-GB"/>
        </w:rPr>
        <w:t>s target of 18, although it is important to note that 12 out of 23 countries (52%) were generating some HH AMR data already before the Fleming Fund started</w:t>
      </w:r>
      <w:r w:rsidR="00312359">
        <w:rPr>
          <w:lang w:eastAsia="en-GB"/>
        </w:rPr>
        <w:t xml:space="preserve"> (see Annex 8.1, </w:t>
      </w:r>
      <w:r w:rsidR="00AA6A7B">
        <w:rPr>
          <w:lang w:eastAsia="en-GB"/>
        </w:rPr>
        <w:t>Table</w:t>
      </w:r>
      <w:r w:rsidR="00F129D1">
        <w:rPr>
          <w:lang w:eastAsia="en-GB"/>
        </w:rPr>
        <w:t xml:space="preserve"> 28)</w:t>
      </w:r>
      <w:r w:rsidR="00FF2998" w:rsidRPr="008A5F96">
        <w:rPr>
          <w:lang w:eastAsia="en-GB"/>
        </w:rPr>
        <w:t>. We also note that the target is simply tracking whether data is generated, not whether the quantity of data has increased (which is different from the EQ and explains any difference in figures shown here).</w:t>
      </w:r>
      <w:r w:rsidR="00DC1D8D" w:rsidRPr="008A5F96">
        <w:rPr>
          <w:lang w:eastAsia="en-GB"/>
        </w:rPr>
        <w:t xml:space="preserve"> </w:t>
      </w:r>
      <w:r w:rsidR="00D42594" w:rsidRPr="008A5F96">
        <w:rPr>
          <w:lang w:eastAsia="en-GB"/>
        </w:rPr>
        <w:t>D</w:t>
      </w:r>
      <w:r w:rsidR="00FF2998" w:rsidRPr="008A5F96">
        <w:rPr>
          <w:lang w:eastAsia="en-GB"/>
        </w:rPr>
        <w:t xml:space="preserve">etail on the Fleming Fund contribution to this progress is provided </w:t>
      </w:r>
      <w:r w:rsidR="002F17A2" w:rsidRPr="008A5F96">
        <w:rPr>
          <w:lang w:eastAsia="en-GB"/>
        </w:rPr>
        <w:t xml:space="preserve">in </w:t>
      </w:r>
      <w:r w:rsidR="00852E4E">
        <w:rPr>
          <w:lang w:eastAsia="en-GB"/>
        </w:rPr>
        <w:t>the following sub-section</w:t>
      </w:r>
      <w:r w:rsidR="00FF2998" w:rsidRPr="008A5F96">
        <w:rPr>
          <w:lang w:eastAsia="en-GB"/>
        </w:rPr>
        <w:t>.</w:t>
      </w:r>
    </w:p>
    <w:bookmarkEnd w:id="207"/>
    <w:p w14:paraId="4564428E" w14:textId="3CFA1178" w:rsidR="00FF2998" w:rsidRPr="00D00972" w:rsidRDefault="4BD3A707" w:rsidP="00146FAA">
      <w:pPr>
        <w:pStyle w:val="ItadNormalText"/>
        <w:rPr>
          <w:lang w:eastAsia="en-GB"/>
        </w:rPr>
      </w:pPr>
      <w:r w:rsidRPr="0097216F">
        <w:rPr>
          <w:lang w:eastAsia="en-GB"/>
        </w:rPr>
        <w:t>However, quality improvements have varied on a site-by-site basis</w:t>
      </w:r>
      <w:r w:rsidR="44415263" w:rsidRPr="0097216F">
        <w:rPr>
          <w:lang w:eastAsia="en-GB"/>
        </w:rPr>
        <w:t>,</w:t>
      </w:r>
      <w:r w:rsidRPr="0097216F">
        <w:rPr>
          <w:lang w:eastAsia="en-GB"/>
        </w:rPr>
        <w:t xml:space="preserve"> and it is not clear whether the MA</w:t>
      </w:r>
      <w:r w:rsidR="12EABA28">
        <w:rPr>
          <w:lang w:eastAsia="en-GB"/>
        </w:rPr>
        <w:t>’</w:t>
      </w:r>
      <w:r w:rsidRPr="0097216F">
        <w:rPr>
          <w:lang w:eastAsia="en-GB"/>
        </w:rPr>
        <w:t xml:space="preserve">s aims have been consistently achieved (given the limited delineation of goals on quality at the start of </w:t>
      </w:r>
      <w:r w:rsidR="2658EF50" w:rsidRPr="0097216F">
        <w:rPr>
          <w:lang w:eastAsia="en-GB"/>
        </w:rPr>
        <w:t>phase 1</w:t>
      </w:r>
      <w:r w:rsidRPr="0097216F">
        <w:rPr>
          <w:lang w:eastAsia="en-GB"/>
        </w:rPr>
        <w:t>)</w:t>
      </w:r>
      <w:r w:rsidRPr="007D1B55">
        <w:rPr>
          <w:lang w:eastAsia="en-GB"/>
        </w:rPr>
        <w:t>.</w:t>
      </w:r>
      <w:r w:rsidRPr="00D00972">
        <w:rPr>
          <w:lang w:eastAsia="en-GB"/>
        </w:rPr>
        <w:t xml:space="preserve"> For category B countries</w:t>
      </w:r>
      <w:r w:rsidR="00FF2998" w:rsidRPr="00D00972">
        <w:rPr>
          <w:rStyle w:val="FootnoteReference"/>
          <w:rFonts w:eastAsia="Times New Roman"/>
          <w:lang w:eastAsia="en-GB"/>
        </w:rPr>
        <w:footnoteReference w:id="79"/>
      </w:r>
      <w:r w:rsidRPr="00D00972">
        <w:rPr>
          <w:lang w:eastAsia="en-GB"/>
        </w:rPr>
        <w:t xml:space="preserve"> (the majority included in the Fleming Fund and this evaluation), the MA aimed for laboratories to have established capabilities for automated blood culture, biochemical methods to identify bacterial species, the ability to perform quality-assured and appropriate AST at surveillance sites, and evidence of use of AMR data locally at surveillance sites. Data on quality indicators and from KIIs support that these aims have not been consistently met</w:t>
      </w:r>
      <w:r w:rsidR="7869EE79" w:rsidRPr="00D00972">
        <w:rPr>
          <w:lang w:eastAsia="en-GB"/>
        </w:rPr>
        <w:t>.</w:t>
      </w:r>
      <w:r w:rsidRPr="00D00972">
        <w:rPr>
          <w:lang w:eastAsia="en-GB"/>
        </w:rPr>
        <w:t xml:space="preserve"> </w:t>
      </w:r>
      <w:r w:rsidR="7869EE79" w:rsidRPr="00D00972">
        <w:rPr>
          <w:lang w:eastAsia="en-GB"/>
        </w:rPr>
        <w:t>For</w:t>
      </w:r>
      <w:r w:rsidRPr="00D00972">
        <w:rPr>
          <w:lang w:eastAsia="en-GB"/>
        </w:rPr>
        <w:t xml:space="preserve"> example</w:t>
      </w:r>
      <w:r w:rsidR="63CE848D">
        <w:rPr>
          <w:lang w:eastAsia="en-GB"/>
        </w:rPr>
        <w:t>,</w:t>
      </w:r>
      <w:r w:rsidRPr="00D00972">
        <w:rPr>
          <w:lang w:eastAsia="en-GB"/>
        </w:rPr>
        <w:t xml:space="preserve"> only two out of 10 category B countries had blood culture equipment installed and under maintenance contracts at all HH surveillance sites. However,</w:t>
      </w:r>
      <w:r w:rsidR="2976D068" w:rsidRPr="00D00972">
        <w:rPr>
          <w:lang w:eastAsia="en-GB"/>
        </w:rPr>
        <w:t xml:space="preserve"> the</w:t>
      </w:r>
      <w:r w:rsidRPr="00D00972">
        <w:rPr>
          <w:lang w:eastAsia="en-GB"/>
        </w:rPr>
        <w:t xml:space="preserve"> impact on progress is expected to continue in the short term due to delays in laboratory refurbishment, instrument delivery/</w:t>
      </w:r>
      <w:r w:rsidR="33ACCAA7">
        <w:rPr>
          <w:lang w:eastAsia="en-GB"/>
        </w:rPr>
        <w:t xml:space="preserve"> </w:t>
      </w:r>
      <w:r w:rsidRPr="00D00972">
        <w:rPr>
          <w:lang w:eastAsia="en-GB"/>
        </w:rPr>
        <w:t>installation</w:t>
      </w:r>
      <w:r w:rsidR="63CE848D">
        <w:rPr>
          <w:lang w:eastAsia="en-GB"/>
        </w:rPr>
        <w:t>,</w:t>
      </w:r>
      <w:r w:rsidRPr="00D00972">
        <w:rPr>
          <w:lang w:eastAsia="en-GB"/>
        </w:rPr>
        <w:t xml:space="preserve"> and procurement of consumables which has often been linked to the effects of COVID-19 (see</w:t>
      </w:r>
      <w:r w:rsidR="0AE01FB7">
        <w:rPr>
          <w:lang w:eastAsia="en-GB"/>
        </w:rPr>
        <w:t xml:space="preserve"> </w:t>
      </w:r>
      <w:r w:rsidR="00D442A5">
        <w:rPr>
          <w:lang w:eastAsia="en-GB"/>
        </w:rPr>
        <w:fldChar w:fldCharType="begin"/>
      </w:r>
      <w:r w:rsidR="00D442A5">
        <w:rPr>
          <w:lang w:eastAsia="en-GB"/>
        </w:rPr>
        <w:instrText xml:space="preserve"> REF _Ref144719880 \h </w:instrText>
      </w:r>
      <w:r w:rsidR="00D442A5">
        <w:rPr>
          <w:lang w:eastAsia="en-GB"/>
        </w:rPr>
      </w:r>
      <w:r w:rsidR="00D442A5">
        <w:rPr>
          <w:lang w:eastAsia="en-GB"/>
        </w:rPr>
        <w:fldChar w:fldCharType="separate"/>
      </w:r>
      <w:r w:rsidR="3217ECBE">
        <w:t xml:space="preserve">Box </w:t>
      </w:r>
      <w:r w:rsidR="3217ECBE">
        <w:rPr>
          <w:noProof/>
        </w:rPr>
        <w:t>6</w:t>
      </w:r>
      <w:r w:rsidR="00D442A5">
        <w:rPr>
          <w:lang w:eastAsia="en-GB"/>
        </w:rPr>
        <w:fldChar w:fldCharType="end"/>
      </w:r>
      <w:r w:rsidR="3AC3E565">
        <w:rPr>
          <w:lang w:eastAsia="en-GB"/>
        </w:rPr>
        <w:t xml:space="preserve"> </w:t>
      </w:r>
      <w:r w:rsidRPr="00D00972">
        <w:rPr>
          <w:lang w:eastAsia="en-GB"/>
        </w:rPr>
        <w:t xml:space="preserve">and section </w:t>
      </w:r>
      <w:r w:rsidR="00FF2998" w:rsidRPr="00D00972">
        <w:rPr>
          <w:lang w:eastAsia="en-GB"/>
        </w:rPr>
        <w:fldChar w:fldCharType="begin"/>
      </w:r>
      <w:r w:rsidR="00FF2998" w:rsidRPr="00D00972">
        <w:rPr>
          <w:lang w:eastAsia="en-GB"/>
        </w:rPr>
        <w:instrText xml:space="preserve"> REF _Ref118234448 \w \h </w:instrText>
      </w:r>
      <w:r w:rsidR="00D00972">
        <w:rPr>
          <w:lang w:eastAsia="en-GB"/>
        </w:rPr>
        <w:instrText xml:space="preserve"> \* MERGEFORMAT </w:instrText>
      </w:r>
      <w:r w:rsidR="00FF2998" w:rsidRPr="00D00972">
        <w:rPr>
          <w:lang w:eastAsia="en-GB"/>
        </w:rPr>
      </w:r>
      <w:r w:rsidR="00FF2998" w:rsidRPr="00D00972">
        <w:rPr>
          <w:lang w:eastAsia="en-GB"/>
        </w:rPr>
        <w:fldChar w:fldCharType="separate"/>
      </w:r>
      <w:r w:rsidRPr="00D00972">
        <w:rPr>
          <w:cs/>
          <w:lang w:eastAsia="en-GB"/>
        </w:rPr>
        <w:t>‎</w:t>
      </w:r>
      <w:r w:rsidRPr="00D00972">
        <w:rPr>
          <w:lang w:eastAsia="en-GB"/>
        </w:rPr>
        <w:t>1.5</w:t>
      </w:r>
      <w:r w:rsidR="00FF2998" w:rsidRPr="00D00972">
        <w:rPr>
          <w:lang w:eastAsia="en-GB"/>
        </w:rPr>
        <w:fldChar w:fldCharType="end"/>
      </w:r>
      <w:r w:rsidRPr="00D00972">
        <w:rPr>
          <w:lang w:eastAsia="en-GB"/>
        </w:rPr>
        <w:t>).</w:t>
      </w:r>
    </w:p>
    <w:p w14:paraId="325A28EA" w14:textId="796156D6" w:rsidR="00FF2998" w:rsidRPr="00D00972" w:rsidRDefault="00FF2998" w:rsidP="00146FAA">
      <w:pPr>
        <w:pStyle w:val="ItadNormalText"/>
        <w:rPr>
          <w:rFonts w:eastAsia="Calibri"/>
        </w:rPr>
      </w:pPr>
      <w:r w:rsidRPr="0097216F">
        <w:rPr>
          <w:lang w:eastAsia="en-GB"/>
        </w:rPr>
        <w:t xml:space="preserve">The implementation plan also describes expected progress using </w:t>
      </w:r>
      <w:proofErr w:type="spellStart"/>
      <w:r w:rsidR="00CF3961">
        <w:rPr>
          <w:lang w:eastAsia="en-GB"/>
        </w:rPr>
        <w:t>it’s</w:t>
      </w:r>
      <w:proofErr w:type="spellEnd"/>
      <w:r w:rsidR="00CF3961">
        <w:rPr>
          <w:lang w:eastAsia="en-GB"/>
        </w:rPr>
        <w:t xml:space="preserve"> A–</w:t>
      </w:r>
      <w:r w:rsidRPr="0097216F">
        <w:rPr>
          <w:lang w:eastAsia="en-GB"/>
        </w:rPr>
        <w:t>D categorisation of countries, but it is too early to make a judgement against these.</w:t>
      </w:r>
      <w:r w:rsidRPr="009159F3">
        <w:rPr>
          <w:lang w:eastAsia="en-GB"/>
        </w:rPr>
        <w:t xml:space="preserve"> </w:t>
      </w:r>
      <w:r w:rsidRPr="00D00972">
        <w:rPr>
          <w:lang w:eastAsia="en-GB"/>
        </w:rPr>
        <w:t>As set out in section 1.1, the MA categorised laboratories using A</w:t>
      </w:r>
      <w:r w:rsidR="00CF3961">
        <w:rPr>
          <w:lang w:eastAsia="en-GB"/>
        </w:rPr>
        <w:t>–</w:t>
      </w:r>
      <w:r w:rsidRPr="00D00972">
        <w:rPr>
          <w:lang w:eastAsia="en-GB"/>
        </w:rPr>
        <w:t xml:space="preserve">D categories (see </w:t>
      </w:r>
      <w:r w:rsidR="00803F81" w:rsidRPr="00D00972">
        <w:rPr>
          <w:lang w:eastAsia="en-GB"/>
        </w:rPr>
        <w:t>Vol. I</w:t>
      </w:r>
      <w:r w:rsidRPr="00D00972">
        <w:rPr>
          <w:lang w:eastAsia="en-GB"/>
        </w:rPr>
        <w:t>I, Annex 15</w:t>
      </w:r>
      <w:r w:rsidR="003D13AD">
        <w:rPr>
          <w:lang w:eastAsia="en-GB"/>
        </w:rPr>
        <w:t>, Table 46</w:t>
      </w:r>
      <w:r w:rsidRPr="00D00972">
        <w:rPr>
          <w:lang w:eastAsia="en-GB"/>
        </w:rPr>
        <w:t xml:space="preserve"> for detail). The aim was for countries to </w:t>
      </w:r>
      <w:r w:rsidR="00AA6A7B">
        <w:rPr>
          <w:lang w:eastAsia="en-GB"/>
        </w:rPr>
        <w:t>‘</w:t>
      </w:r>
      <w:r w:rsidRPr="00D00972">
        <w:rPr>
          <w:lang w:eastAsia="en-GB"/>
        </w:rPr>
        <w:t>move up a category</w:t>
      </w:r>
      <w:r w:rsidR="00AA6A7B">
        <w:rPr>
          <w:lang w:eastAsia="en-GB"/>
        </w:rPr>
        <w:t>’</w:t>
      </w:r>
      <w:r w:rsidRPr="00D00972">
        <w:rPr>
          <w:lang w:eastAsia="en-GB"/>
        </w:rPr>
        <w:t xml:space="preserve"> after 48 months of Fleming Fund support.</w:t>
      </w:r>
      <w:r w:rsidR="00DC1D8D" w:rsidRPr="00D00972">
        <w:rPr>
          <w:lang w:eastAsia="en-GB"/>
        </w:rPr>
        <w:t xml:space="preserve"> </w:t>
      </w:r>
      <w:r w:rsidRPr="00D00972">
        <w:rPr>
          <w:lang w:eastAsia="en-GB"/>
        </w:rPr>
        <w:t>By December 2022, 3/23 (13%) countries had received 48 months of support, therefore, it is difficult to judge against these targets, nor is it clear what criteria were used to assess movement between categories.</w:t>
      </w:r>
    </w:p>
    <w:p w14:paraId="47E05EFE" w14:textId="77777777" w:rsidR="00FF2998" w:rsidRPr="008A5F96" w:rsidRDefault="00FF2998" w:rsidP="00DB6BFF">
      <w:pPr>
        <w:pStyle w:val="ItadH3"/>
      </w:pPr>
      <w:bookmarkStart w:id="209" w:name="_Ref129088800"/>
      <w:bookmarkStart w:id="210" w:name="_Toc144049365"/>
      <w:bookmarkStart w:id="211" w:name="_Toc144715812"/>
      <w:bookmarkEnd w:id="208"/>
      <w:r w:rsidRPr="008A5F96">
        <w:t>What was the Fleming Fund contribution to changes in quantity and quality of HH and AH data?</w:t>
      </w:r>
      <w:bookmarkEnd w:id="209"/>
      <w:bookmarkEnd w:id="210"/>
      <w:bookmarkEnd w:id="211"/>
    </w:p>
    <w:p w14:paraId="05A902C7" w14:textId="77777777" w:rsidR="00FF2998" w:rsidRPr="008343D7" w:rsidRDefault="00FF2998" w:rsidP="00334956">
      <w:pPr>
        <w:pStyle w:val="ItadNormalText"/>
      </w:pPr>
      <w:bookmarkStart w:id="212" w:name="_Hlk129293643"/>
      <w:r w:rsidRPr="008343D7">
        <w:t xml:space="preserve">We identified a range of drivers that contributed to or constrained progress, over which the Fleming Fund had varying degrees of </w:t>
      </w:r>
      <w:r>
        <w:t>potential</w:t>
      </w:r>
      <w:r w:rsidRPr="008343D7">
        <w:t xml:space="preserve"> influence and contribution to change through its grants portfolio.</w:t>
      </w:r>
      <w:r w:rsidRPr="008343D7" w:rsidDel="007D2E99">
        <w:t xml:space="preserve"> </w:t>
      </w:r>
      <w:r w:rsidRPr="008343D7">
        <w:t>Our analysis suggests that these drivers were similar in the HH and AH sectors, and as such we present a combined set of findings covering both sectors.</w:t>
      </w:r>
    </w:p>
    <w:p w14:paraId="3FDC513A" w14:textId="68C2D635" w:rsidR="00FF2998" w:rsidRPr="008A5F96" w:rsidRDefault="00FF2998" w:rsidP="00CF3961">
      <w:pPr>
        <w:pStyle w:val="ItadH4"/>
      </w:pPr>
      <w:r w:rsidRPr="008A5F96">
        <w:t>Drivers of progress in increased quantity and quality of HH and AH AMR data</w:t>
      </w:r>
    </w:p>
    <w:p w14:paraId="0224FC1C" w14:textId="7B866E59" w:rsidR="00FF2998" w:rsidRPr="001F3A2A" w:rsidRDefault="003224CC" w:rsidP="00286877">
      <w:pPr>
        <w:pStyle w:val="ItadNormalTextBold"/>
        <w:rPr>
          <w:b w:val="0"/>
          <w:color w:val="3B3B3C" w:themeColor="text1"/>
        </w:rPr>
      </w:pPr>
      <w:r>
        <w:rPr>
          <w:color w:val="3B3B3C" w:themeColor="text1"/>
        </w:rPr>
        <w:t>Finding 2.1.1</w:t>
      </w:r>
      <w:r w:rsidR="005F383E">
        <w:rPr>
          <w:color w:val="3B3B3C" w:themeColor="text1"/>
        </w:rPr>
        <w:t>0</w:t>
      </w:r>
      <w:r>
        <w:rPr>
          <w:color w:val="3B3B3C" w:themeColor="text1"/>
        </w:rPr>
        <w:t>:</w:t>
      </w:r>
      <w:r w:rsidR="00F66E05" w:rsidRPr="008A5F96">
        <w:rPr>
          <w:color w:val="3B3B3C" w:themeColor="text1"/>
        </w:rPr>
        <w:t xml:space="preserve"> </w:t>
      </w:r>
      <w:r>
        <w:rPr>
          <w:color w:val="3B3B3C" w:themeColor="text1"/>
        </w:rPr>
        <w:t>M</w:t>
      </w:r>
      <w:r w:rsidR="00FF2998" w:rsidRPr="008A5F96">
        <w:rPr>
          <w:color w:val="3B3B3C" w:themeColor="text1"/>
        </w:rPr>
        <w:t>ajor drivers of increases in quantity (and quality) were identified as the renovation of sites and provision of equipment, investment in the capacity of the workforce, AMR governance, and supporting laboratory QA systems and processes.</w:t>
      </w:r>
      <w:r w:rsidR="00FF2998" w:rsidRPr="008A5F96" w:rsidDel="007D2E99">
        <w:rPr>
          <w:color w:val="3B3B3C" w:themeColor="text1"/>
        </w:rPr>
        <w:t xml:space="preserve"> </w:t>
      </w:r>
      <w:r w:rsidR="005F383E" w:rsidRPr="001F3A2A">
        <w:rPr>
          <w:rFonts w:eastAsia="Calibri"/>
        </w:rPr>
        <w:t xml:space="preserve">In some countries, increases in the quantity of data at the national level </w:t>
      </w:r>
      <w:r w:rsidR="005F383E" w:rsidRPr="001F3A2A" w:rsidDel="00E3708B">
        <w:rPr>
          <w:rFonts w:eastAsia="Calibri"/>
        </w:rPr>
        <w:t xml:space="preserve">were </w:t>
      </w:r>
      <w:r w:rsidR="005F383E" w:rsidRPr="001F3A2A">
        <w:rPr>
          <w:rFonts w:eastAsia="Calibri"/>
        </w:rPr>
        <w:t xml:space="preserve">driven, to </w:t>
      </w:r>
      <w:r w:rsidR="00CF3961">
        <w:rPr>
          <w:rFonts w:eastAsia="Calibri"/>
        </w:rPr>
        <w:t>a degree</w:t>
      </w:r>
      <w:r w:rsidR="005F383E" w:rsidRPr="001F3A2A">
        <w:rPr>
          <w:rFonts w:eastAsia="Calibri"/>
        </w:rPr>
        <w:t>, by the increases in the number of reporting sites or the number of pathogens reported but these were not necessarily from within the surveillance system</w:t>
      </w:r>
      <w:r w:rsidR="005F383E">
        <w:rPr>
          <w:b w:val="0"/>
          <w:bCs w:val="0"/>
          <w:color w:val="3B3B3C" w:themeColor="text1"/>
        </w:rPr>
        <w:t xml:space="preserve">. </w:t>
      </w:r>
      <w:r w:rsidR="00FF2998" w:rsidRPr="001F3A2A">
        <w:rPr>
          <w:b w:val="0"/>
          <w:bCs w:val="0"/>
          <w:color w:val="3B3B3C" w:themeColor="text1"/>
        </w:rPr>
        <w:t>We briefly discuss each below</w:t>
      </w:r>
      <w:r w:rsidR="00A403B4" w:rsidRPr="001F3A2A">
        <w:rPr>
          <w:b w:val="0"/>
          <w:bCs w:val="0"/>
          <w:color w:val="3B3B3C" w:themeColor="text1"/>
        </w:rPr>
        <w:t xml:space="preserve"> and </w:t>
      </w:r>
      <w:r w:rsidR="00FB5A29">
        <w:rPr>
          <w:b w:val="0"/>
          <w:bCs w:val="0"/>
          <w:color w:val="3B3B3C" w:themeColor="text1"/>
        </w:rPr>
        <w:t xml:space="preserve">is </w:t>
      </w:r>
      <w:r w:rsidR="00A403B4" w:rsidRPr="001F3A2A">
        <w:rPr>
          <w:b w:val="0"/>
          <w:bCs w:val="0"/>
          <w:color w:val="3B3B3C" w:themeColor="text1"/>
        </w:rPr>
        <w:t>summarised</w:t>
      </w:r>
      <w:r w:rsidR="00FB5A29" w:rsidRPr="001F3A2A">
        <w:rPr>
          <w:b w:val="0"/>
          <w:bCs w:val="0"/>
          <w:color w:val="3B3B3C" w:themeColor="text1"/>
        </w:rPr>
        <w:t xml:space="preserve"> in </w:t>
      </w:r>
      <w:r w:rsidR="00E54051" w:rsidRPr="00E54051">
        <w:rPr>
          <w:b w:val="0"/>
          <w:bCs w:val="0"/>
          <w:color w:val="3B3B3C" w:themeColor="text1"/>
        </w:rPr>
        <w:fldChar w:fldCharType="begin"/>
      </w:r>
      <w:r w:rsidR="00E54051" w:rsidRPr="00E54051">
        <w:rPr>
          <w:b w:val="0"/>
          <w:bCs w:val="0"/>
          <w:color w:val="3B3B3C" w:themeColor="text1"/>
        </w:rPr>
        <w:instrText xml:space="preserve"> REF _Ref144722112 \h  \* MERGEFORMAT </w:instrText>
      </w:r>
      <w:r w:rsidR="00E54051" w:rsidRPr="00E54051">
        <w:rPr>
          <w:b w:val="0"/>
          <w:bCs w:val="0"/>
          <w:color w:val="3B3B3C" w:themeColor="text1"/>
        </w:rPr>
      </w:r>
      <w:r w:rsidR="00E54051" w:rsidRPr="00E54051">
        <w:rPr>
          <w:b w:val="0"/>
          <w:bCs w:val="0"/>
          <w:color w:val="3B3B3C" w:themeColor="text1"/>
        </w:rPr>
        <w:fldChar w:fldCharType="separate"/>
      </w:r>
      <w:r w:rsidR="00E54051" w:rsidRPr="00E54051">
        <w:rPr>
          <w:b w:val="0"/>
          <w:bCs w:val="0"/>
        </w:rPr>
        <w:t xml:space="preserve">Table </w:t>
      </w:r>
      <w:r w:rsidR="00E54051" w:rsidRPr="00E54051">
        <w:rPr>
          <w:b w:val="0"/>
          <w:bCs w:val="0"/>
          <w:noProof/>
        </w:rPr>
        <w:t>3</w:t>
      </w:r>
      <w:r w:rsidR="00E54051" w:rsidRPr="00E54051">
        <w:rPr>
          <w:b w:val="0"/>
          <w:bCs w:val="0"/>
          <w:color w:val="3B3B3C" w:themeColor="text1"/>
        </w:rPr>
        <w:fldChar w:fldCharType="end"/>
      </w:r>
      <w:r w:rsidR="00E54051" w:rsidRPr="00E54051">
        <w:rPr>
          <w:b w:val="0"/>
          <w:bCs w:val="0"/>
          <w:color w:val="3B3B3C" w:themeColor="text1"/>
        </w:rPr>
        <w:t xml:space="preserve"> </w:t>
      </w:r>
      <w:r w:rsidR="00FB5A29" w:rsidRPr="00E54051">
        <w:rPr>
          <w:b w:val="0"/>
          <w:bCs w:val="0"/>
          <w:color w:val="3B3B3C" w:themeColor="text1"/>
        </w:rPr>
        <w:t xml:space="preserve">and </w:t>
      </w:r>
      <w:r w:rsidR="00E54051" w:rsidRPr="00E54051">
        <w:rPr>
          <w:b w:val="0"/>
          <w:bCs w:val="0"/>
          <w:color w:val="3B3B3C" w:themeColor="text1"/>
        </w:rPr>
        <w:fldChar w:fldCharType="begin"/>
      </w:r>
      <w:r w:rsidR="00E54051" w:rsidRPr="00E54051">
        <w:rPr>
          <w:b w:val="0"/>
          <w:bCs w:val="0"/>
          <w:color w:val="3B3B3C" w:themeColor="text1"/>
        </w:rPr>
        <w:instrText xml:space="preserve"> REF _Ref129292778 \h  \* MERGEFORMAT </w:instrText>
      </w:r>
      <w:r w:rsidR="00E54051" w:rsidRPr="00E54051">
        <w:rPr>
          <w:b w:val="0"/>
          <w:bCs w:val="0"/>
          <w:color w:val="3B3B3C" w:themeColor="text1"/>
        </w:rPr>
      </w:r>
      <w:r w:rsidR="00E54051" w:rsidRPr="00E54051">
        <w:rPr>
          <w:b w:val="0"/>
          <w:bCs w:val="0"/>
          <w:color w:val="3B3B3C" w:themeColor="text1"/>
        </w:rPr>
        <w:fldChar w:fldCharType="separate"/>
      </w:r>
      <w:r w:rsidR="00E54051" w:rsidRPr="00E54051">
        <w:rPr>
          <w:b w:val="0"/>
          <w:bCs w:val="0"/>
        </w:rPr>
        <w:t xml:space="preserve">Table </w:t>
      </w:r>
      <w:r w:rsidR="00E54051" w:rsidRPr="00E54051">
        <w:rPr>
          <w:b w:val="0"/>
          <w:bCs w:val="0"/>
          <w:noProof/>
        </w:rPr>
        <w:t>4</w:t>
      </w:r>
      <w:r w:rsidR="00E54051" w:rsidRPr="00E54051">
        <w:rPr>
          <w:b w:val="0"/>
          <w:bCs w:val="0"/>
          <w:color w:val="3B3B3C" w:themeColor="text1"/>
        </w:rPr>
        <w:fldChar w:fldCharType="end"/>
      </w:r>
      <w:r w:rsidR="00FB5A29" w:rsidRPr="001F3A2A">
        <w:rPr>
          <w:b w:val="0"/>
          <w:bCs w:val="0"/>
          <w:color w:val="3B3B3C" w:themeColor="text1"/>
        </w:rPr>
        <w:t xml:space="preserve"> below.</w:t>
      </w:r>
      <w:r w:rsidR="00626E44">
        <w:rPr>
          <w:color w:val="3B3B3C" w:themeColor="text1"/>
        </w:rPr>
        <w:t xml:space="preserve"> </w:t>
      </w:r>
      <w:r w:rsidR="00626E44">
        <w:rPr>
          <w:b w:val="0"/>
          <w:bCs w:val="0"/>
          <w:color w:val="3B3B3C" w:themeColor="text1"/>
        </w:rPr>
        <w:t>See also Vol. II, Annex 22</w:t>
      </w:r>
      <w:r w:rsidR="001A2E96">
        <w:rPr>
          <w:b w:val="0"/>
          <w:bCs w:val="0"/>
          <w:color w:val="3B3B3C" w:themeColor="text1"/>
        </w:rPr>
        <w:t xml:space="preserve"> (tables C1a, C1b, C2a and C2b) for more details</w:t>
      </w:r>
      <w:r w:rsidR="00626E44">
        <w:rPr>
          <w:b w:val="0"/>
          <w:bCs w:val="0"/>
          <w:color w:val="3B3B3C" w:themeColor="text1"/>
        </w:rPr>
        <w:t>.</w:t>
      </w:r>
    </w:p>
    <w:p w14:paraId="5FE87013" w14:textId="4F9C4547" w:rsidR="00FF2998" w:rsidRPr="008343D7" w:rsidRDefault="00FF2998" w:rsidP="00286877">
      <w:pPr>
        <w:pStyle w:val="ItadBullets"/>
      </w:pPr>
      <w:r w:rsidRPr="008A5F96">
        <w:rPr>
          <w:b/>
          <w:color w:val="3B3B3C" w:themeColor="text1"/>
        </w:rPr>
        <w:t xml:space="preserve">Renovation and equipment </w:t>
      </w:r>
      <w:r w:rsidRPr="008A5F96">
        <w:rPr>
          <w:color w:val="3B3B3C" w:themeColor="text1"/>
        </w:rPr>
        <w:t>(cited as one of the key drivers of increased quantity of AMR data in 14 out of 16 countries in HH and 10 out of 16 in AH).</w:t>
      </w:r>
      <w:r w:rsidRPr="008A5F96" w:rsidDel="007D2E99">
        <w:rPr>
          <w:color w:val="3B3B3C" w:themeColor="text1"/>
        </w:rPr>
        <w:t xml:space="preserve"> </w:t>
      </w:r>
      <w:r w:rsidRPr="008A5F96">
        <w:rPr>
          <w:rFonts w:eastAsia="Times New Roman"/>
          <w:color w:val="3B3B3C" w:themeColor="text1"/>
        </w:rPr>
        <w:t xml:space="preserve">Clean and functional laboratory space, with reliable electricity and water supplies, functioning basic equipment (e.g. refrigerators, incubators), and a reliable supply of consumables are vital prerequisites for generating quality AMR data. </w:t>
      </w:r>
      <w:r w:rsidRPr="008A5F96">
        <w:rPr>
          <w:color w:val="3B3B3C" w:themeColor="text1"/>
        </w:rPr>
        <w:t xml:space="preserve">As described in section </w:t>
      </w:r>
      <w:r w:rsidR="00286877">
        <w:fldChar w:fldCharType="begin"/>
      </w:r>
      <w:r w:rsidR="00286877">
        <w:instrText xml:space="preserve"> REF _Ref128743758 \r \h </w:instrText>
      </w:r>
      <w:r w:rsidR="00286877">
        <w:fldChar w:fldCharType="separate"/>
      </w:r>
      <w:r w:rsidR="00286877">
        <w:t>2.3</w:t>
      </w:r>
      <w:r w:rsidR="00286877">
        <w:fldChar w:fldCharType="end"/>
      </w:r>
      <w:r w:rsidRPr="008A5F96">
        <w:rPr>
          <w:color w:val="3B3B3C" w:themeColor="text1"/>
        </w:rPr>
        <w:t>, a substantial part of Fleming Fund</w:t>
      </w:r>
      <w:r w:rsidR="00AA6A7B">
        <w:rPr>
          <w:color w:val="3B3B3C" w:themeColor="text1"/>
        </w:rPr>
        <w:t>’</w:t>
      </w:r>
      <w:r w:rsidRPr="008A5F96">
        <w:rPr>
          <w:color w:val="3B3B3C" w:themeColor="text1"/>
        </w:rPr>
        <w:t xml:space="preserve">s investment has been on establishing these requirements in NRLs and at surveillance site laboratories to ensure they are fit for purpose. </w:t>
      </w:r>
      <w:r w:rsidR="00A23F35">
        <w:rPr>
          <w:color w:val="3B3B3C" w:themeColor="text1"/>
        </w:rPr>
        <w:t>Key performance indicator (</w:t>
      </w:r>
      <w:r w:rsidRPr="00AC020F">
        <w:rPr>
          <w:color w:val="3B3B3C" w:themeColor="text1"/>
        </w:rPr>
        <w:t>KPI</w:t>
      </w:r>
      <w:r w:rsidR="00A23F35">
        <w:rPr>
          <w:color w:val="3B3B3C" w:themeColor="text1"/>
        </w:rPr>
        <w:t>)</w:t>
      </w:r>
      <w:r w:rsidRPr="008A5F96">
        <w:rPr>
          <w:color w:val="3B3B3C" w:themeColor="text1"/>
        </w:rPr>
        <w:t xml:space="preserve"> data shows steady progress in the number of Fleming Fund</w:t>
      </w:r>
      <w:r w:rsidR="00D50F4C">
        <w:rPr>
          <w:color w:val="3B3B3C" w:themeColor="text1"/>
        </w:rPr>
        <w:t>-</w:t>
      </w:r>
      <w:r w:rsidRPr="008A5F96">
        <w:rPr>
          <w:color w:val="3B3B3C" w:themeColor="text1"/>
        </w:rPr>
        <w:t xml:space="preserve">supported HH and AH surveillance sites </w:t>
      </w:r>
      <w:r w:rsidRPr="008343D7">
        <w:t>showing progress through the LSHTM roadmap functions/stage</w:t>
      </w:r>
      <w:r w:rsidR="00286877">
        <w:t>.</w:t>
      </w:r>
      <w:r w:rsidRPr="008343D7">
        <w:t xml:space="preserve"> </w:t>
      </w:r>
      <w:r w:rsidR="00286877">
        <w:t>In</w:t>
      </w:r>
      <w:r w:rsidRPr="008343D7">
        <w:t xml:space="preserve"> 2019, 23 HH sites were making progress, which had increased to 118 by mid-2022; equivalent figures for AH sites were 47 in 2020</w:t>
      </w:r>
      <w:r w:rsidRPr="008343D7">
        <w:rPr>
          <w:sz w:val="20"/>
          <w:szCs w:val="20"/>
          <w:vertAlign w:val="superscript"/>
        </w:rPr>
        <w:footnoteReference w:id="80"/>
      </w:r>
      <w:r w:rsidRPr="008343D7">
        <w:t xml:space="preserve"> up to 51 by mid-2022 (see </w:t>
      </w:r>
      <w:r w:rsidR="00BC01D7">
        <w:fldChar w:fldCharType="begin"/>
      </w:r>
      <w:r w:rsidR="00BC01D7">
        <w:instrText xml:space="preserve"> REF _Ref144054746 \h </w:instrText>
      </w:r>
      <w:r w:rsidR="00BC01D7">
        <w:fldChar w:fldCharType="separate"/>
      </w:r>
      <w:r w:rsidR="002749FC">
        <w:t xml:space="preserve">Figure </w:t>
      </w:r>
      <w:r w:rsidR="002749FC">
        <w:rPr>
          <w:noProof/>
        </w:rPr>
        <w:t>12</w:t>
      </w:r>
      <w:r w:rsidR="00BC01D7">
        <w:fldChar w:fldCharType="end"/>
      </w:r>
      <w:r w:rsidR="00BC01D7">
        <w:t xml:space="preserve"> </w:t>
      </w:r>
      <w:r w:rsidRPr="008343D7">
        <w:t xml:space="preserve">and </w:t>
      </w:r>
      <w:r w:rsidR="00BC01D7">
        <w:fldChar w:fldCharType="begin"/>
      </w:r>
      <w:r w:rsidR="00BC01D7">
        <w:instrText xml:space="preserve"> REF _Ref144054758 \h </w:instrText>
      </w:r>
      <w:r w:rsidR="00BC01D7">
        <w:fldChar w:fldCharType="separate"/>
      </w:r>
      <w:r w:rsidR="002749FC">
        <w:t xml:space="preserve">Figure </w:t>
      </w:r>
      <w:r w:rsidR="002749FC">
        <w:rPr>
          <w:noProof/>
        </w:rPr>
        <w:t>13</w:t>
      </w:r>
      <w:r w:rsidR="00BC01D7">
        <w:fldChar w:fldCharType="end"/>
      </w:r>
      <w:r w:rsidR="00BC01D7">
        <w:t xml:space="preserve"> </w:t>
      </w:r>
      <w:r w:rsidRPr="008343D7">
        <w:t>for details). This capacity building was noted as an important driver for improvements in</w:t>
      </w:r>
      <w:r>
        <w:t xml:space="preserve"> both</w:t>
      </w:r>
      <w:r w:rsidRPr="008343D7">
        <w:t xml:space="preserve"> </w:t>
      </w:r>
      <w:r w:rsidRPr="008343D7">
        <w:rPr>
          <w:i/>
        </w:rPr>
        <w:t xml:space="preserve">quantity and quality </w:t>
      </w:r>
      <w:r w:rsidRPr="008343D7">
        <w:t>in both sectors</w:t>
      </w:r>
      <w:r>
        <w:t xml:space="preserve"> and the Fleming Fund grants made the main contribution as there was</w:t>
      </w:r>
      <w:r w:rsidR="00286877">
        <w:t xml:space="preserve"> </w:t>
      </w:r>
      <w:r>
        <w:t>n</w:t>
      </w:r>
      <w:r w:rsidR="00286877">
        <w:t>o</w:t>
      </w:r>
      <w:r>
        <w:t xml:space="preserve"> significant investment by either the governments or other donors in these facilities in the reported period</w:t>
      </w:r>
      <w:r w:rsidRPr="008343D7">
        <w:t>.</w:t>
      </w:r>
      <w:r>
        <w:t xml:space="preserve"> In those two countries where renovation and equipment was not explicitly highlighted as a key driver in HH, one was a category D country (reflecting a high degree of existing laboratory capacity as described in </w:t>
      </w:r>
      <w:r w:rsidR="00803F81">
        <w:t>Vol. I</w:t>
      </w:r>
      <w:r>
        <w:t>I, Annex 15</w:t>
      </w:r>
      <w:r w:rsidR="003C5E92">
        <w:t>, Table 4</w:t>
      </w:r>
      <w:r w:rsidR="00BC01D7">
        <w:t>7</w:t>
      </w:r>
      <w:r>
        <w:t xml:space="preserve">) and </w:t>
      </w:r>
      <w:r w:rsidR="00122388">
        <w:t>the other</w:t>
      </w:r>
      <w:r>
        <w:t xml:space="preserve"> noted the contribution of renovation and equipment in a different way (i.e. conflating with increases in the number of surveillance sites).</w:t>
      </w:r>
      <w:r w:rsidR="00DC1D8D">
        <w:t xml:space="preserve"> </w:t>
      </w:r>
      <w:r>
        <w:t xml:space="preserve">For the </w:t>
      </w:r>
      <w:r w:rsidR="00122388">
        <w:t>six</w:t>
      </w:r>
      <w:r>
        <w:t xml:space="preserve"> countries not reporting renovation and equipment as key drivers in AH, it seems that the focus on active surveillance (and implications in terms of F</w:t>
      </w:r>
      <w:r w:rsidR="00122388">
        <w:t xml:space="preserve">leming </w:t>
      </w:r>
      <w:r>
        <w:t>F</w:t>
      </w:r>
      <w:r w:rsidR="00122388">
        <w:t>und</w:t>
      </w:r>
      <w:r>
        <w:t xml:space="preserve"> support provided to support this surveillance approach) is an explanatory factor.</w:t>
      </w:r>
    </w:p>
    <w:p w14:paraId="732061B1" w14:textId="6F50A11A" w:rsidR="00FF2998" w:rsidRPr="008343D7" w:rsidRDefault="00FF2998" w:rsidP="00286877">
      <w:pPr>
        <w:pStyle w:val="ItadBullets"/>
      </w:pPr>
      <w:bookmarkStart w:id="213" w:name="_Hlk136461712"/>
      <w:bookmarkEnd w:id="212"/>
      <w:r w:rsidRPr="008343D7">
        <w:rPr>
          <w:b/>
        </w:rPr>
        <w:t xml:space="preserve">Human resources </w:t>
      </w:r>
      <w:r w:rsidRPr="008343D7">
        <w:t>(cited as a driver in nine out of 11 countries with positive progress in HH and in 12 out of 14 countries in AH). Alongside renovation and procurement of equipment, the Fleming Fund provides substantial investment into the capacity of the workforce that is responsible for delivering AMR surveillance and related functions. This has taken the form of both direct training of staff and support/mentorship through the Fleming Fellowship Scheme.</w:t>
      </w:r>
      <w:r w:rsidRPr="008343D7">
        <w:rPr>
          <w:vertAlign w:val="superscript"/>
        </w:rPr>
        <w:footnoteReference w:id="81"/>
      </w:r>
      <w:r w:rsidRPr="008343D7">
        <w:t xml:space="preserve"> Human capacity was noted as the most important driver in increasing the quantity of data in the AH sector (for HH it was noted as the third most important driver).</w:t>
      </w:r>
      <w:r w:rsidRPr="008343D7" w:rsidDel="007D2E99">
        <w:t xml:space="preserve"> </w:t>
      </w:r>
      <w:r w:rsidRPr="008343D7">
        <w:rPr>
          <w:rFonts w:eastAsia="Times New Roman"/>
        </w:rPr>
        <w:t xml:space="preserve">Training of staff has also been fundamental to improvements in quality, through improving the availability of appropriately trained staff to generate AMR data. For the </w:t>
      </w:r>
      <w:r w:rsidR="00FA29A2">
        <w:rPr>
          <w:rFonts w:eastAsia="Times New Roman"/>
        </w:rPr>
        <w:t>F</w:t>
      </w:r>
      <w:r w:rsidRPr="008343D7">
        <w:rPr>
          <w:rFonts w:eastAsia="Times New Roman"/>
        </w:rPr>
        <w:t xml:space="preserve">ellowship scheme, KPI data for cohort 1 </w:t>
      </w:r>
      <w:r w:rsidR="00766676" w:rsidRPr="008343D7">
        <w:rPr>
          <w:rFonts w:eastAsia="Times New Roman"/>
        </w:rPr>
        <w:t>Professiona</w:t>
      </w:r>
      <w:r w:rsidRPr="008343D7">
        <w:rPr>
          <w:rFonts w:eastAsia="Times New Roman"/>
        </w:rPr>
        <w:t xml:space="preserve">l Fellows show that 100% (20 out of 20) of </w:t>
      </w:r>
      <w:r w:rsidR="00AA6A7B">
        <w:rPr>
          <w:rFonts w:eastAsia="Times New Roman"/>
        </w:rPr>
        <w:t>F</w:t>
      </w:r>
      <w:r w:rsidRPr="008343D7">
        <w:rPr>
          <w:rFonts w:eastAsia="Times New Roman"/>
        </w:rPr>
        <w:t xml:space="preserve">ellows in 2021 had made substantial progress in developing </w:t>
      </w:r>
      <w:r w:rsidR="003F56FA" w:rsidRPr="008343D7">
        <w:rPr>
          <w:rFonts w:eastAsia="Times New Roman"/>
        </w:rPr>
        <w:t>AMR</w:t>
      </w:r>
      <w:r w:rsidR="003F56FA">
        <w:rPr>
          <w:rFonts w:eastAsia="Times New Roman"/>
        </w:rPr>
        <w:t>-</w:t>
      </w:r>
      <w:r w:rsidRPr="008343D7">
        <w:rPr>
          <w:rFonts w:eastAsia="Times New Roman"/>
        </w:rPr>
        <w:t>relevant competencies.</w:t>
      </w:r>
      <w:r w:rsidRPr="008343D7">
        <w:rPr>
          <w:rFonts w:eastAsia="Times New Roman"/>
          <w:sz w:val="20"/>
          <w:szCs w:val="20"/>
          <w:vertAlign w:val="superscript"/>
        </w:rPr>
        <w:footnoteReference w:id="82"/>
      </w:r>
      <w:r w:rsidRPr="008343D7">
        <w:rPr>
          <w:rFonts w:eastAsia="Times New Roman"/>
        </w:rPr>
        <w:t xml:space="preserve"> This capacity development was also a major driver in the improvement of </w:t>
      </w:r>
      <w:r w:rsidR="00AA6A7B">
        <w:rPr>
          <w:rFonts w:eastAsia="Times New Roman"/>
        </w:rPr>
        <w:t>‘</w:t>
      </w:r>
      <w:r w:rsidRPr="008343D7">
        <w:rPr>
          <w:rFonts w:eastAsia="Times New Roman"/>
        </w:rPr>
        <w:t>quality scores</w:t>
      </w:r>
      <w:r w:rsidR="00AA6A7B">
        <w:rPr>
          <w:rFonts w:eastAsia="Times New Roman"/>
        </w:rPr>
        <w:t>’</w:t>
      </w:r>
      <w:r w:rsidRPr="008343D7">
        <w:rPr>
          <w:rFonts w:eastAsia="Times New Roman"/>
        </w:rPr>
        <w:t xml:space="preserve"> </w:t>
      </w:r>
      <w:r>
        <w:rPr>
          <w:rFonts w:eastAsia="Times New Roman"/>
        </w:rPr>
        <w:t>i</w:t>
      </w:r>
      <w:r w:rsidRPr="008343D7">
        <w:rPr>
          <w:rFonts w:eastAsia="Times New Roman"/>
        </w:rPr>
        <w:t xml:space="preserve">n most countries. Similar statistics on outcomes of non-Fellowships training provided by the Fund are not available, but </w:t>
      </w:r>
      <w:r w:rsidR="00C81951">
        <w:rPr>
          <w:rFonts w:eastAsia="Times New Roman"/>
        </w:rPr>
        <w:t>data</w:t>
      </w:r>
      <w:r w:rsidR="00F32B05">
        <w:rPr>
          <w:rFonts w:eastAsia="Times New Roman"/>
        </w:rPr>
        <w:t xml:space="preserve"> on the number </w:t>
      </w:r>
      <w:r w:rsidRPr="008343D7">
        <w:rPr>
          <w:rFonts w:eastAsia="Times New Roman"/>
        </w:rPr>
        <w:t xml:space="preserve">of training </w:t>
      </w:r>
      <w:r w:rsidR="00F32B05">
        <w:rPr>
          <w:rFonts w:eastAsia="Times New Roman"/>
        </w:rPr>
        <w:t xml:space="preserve">attendances and mentorships </w:t>
      </w:r>
      <w:r w:rsidRPr="008343D7">
        <w:rPr>
          <w:rFonts w:eastAsia="Times New Roman"/>
        </w:rPr>
        <w:t>provided are summarise</w:t>
      </w:r>
      <w:r>
        <w:rPr>
          <w:rFonts w:eastAsia="Times New Roman"/>
        </w:rPr>
        <w:t>d</w:t>
      </w:r>
      <w:r w:rsidRPr="008343D7">
        <w:rPr>
          <w:rFonts w:eastAsia="Times New Roman"/>
        </w:rPr>
        <w:t xml:space="preserve"> </w:t>
      </w:r>
      <w:r w:rsidRPr="008A5F96">
        <w:rPr>
          <w:color w:val="3B3B3C" w:themeColor="text1"/>
        </w:rPr>
        <w:t>in</w:t>
      </w:r>
      <w:r w:rsidR="00BC01D7">
        <w:rPr>
          <w:color w:val="3B3B3C" w:themeColor="text1"/>
        </w:rPr>
        <w:t xml:space="preserve"> </w:t>
      </w:r>
      <w:r w:rsidR="00BC01D7">
        <w:rPr>
          <w:color w:val="3B3B3C" w:themeColor="text1"/>
        </w:rPr>
        <w:fldChar w:fldCharType="begin"/>
      </w:r>
      <w:r w:rsidR="00BC01D7">
        <w:rPr>
          <w:color w:val="3B3B3C" w:themeColor="text1"/>
        </w:rPr>
        <w:instrText xml:space="preserve"> REF _Ref144054981 \h </w:instrText>
      </w:r>
      <w:r w:rsidR="00BC01D7">
        <w:rPr>
          <w:color w:val="3B3B3C" w:themeColor="text1"/>
        </w:rPr>
      </w:r>
      <w:r w:rsidR="00BC01D7">
        <w:rPr>
          <w:color w:val="3B3B3C" w:themeColor="text1"/>
        </w:rPr>
        <w:fldChar w:fldCharType="separate"/>
      </w:r>
      <w:r w:rsidR="002749FC">
        <w:t xml:space="preserve">Figure </w:t>
      </w:r>
      <w:r w:rsidR="002749FC">
        <w:rPr>
          <w:noProof/>
        </w:rPr>
        <w:t>11</w:t>
      </w:r>
      <w:r w:rsidR="00BC01D7">
        <w:rPr>
          <w:color w:val="3B3B3C" w:themeColor="text1"/>
        </w:rPr>
        <w:fldChar w:fldCharType="end"/>
      </w:r>
      <w:r w:rsidRPr="008A5F96">
        <w:rPr>
          <w:color w:val="3B3B3C" w:themeColor="text1"/>
        </w:rPr>
        <w:t>.</w:t>
      </w:r>
      <w:r>
        <w:rPr>
          <w:rFonts w:eastAsia="Times New Roman"/>
        </w:rPr>
        <w:t xml:space="preserve"> Where human resources capacity building was not reported as a key driver, </w:t>
      </w:r>
      <w:r w:rsidR="006F63AE">
        <w:rPr>
          <w:rFonts w:eastAsia="Times New Roman"/>
        </w:rPr>
        <w:t>our analysis and data from KIIs s</w:t>
      </w:r>
      <w:r w:rsidR="00B74C53">
        <w:rPr>
          <w:rFonts w:eastAsia="Times New Roman"/>
        </w:rPr>
        <w:t>uggest</w:t>
      </w:r>
      <w:r>
        <w:rPr>
          <w:rFonts w:eastAsia="Times New Roman"/>
        </w:rPr>
        <w:t xml:space="preserve"> this </w:t>
      </w:r>
      <w:r w:rsidR="00B74C53">
        <w:rPr>
          <w:rFonts w:eastAsia="Times New Roman"/>
        </w:rPr>
        <w:t xml:space="preserve">is </w:t>
      </w:r>
      <w:r>
        <w:rPr>
          <w:rFonts w:eastAsia="Times New Roman"/>
        </w:rPr>
        <w:t xml:space="preserve">either linked to pre-existing capacity (i.e. status of surveillance system at </w:t>
      </w:r>
      <w:r w:rsidR="003F56FA">
        <w:rPr>
          <w:rFonts w:eastAsia="Times New Roman"/>
        </w:rPr>
        <w:t xml:space="preserve">the </w:t>
      </w:r>
      <w:r>
        <w:rPr>
          <w:rFonts w:eastAsia="Times New Roman"/>
        </w:rPr>
        <w:t>start of F</w:t>
      </w:r>
      <w:r w:rsidR="00766676">
        <w:rPr>
          <w:rFonts w:eastAsia="Times New Roman"/>
        </w:rPr>
        <w:t xml:space="preserve">leming </w:t>
      </w:r>
      <w:r>
        <w:rPr>
          <w:rFonts w:eastAsia="Times New Roman"/>
        </w:rPr>
        <w:t>F</w:t>
      </w:r>
      <w:r w:rsidR="00766676">
        <w:rPr>
          <w:rFonts w:eastAsia="Times New Roman"/>
        </w:rPr>
        <w:t>und</w:t>
      </w:r>
      <w:r>
        <w:rPr>
          <w:rFonts w:eastAsia="Times New Roman"/>
        </w:rPr>
        <w:t xml:space="preserve"> support) or to KIs</w:t>
      </w:r>
      <w:r w:rsidR="00BC01D7">
        <w:rPr>
          <w:rFonts w:eastAsia="Times New Roman"/>
        </w:rPr>
        <w:t>’</w:t>
      </w:r>
      <w:r>
        <w:rPr>
          <w:rFonts w:eastAsia="Times New Roman"/>
        </w:rPr>
        <w:t xml:space="preserve"> choices to emphasise certain F</w:t>
      </w:r>
      <w:r w:rsidR="00766676">
        <w:rPr>
          <w:rFonts w:eastAsia="Times New Roman"/>
        </w:rPr>
        <w:t xml:space="preserve">leming </w:t>
      </w:r>
      <w:r>
        <w:rPr>
          <w:rFonts w:eastAsia="Times New Roman"/>
        </w:rPr>
        <w:t>F</w:t>
      </w:r>
      <w:r w:rsidR="00766676">
        <w:rPr>
          <w:rFonts w:eastAsia="Times New Roman"/>
        </w:rPr>
        <w:t>und</w:t>
      </w:r>
      <w:r>
        <w:rPr>
          <w:rFonts w:eastAsia="Times New Roman"/>
        </w:rPr>
        <w:t xml:space="preserve"> support (i.e. lack of reporting on </w:t>
      </w:r>
      <w:r w:rsidR="00766676">
        <w:rPr>
          <w:rFonts w:eastAsia="Times New Roman"/>
        </w:rPr>
        <w:t>human resource</w:t>
      </w:r>
      <w:r>
        <w:rPr>
          <w:rFonts w:eastAsia="Times New Roman"/>
        </w:rPr>
        <w:t xml:space="preserve"> capacity build</w:t>
      </w:r>
      <w:r w:rsidR="00766676">
        <w:rPr>
          <w:rFonts w:eastAsia="Times New Roman"/>
        </w:rPr>
        <w:t>ing</w:t>
      </w:r>
      <w:r>
        <w:rPr>
          <w:rFonts w:eastAsia="Times New Roman"/>
        </w:rPr>
        <w:t xml:space="preserve"> as a key driver did not necessarily mean that it did not contribute to progress).</w:t>
      </w:r>
    </w:p>
    <w:p w14:paraId="3C50BD82" w14:textId="15A0AB43" w:rsidR="00FF2998" w:rsidRPr="008343D7" w:rsidRDefault="00FF2998" w:rsidP="00286877">
      <w:pPr>
        <w:pStyle w:val="ItadBullets"/>
      </w:pPr>
      <w:bookmarkStart w:id="214" w:name="_Hlk129294771"/>
      <w:r w:rsidRPr="008343D7">
        <w:rPr>
          <w:b/>
        </w:rPr>
        <w:t>Governance</w:t>
      </w:r>
      <w:r w:rsidRPr="008343D7">
        <w:rPr>
          <w:b/>
          <w:vertAlign w:val="superscript"/>
        </w:rPr>
        <w:footnoteReference w:id="83"/>
      </w:r>
      <w:r w:rsidRPr="008343D7">
        <w:rPr>
          <w:b/>
        </w:rPr>
        <w:t xml:space="preserve"> </w:t>
      </w:r>
      <w:r w:rsidRPr="008343D7">
        <w:t>(cited as a driver in</w:t>
      </w:r>
      <w:r w:rsidRPr="008343D7" w:rsidDel="00DD0D95">
        <w:t xml:space="preserve"> </w:t>
      </w:r>
      <w:r w:rsidRPr="008343D7">
        <w:t>six out of 11 countries with positive progress in HH and four out of 13 in AH). The Fleming Fund has also provided strategic support to help strengthen the governance of AMR surveillance, under the auspices of AMRCCs as often set out in AMR NAPs.</w:t>
      </w:r>
      <w:r w:rsidRPr="008343D7" w:rsidDel="007D2E99">
        <w:t xml:space="preserve"> </w:t>
      </w:r>
      <w:r>
        <w:t>This recognised that, in addition to renovation and equipment or training of key staff, AMR surveillance systems need to be strategically designed and managed to contribute to key policy objectives and create signals about the importance of AMR surveillance functions.</w:t>
      </w:r>
      <w:r w:rsidRPr="00FE1760">
        <w:rPr>
          <w:b/>
          <w:vertAlign w:val="superscript"/>
        </w:rPr>
        <w:t xml:space="preserve"> </w:t>
      </w:r>
      <w:r w:rsidRPr="008343D7">
        <w:rPr>
          <w:b/>
          <w:vertAlign w:val="superscript"/>
        </w:rPr>
        <w:footnoteReference w:id="84"/>
      </w:r>
      <w:r w:rsidR="00DC1D8D">
        <w:t xml:space="preserve"> </w:t>
      </w:r>
      <w:r>
        <w:t>This kind of g</w:t>
      </w:r>
      <w:r w:rsidRPr="008343D7">
        <w:t xml:space="preserve">overnance </w:t>
      </w:r>
      <w:r>
        <w:t xml:space="preserve">support </w:t>
      </w:r>
      <w:r w:rsidRPr="008343D7">
        <w:t>was noted as one of the top three most important drivers of progress in both sectors for quantity improvements.</w:t>
      </w:r>
      <w:r w:rsidRPr="008343D7" w:rsidDel="007D2E99">
        <w:t xml:space="preserve"> </w:t>
      </w:r>
      <w:r w:rsidRPr="008343D7">
        <w:t>Governance was also noted as a constraining factor in both sectors in countries where progress has been slower.</w:t>
      </w:r>
    </w:p>
    <w:p w14:paraId="3DD512C7" w14:textId="4BA503A6" w:rsidR="00FF2998" w:rsidRPr="00286877" w:rsidRDefault="00FF2998" w:rsidP="00286877">
      <w:pPr>
        <w:pStyle w:val="ItadBullets"/>
        <w:rPr>
          <w:rFonts w:eastAsia="Times New Roman"/>
        </w:rPr>
      </w:pPr>
      <w:bookmarkStart w:id="215" w:name="_Hlk129294912"/>
      <w:bookmarkEnd w:id="214"/>
      <w:r w:rsidRPr="008343D7">
        <w:rPr>
          <w:rFonts w:eastAsia="Times New Roman"/>
          <w:b/>
        </w:rPr>
        <w:t>Specific to improvements in quality (rather than quantity) were the development of and support for QA programmes and SOPs</w:t>
      </w:r>
      <w:r w:rsidRPr="008343D7">
        <w:rPr>
          <w:rFonts w:eastAsia="Times New Roman"/>
        </w:rPr>
        <w:t xml:space="preserve">. Ensuring laboratories have SOPs based on internationally recognised standards that are </w:t>
      </w:r>
      <w:r w:rsidRPr="008343D7" w:rsidDel="00060555">
        <w:rPr>
          <w:rFonts w:eastAsia="Times New Roman"/>
        </w:rPr>
        <w:t>followed</w:t>
      </w:r>
      <w:r w:rsidRPr="008343D7">
        <w:rPr>
          <w:rFonts w:eastAsia="Times New Roman"/>
        </w:rPr>
        <w:t xml:space="preserve"> and having a process of independently checking performance through EQA is also vital in improving quality, and through RGs and CGs, the Fleming Fund contributed to SOP development and EQA. This was an important driver of increases in quality.</w:t>
      </w:r>
    </w:p>
    <w:p w14:paraId="323E2ECB" w14:textId="24D1BC10" w:rsidR="00FF2998" w:rsidRPr="008343D7" w:rsidRDefault="00FF2998" w:rsidP="00F01A66">
      <w:pPr>
        <w:pStyle w:val="ItadNormalText"/>
      </w:pPr>
      <w:bookmarkStart w:id="216" w:name="_Hlk129296020"/>
      <w:bookmarkEnd w:id="213"/>
      <w:bookmarkEnd w:id="215"/>
      <w:r w:rsidRPr="008343D7">
        <w:rPr>
          <w:b/>
        </w:rPr>
        <w:t>Other factors that were noted, albeit less frequently, across the focus countries</w:t>
      </w:r>
      <w:r w:rsidRPr="008343D7">
        <w:t xml:space="preserve"> included the availability of good quality consumables in sufficient quantity (in HH)</w:t>
      </w:r>
      <w:r>
        <w:t xml:space="preserve"> </w:t>
      </w:r>
      <w:r w:rsidR="00F01A66">
        <w:t xml:space="preserve">although </w:t>
      </w:r>
      <w:r>
        <w:t xml:space="preserve">with sustainability implications as discussed in section </w:t>
      </w:r>
      <w:r>
        <w:fldChar w:fldCharType="begin"/>
      </w:r>
      <w:r>
        <w:instrText xml:space="preserve"> REF _Ref128469139 \r \h </w:instrText>
      </w:r>
      <w:r>
        <w:fldChar w:fldCharType="separate"/>
      </w:r>
      <w:r>
        <w:rPr>
          <w:cs/>
        </w:rPr>
        <w:t>‎</w:t>
      </w:r>
      <w:r w:rsidR="005E75BF">
        <w:fldChar w:fldCharType="begin"/>
      </w:r>
      <w:r w:rsidR="005E75BF">
        <w:instrText xml:space="preserve"> </w:instrText>
      </w:r>
      <w:r w:rsidR="005E75BF">
        <w:rPr>
          <w:cs/>
        </w:rPr>
        <w:instrText>REF _Ref129295025 \r \h</w:instrText>
      </w:r>
      <w:r w:rsidR="005E75BF">
        <w:instrText xml:space="preserve"> </w:instrText>
      </w:r>
      <w:r w:rsidR="005E75BF">
        <w:fldChar w:fldCharType="separate"/>
      </w:r>
      <w:r w:rsidR="005E75BF">
        <w:t>1.3</w:t>
      </w:r>
      <w:r w:rsidR="005E75BF">
        <w:fldChar w:fldCharType="end"/>
      </w:r>
      <w:r>
        <w:fldChar w:fldCharType="end"/>
      </w:r>
      <w:r w:rsidR="007D41A3">
        <w:t>.</w:t>
      </w:r>
      <w:r w:rsidRPr="008343D7">
        <w:t xml:space="preserve"> </w:t>
      </w:r>
      <w:r w:rsidR="007D41A3">
        <w:t xml:space="preserve">Additionally, </w:t>
      </w:r>
      <w:r w:rsidR="007D41A3" w:rsidRPr="008343D7">
        <w:t>increase</w:t>
      </w:r>
      <w:r w:rsidR="00B676D6">
        <w:t>d demand for AST</w:t>
      </w:r>
      <w:r w:rsidRPr="008343D7">
        <w:t xml:space="preserve"> </w:t>
      </w:r>
      <w:r w:rsidR="00B676D6">
        <w:t>by</w:t>
      </w:r>
      <w:r w:rsidRPr="008343D7">
        <w:t xml:space="preserve"> HH clinicians</w:t>
      </w:r>
      <w:r w:rsidR="00AA6A7B">
        <w:t>’</w:t>
      </w:r>
      <w:r w:rsidRPr="008343D7">
        <w:t xml:space="preserve"> </w:t>
      </w:r>
      <w:r w:rsidR="00B81C03">
        <w:t xml:space="preserve">was noted </w:t>
      </w:r>
      <w:r>
        <w:t>(although this was</w:t>
      </w:r>
      <w:r w:rsidR="005E75BF">
        <w:t xml:space="preserve"> </w:t>
      </w:r>
      <w:r>
        <w:t>n</w:t>
      </w:r>
      <w:r w:rsidR="005E75BF">
        <w:t>o</w:t>
      </w:r>
      <w:r>
        <w:t xml:space="preserve">t necessarily due to </w:t>
      </w:r>
      <w:r w:rsidR="005E75BF">
        <w:t>Fleming Fund</w:t>
      </w:r>
      <w:r>
        <w:t xml:space="preserve"> support)</w:t>
      </w:r>
      <w:r w:rsidR="007D41A3">
        <w:t>. I</w:t>
      </w:r>
      <w:r w:rsidRPr="008343D7">
        <w:t>n AH</w:t>
      </w:r>
      <w:r w:rsidR="007D41A3">
        <w:t>,</w:t>
      </w:r>
      <w:r w:rsidRPr="008343D7">
        <w:t xml:space="preserve"> the number of active sampling exercises conducted was noted as a driver, as well as the availability of consumables in sufficient quantity – similar to HH.</w:t>
      </w:r>
    </w:p>
    <w:p w14:paraId="5ECB6243" w14:textId="384846D5" w:rsidR="0092234C" w:rsidRPr="00ED301D" w:rsidRDefault="00FF2998" w:rsidP="00F01A66">
      <w:pPr>
        <w:pStyle w:val="ItadNormalText"/>
      </w:pPr>
      <w:r w:rsidRPr="001F3A2A">
        <w:t xml:space="preserve">In some countries, increases in the quantity of data at </w:t>
      </w:r>
      <w:r w:rsidR="007D41A3" w:rsidRPr="001F3A2A">
        <w:t xml:space="preserve">the </w:t>
      </w:r>
      <w:r w:rsidRPr="001F3A2A">
        <w:t xml:space="preserve">national level </w:t>
      </w:r>
      <w:r w:rsidRPr="001F3A2A" w:rsidDel="00E3708B">
        <w:t xml:space="preserve">were </w:t>
      </w:r>
      <w:r w:rsidRPr="001F3A2A">
        <w:t xml:space="preserve">driven, to some extent, by the increases in </w:t>
      </w:r>
      <w:r w:rsidR="007D41A3" w:rsidRPr="001F3A2A">
        <w:t xml:space="preserve">the </w:t>
      </w:r>
      <w:r w:rsidRPr="001F3A2A">
        <w:t xml:space="preserve">number of reporting sites or </w:t>
      </w:r>
      <w:r w:rsidR="007D41A3" w:rsidRPr="001F3A2A">
        <w:t>the</w:t>
      </w:r>
      <w:r w:rsidRPr="001F3A2A">
        <w:t xml:space="preserve"> number of pathogens reported but these were not necessarily from within the surveillance system.</w:t>
      </w:r>
      <w:r w:rsidRPr="008343D7" w:rsidDel="007D2E99">
        <w:t xml:space="preserve"> </w:t>
      </w:r>
      <w:r w:rsidRPr="008343D7">
        <w:t>In</w:t>
      </w:r>
      <w:r w:rsidRPr="008343D7">
        <w:rPr>
          <w:b/>
        </w:rPr>
        <w:t xml:space="preserve"> </w:t>
      </w:r>
      <w:r w:rsidRPr="008343D7">
        <w:t xml:space="preserve">14 of the 16 countries (88%), the number of sites </w:t>
      </w:r>
      <w:r>
        <w:t xml:space="preserve">reporting to GLASS </w:t>
      </w:r>
      <w:r w:rsidRPr="008343D7">
        <w:t>increased between 2018 and 2022 as shown in Vol. II, Annex 8</w:t>
      </w:r>
      <w:r w:rsidR="00D466CD">
        <w:t>.1</w:t>
      </w:r>
      <w:r w:rsidR="002C359D">
        <w:t xml:space="preserve"> (Table 2</w:t>
      </w:r>
      <w:r w:rsidR="00C64363">
        <w:t>9</w:t>
      </w:r>
      <w:r w:rsidR="002C359D">
        <w:t>)</w:t>
      </w:r>
      <w:r w:rsidRPr="008343D7">
        <w:t>. In</w:t>
      </w:r>
      <w:r w:rsidRPr="008343D7" w:rsidDel="00FC17EB">
        <w:t xml:space="preserve"> </w:t>
      </w:r>
      <w:r w:rsidRPr="008343D7">
        <w:t xml:space="preserve">three of the 10 countries where we have trend data, increases in the quantity of data appear to have been driven by increases in the number of sites </w:t>
      </w:r>
      <w:r>
        <w:t>reporting</w:t>
      </w:r>
      <w:r w:rsidRPr="008343D7">
        <w:t xml:space="preserve">, </w:t>
      </w:r>
      <w:r>
        <w:t xml:space="preserve">and </w:t>
      </w:r>
      <w:r w:rsidRPr="008343D7">
        <w:t>KIIs in</w:t>
      </w:r>
      <w:r w:rsidRPr="008343D7" w:rsidDel="00DD0D95">
        <w:t xml:space="preserve"> </w:t>
      </w:r>
      <w:r w:rsidRPr="008343D7">
        <w:t xml:space="preserve">five countries noted this driver as vital </w:t>
      </w:r>
      <w:r w:rsidRPr="00E051AF">
        <w:t>or important</w:t>
      </w:r>
      <w:r w:rsidRPr="008343D7">
        <w:t xml:space="preserve"> in increasing the quantity of data. This </w:t>
      </w:r>
      <w:r>
        <w:t xml:space="preserve">suggests </w:t>
      </w:r>
      <w:r w:rsidRPr="008343D7">
        <w:t xml:space="preserve">that drivers </w:t>
      </w:r>
      <w:r>
        <w:t xml:space="preserve">other than </w:t>
      </w:r>
      <w:r w:rsidRPr="008343D7">
        <w:t>changes in</w:t>
      </w:r>
      <w:r w:rsidRPr="008343D7" w:rsidDel="00D3449C">
        <w:t xml:space="preserve"> </w:t>
      </w:r>
      <w:r w:rsidRPr="008343D7">
        <w:t>laboratory capability</w:t>
      </w:r>
      <w:r>
        <w:t xml:space="preserve"> (e.g. the drive to report data internationally and to collect available evidence </w:t>
      </w:r>
      <w:r w:rsidR="0047670E">
        <w:t>including</w:t>
      </w:r>
      <w:r>
        <w:t xml:space="preserve"> from surveillance sites) </w:t>
      </w:r>
      <w:r w:rsidRPr="008343D7">
        <w:t xml:space="preserve">were important in </w:t>
      </w:r>
      <w:r>
        <w:t xml:space="preserve">some </w:t>
      </w:r>
      <w:r w:rsidRPr="008343D7">
        <w:t>countries. A further factor was identified in analysing the data of six of the 16 countries (38%)</w:t>
      </w:r>
      <w:r w:rsidRPr="008343D7">
        <w:rPr>
          <w:sz w:val="20"/>
          <w:szCs w:val="20"/>
          <w:vertAlign w:val="superscript"/>
        </w:rPr>
        <w:footnoteReference w:id="85"/>
      </w:r>
      <w:r w:rsidRPr="008343D7">
        <w:t xml:space="preserve"> where it appears that increases in the number of GLASS pathogens that countries</w:t>
      </w:r>
      <w:r w:rsidR="00AA6A7B">
        <w:t>’</w:t>
      </w:r>
      <w:r w:rsidRPr="008343D7">
        <w:t xml:space="preserve"> surveillance systems could test for drove, to some extent, increases in the quantity of data available.</w:t>
      </w:r>
      <w:r w:rsidRPr="008343D7">
        <w:rPr>
          <w:sz w:val="20"/>
          <w:szCs w:val="20"/>
          <w:vertAlign w:val="superscript"/>
        </w:rPr>
        <w:footnoteReference w:id="86"/>
      </w:r>
      <w:bookmarkEnd w:id="216"/>
      <w:r w:rsidR="006568E8">
        <w:t xml:space="preserve"> </w:t>
      </w:r>
    </w:p>
    <w:p w14:paraId="28B664E9" w14:textId="1C6E19EE" w:rsidR="00ED301D" w:rsidRDefault="00F62CD8" w:rsidP="00F62CD8">
      <w:pPr>
        <w:pStyle w:val="Caption"/>
      </w:pPr>
      <w:bookmarkStart w:id="217" w:name="_Ref144722112"/>
      <w:bookmarkStart w:id="218" w:name="_Toc144722295"/>
      <w:r>
        <w:t xml:space="preserve">Table </w:t>
      </w:r>
      <w:r>
        <w:fldChar w:fldCharType="begin"/>
      </w:r>
      <w:r>
        <w:instrText>SEQ Table \* ARABIC</w:instrText>
      </w:r>
      <w:r>
        <w:fldChar w:fldCharType="separate"/>
      </w:r>
      <w:r>
        <w:rPr>
          <w:noProof/>
        </w:rPr>
        <w:t>3</w:t>
      </w:r>
      <w:r>
        <w:fldChar w:fldCharType="end"/>
      </w:r>
      <w:bookmarkEnd w:id="217"/>
      <w:r w:rsidR="00ED301D">
        <w:rPr>
          <w:noProof/>
        </w:rPr>
        <w:t xml:space="preserve">: </w:t>
      </w:r>
      <w:r w:rsidR="00ED301D" w:rsidRPr="00683BCF">
        <w:rPr>
          <w:noProof/>
        </w:rPr>
        <w:t>Changes in quantity of HH AMR data</w:t>
      </w:r>
      <w:bookmarkEnd w:id="218"/>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1089"/>
        <w:gridCol w:w="1417"/>
        <w:gridCol w:w="993"/>
        <w:gridCol w:w="1193"/>
        <w:gridCol w:w="1212"/>
        <w:gridCol w:w="1139"/>
        <w:gridCol w:w="850"/>
      </w:tblGrid>
      <w:tr w:rsidR="005E45BC" w:rsidRPr="005E45BC" w14:paraId="145F458F" w14:textId="77777777" w:rsidTr="00C75B24">
        <w:trPr>
          <w:trHeight w:val="577"/>
          <w:tblHeader/>
        </w:trPr>
        <w:tc>
          <w:tcPr>
            <w:tcW w:w="1458" w:type="dxa"/>
            <w:shd w:val="clear" w:color="auto" w:fill="96C286" w:themeFill="text2" w:themeFillTint="99"/>
            <w:noWrap/>
            <w:vAlign w:val="center"/>
            <w:hideMark/>
          </w:tcPr>
          <w:p w14:paraId="46936FAA"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Countries</w:t>
            </w:r>
          </w:p>
        </w:tc>
        <w:tc>
          <w:tcPr>
            <w:tcW w:w="1089" w:type="dxa"/>
            <w:shd w:val="clear" w:color="auto" w:fill="96C286" w:themeFill="text2" w:themeFillTint="99"/>
            <w:noWrap/>
            <w:vAlign w:val="center"/>
            <w:hideMark/>
          </w:tcPr>
          <w:p w14:paraId="212FAB52" w14:textId="46E8F4B3"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Ext</w:t>
            </w:r>
            <w:r w:rsidR="005E7126" w:rsidRPr="008A5F96">
              <w:rPr>
                <w:rFonts w:asciiTheme="minorHAnsi" w:eastAsia="Times New Roman" w:hAnsiTheme="minorHAnsi" w:cstheme="minorHAnsi"/>
                <w:b/>
                <w:bCs/>
                <w:color w:val="3B3B3C"/>
                <w:sz w:val="18"/>
                <w:szCs w:val="18"/>
                <w:lang w:eastAsia="en-GB"/>
              </w:rPr>
              <w:t>ent</w:t>
            </w:r>
            <w:r w:rsidRPr="008A5F96">
              <w:rPr>
                <w:rFonts w:asciiTheme="minorHAnsi" w:eastAsia="Times New Roman" w:hAnsiTheme="minorHAnsi" w:cstheme="minorHAnsi"/>
                <w:b/>
                <w:bCs/>
                <w:color w:val="3B3B3C"/>
                <w:sz w:val="18"/>
                <w:szCs w:val="18"/>
                <w:lang w:eastAsia="en-GB"/>
              </w:rPr>
              <w:t>. of change</w:t>
            </w:r>
          </w:p>
        </w:tc>
        <w:tc>
          <w:tcPr>
            <w:tcW w:w="1417" w:type="dxa"/>
            <w:shd w:val="clear" w:color="auto" w:fill="96C286" w:themeFill="text2" w:themeFillTint="99"/>
            <w:noWrap/>
            <w:vAlign w:val="center"/>
            <w:hideMark/>
          </w:tcPr>
          <w:p w14:paraId="3CCC251B" w14:textId="6DA4AD37"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 xml:space="preserve">Renovation &amp; </w:t>
            </w:r>
            <w:r w:rsidR="00F41693">
              <w:rPr>
                <w:rFonts w:asciiTheme="minorHAnsi" w:eastAsia="Times New Roman" w:hAnsiTheme="minorHAnsi" w:cstheme="minorHAnsi"/>
                <w:b/>
                <w:bCs/>
                <w:color w:val="3B3B3C"/>
                <w:sz w:val="18"/>
                <w:szCs w:val="18"/>
                <w:lang w:eastAsia="en-GB"/>
              </w:rPr>
              <w:t>e</w:t>
            </w:r>
            <w:r w:rsidRPr="008A5F96">
              <w:rPr>
                <w:rFonts w:asciiTheme="minorHAnsi" w:eastAsia="Times New Roman" w:hAnsiTheme="minorHAnsi" w:cstheme="minorHAnsi"/>
                <w:b/>
                <w:bCs/>
                <w:color w:val="3B3B3C"/>
                <w:sz w:val="18"/>
                <w:szCs w:val="18"/>
                <w:lang w:eastAsia="en-GB"/>
              </w:rPr>
              <w:t>quipment</w:t>
            </w:r>
          </w:p>
        </w:tc>
        <w:tc>
          <w:tcPr>
            <w:tcW w:w="993" w:type="dxa"/>
            <w:shd w:val="clear" w:color="auto" w:fill="96C286" w:themeFill="text2" w:themeFillTint="99"/>
            <w:noWrap/>
            <w:vAlign w:val="center"/>
            <w:hideMark/>
          </w:tcPr>
          <w:p w14:paraId="7EB85F1C"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Human capacity</w:t>
            </w:r>
          </w:p>
        </w:tc>
        <w:tc>
          <w:tcPr>
            <w:tcW w:w="1193" w:type="dxa"/>
            <w:shd w:val="clear" w:color="auto" w:fill="96C286" w:themeFill="text2" w:themeFillTint="99"/>
            <w:noWrap/>
            <w:vAlign w:val="center"/>
            <w:hideMark/>
          </w:tcPr>
          <w:p w14:paraId="0225C15E"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Governance/ prioritisation</w:t>
            </w:r>
          </w:p>
        </w:tc>
        <w:tc>
          <w:tcPr>
            <w:tcW w:w="1212" w:type="dxa"/>
            <w:shd w:val="clear" w:color="auto" w:fill="96C286" w:themeFill="text2" w:themeFillTint="99"/>
            <w:noWrap/>
            <w:vAlign w:val="center"/>
            <w:hideMark/>
          </w:tcPr>
          <w:p w14:paraId="7D77E0ED"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Consumables</w:t>
            </w:r>
          </w:p>
        </w:tc>
        <w:tc>
          <w:tcPr>
            <w:tcW w:w="1139" w:type="dxa"/>
            <w:shd w:val="clear" w:color="auto" w:fill="96C286" w:themeFill="text2" w:themeFillTint="99"/>
            <w:noWrap/>
            <w:vAlign w:val="center"/>
            <w:hideMark/>
          </w:tcPr>
          <w:p w14:paraId="7AFCE3A0" w14:textId="0F2D8613"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Num</w:t>
            </w:r>
            <w:r w:rsidR="00097152" w:rsidRPr="008A5F96">
              <w:rPr>
                <w:rFonts w:asciiTheme="minorHAnsi" w:eastAsia="Times New Roman" w:hAnsiTheme="minorHAnsi" w:cstheme="minorHAnsi"/>
                <w:b/>
                <w:bCs/>
                <w:color w:val="3B3B3C"/>
                <w:sz w:val="18"/>
                <w:szCs w:val="18"/>
                <w:lang w:eastAsia="en-GB"/>
              </w:rPr>
              <w:t>ber</w:t>
            </w:r>
            <w:r w:rsidRPr="008A5F96">
              <w:rPr>
                <w:rFonts w:asciiTheme="minorHAnsi" w:eastAsia="Times New Roman" w:hAnsiTheme="minorHAnsi" w:cstheme="minorHAnsi"/>
                <w:b/>
                <w:bCs/>
                <w:color w:val="3B3B3C"/>
                <w:sz w:val="18"/>
                <w:szCs w:val="18"/>
                <w:lang w:eastAsia="en-GB"/>
              </w:rPr>
              <w:t xml:space="preserve"> of sites</w:t>
            </w:r>
          </w:p>
        </w:tc>
        <w:tc>
          <w:tcPr>
            <w:tcW w:w="850" w:type="dxa"/>
            <w:shd w:val="clear" w:color="auto" w:fill="96C286" w:themeFill="text2" w:themeFillTint="99"/>
            <w:noWrap/>
            <w:vAlign w:val="center"/>
            <w:hideMark/>
          </w:tcPr>
          <w:p w14:paraId="52B567E3"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r w:rsidRPr="008A5F96">
              <w:rPr>
                <w:rFonts w:asciiTheme="minorHAnsi" w:eastAsia="Times New Roman" w:hAnsiTheme="minorHAnsi" w:cstheme="minorHAnsi"/>
                <w:b/>
                <w:bCs/>
                <w:color w:val="3B3B3C"/>
                <w:sz w:val="18"/>
                <w:szCs w:val="18"/>
                <w:lang w:eastAsia="en-GB"/>
              </w:rPr>
              <w:t>Other</w:t>
            </w:r>
          </w:p>
        </w:tc>
      </w:tr>
      <w:tr w:rsidR="005E45BC" w:rsidRPr="005E45BC" w14:paraId="32177FFE" w14:textId="77777777" w:rsidTr="008F391E">
        <w:trPr>
          <w:trHeight w:val="283"/>
        </w:trPr>
        <w:tc>
          <w:tcPr>
            <w:tcW w:w="1458" w:type="dxa"/>
            <w:shd w:val="clear" w:color="auto" w:fill="auto"/>
            <w:noWrap/>
            <w:vAlign w:val="center"/>
            <w:hideMark/>
          </w:tcPr>
          <w:p w14:paraId="25FC4D7A"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Indonesia</w:t>
            </w:r>
          </w:p>
        </w:tc>
        <w:tc>
          <w:tcPr>
            <w:tcW w:w="1089" w:type="dxa"/>
            <w:shd w:val="clear" w:color="000000" w:fill="BF8F00"/>
            <w:vAlign w:val="center"/>
          </w:tcPr>
          <w:p w14:paraId="5B350295"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1BB0EFF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92D050"/>
            <w:noWrap/>
            <w:vAlign w:val="center"/>
          </w:tcPr>
          <w:p w14:paraId="6DF378E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FFC000"/>
            <w:noWrap/>
            <w:vAlign w:val="center"/>
          </w:tcPr>
          <w:p w14:paraId="307308E5"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48290924"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69507CA6"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4FCACC96"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0BC84257" w14:textId="77777777" w:rsidTr="008F391E">
        <w:trPr>
          <w:trHeight w:val="283"/>
        </w:trPr>
        <w:tc>
          <w:tcPr>
            <w:tcW w:w="1458" w:type="dxa"/>
            <w:shd w:val="clear" w:color="auto" w:fill="auto"/>
            <w:noWrap/>
            <w:vAlign w:val="center"/>
            <w:hideMark/>
          </w:tcPr>
          <w:p w14:paraId="4A960385"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Kenya</w:t>
            </w:r>
          </w:p>
        </w:tc>
        <w:tc>
          <w:tcPr>
            <w:tcW w:w="1089" w:type="dxa"/>
            <w:shd w:val="clear" w:color="000000" w:fill="BF8F00"/>
            <w:vAlign w:val="center"/>
          </w:tcPr>
          <w:p w14:paraId="7811F3C2"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63C14FA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auto" w:fill="auto"/>
            <w:noWrap/>
            <w:vAlign w:val="center"/>
          </w:tcPr>
          <w:p w14:paraId="0A190B4A"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auto" w:fill="auto"/>
            <w:noWrap/>
            <w:vAlign w:val="center"/>
          </w:tcPr>
          <w:p w14:paraId="7DD2DF02"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000000" w:fill="92D050"/>
            <w:noWrap/>
            <w:vAlign w:val="center"/>
          </w:tcPr>
          <w:p w14:paraId="1DC25AB9"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000000" w:fill="92D050"/>
            <w:noWrap/>
            <w:vAlign w:val="center"/>
          </w:tcPr>
          <w:p w14:paraId="441F1C96"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000000" w:fill="92D050"/>
            <w:noWrap/>
            <w:vAlign w:val="center"/>
          </w:tcPr>
          <w:p w14:paraId="789874D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r>
      <w:tr w:rsidR="005E45BC" w:rsidRPr="005E45BC" w14:paraId="35255C06" w14:textId="77777777" w:rsidTr="008F391E">
        <w:trPr>
          <w:trHeight w:val="283"/>
        </w:trPr>
        <w:tc>
          <w:tcPr>
            <w:tcW w:w="1458" w:type="dxa"/>
            <w:shd w:val="clear" w:color="auto" w:fill="auto"/>
            <w:noWrap/>
            <w:vAlign w:val="center"/>
            <w:hideMark/>
          </w:tcPr>
          <w:p w14:paraId="1CA5C76B"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Nepal</w:t>
            </w:r>
          </w:p>
        </w:tc>
        <w:tc>
          <w:tcPr>
            <w:tcW w:w="1089" w:type="dxa"/>
            <w:shd w:val="clear" w:color="000000" w:fill="BF8F00"/>
            <w:vAlign w:val="center"/>
          </w:tcPr>
          <w:p w14:paraId="1EE0161C"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15BCF98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00B050"/>
            <w:noWrap/>
            <w:vAlign w:val="center"/>
          </w:tcPr>
          <w:p w14:paraId="0DBD833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auto" w:fill="auto"/>
            <w:noWrap/>
            <w:vAlign w:val="center"/>
          </w:tcPr>
          <w:p w14:paraId="3A5FA049"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0194D90E"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000000" w:fill="00B050"/>
            <w:noWrap/>
            <w:vAlign w:val="center"/>
          </w:tcPr>
          <w:p w14:paraId="46579AF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29E0EE5E"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695D1DFB" w14:textId="77777777" w:rsidTr="008F391E">
        <w:trPr>
          <w:trHeight w:val="283"/>
        </w:trPr>
        <w:tc>
          <w:tcPr>
            <w:tcW w:w="1458" w:type="dxa"/>
            <w:shd w:val="clear" w:color="auto" w:fill="auto"/>
            <w:noWrap/>
            <w:vAlign w:val="center"/>
            <w:hideMark/>
          </w:tcPr>
          <w:p w14:paraId="75481DC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Tanzania</w:t>
            </w:r>
          </w:p>
        </w:tc>
        <w:tc>
          <w:tcPr>
            <w:tcW w:w="1089" w:type="dxa"/>
            <w:shd w:val="clear" w:color="000000" w:fill="BF8F00"/>
            <w:vAlign w:val="center"/>
          </w:tcPr>
          <w:p w14:paraId="6AAB660F"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4C77369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92D050"/>
            <w:noWrap/>
            <w:vAlign w:val="center"/>
          </w:tcPr>
          <w:p w14:paraId="1475792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92D050"/>
            <w:noWrap/>
            <w:vAlign w:val="center"/>
          </w:tcPr>
          <w:p w14:paraId="79B669AB"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000000" w:fill="92D050"/>
            <w:noWrap/>
            <w:vAlign w:val="center"/>
          </w:tcPr>
          <w:p w14:paraId="6600B96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44D5C76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000000" w:fill="92D050"/>
            <w:noWrap/>
            <w:vAlign w:val="center"/>
          </w:tcPr>
          <w:p w14:paraId="584EFD6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r>
      <w:tr w:rsidR="005E45BC" w:rsidRPr="005E45BC" w14:paraId="1C0FB5EB" w14:textId="77777777" w:rsidTr="008F391E">
        <w:trPr>
          <w:trHeight w:val="283"/>
        </w:trPr>
        <w:tc>
          <w:tcPr>
            <w:tcW w:w="1458" w:type="dxa"/>
            <w:shd w:val="clear" w:color="auto" w:fill="auto"/>
            <w:noWrap/>
            <w:vAlign w:val="center"/>
            <w:hideMark/>
          </w:tcPr>
          <w:p w14:paraId="345408CA"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Uganda</w:t>
            </w:r>
          </w:p>
        </w:tc>
        <w:tc>
          <w:tcPr>
            <w:tcW w:w="1089" w:type="dxa"/>
            <w:shd w:val="clear" w:color="000000" w:fill="BF8F00"/>
            <w:vAlign w:val="center"/>
          </w:tcPr>
          <w:p w14:paraId="16E208B9"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auto" w:fill="auto"/>
            <w:noWrap/>
            <w:vAlign w:val="center"/>
          </w:tcPr>
          <w:p w14:paraId="787564CA"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993" w:type="dxa"/>
            <w:shd w:val="clear" w:color="000000" w:fill="92D050"/>
            <w:noWrap/>
            <w:vAlign w:val="center"/>
          </w:tcPr>
          <w:p w14:paraId="4AA89371"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auto" w:fill="auto"/>
            <w:noWrap/>
            <w:vAlign w:val="center"/>
          </w:tcPr>
          <w:p w14:paraId="402D2BD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000000" w:fill="92D050"/>
            <w:noWrap/>
            <w:vAlign w:val="center"/>
          </w:tcPr>
          <w:p w14:paraId="1FF7D67C"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000000" w:fill="00B050"/>
            <w:noWrap/>
            <w:vAlign w:val="center"/>
          </w:tcPr>
          <w:p w14:paraId="01EC24CC"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5B4C601A"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2E7AF913" w14:textId="77777777" w:rsidTr="008F391E">
        <w:trPr>
          <w:trHeight w:val="283"/>
        </w:trPr>
        <w:tc>
          <w:tcPr>
            <w:tcW w:w="1458" w:type="dxa"/>
            <w:shd w:val="clear" w:color="auto" w:fill="auto"/>
            <w:noWrap/>
            <w:vAlign w:val="center"/>
            <w:hideMark/>
          </w:tcPr>
          <w:p w14:paraId="21C2B524"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Vietnam</w:t>
            </w:r>
          </w:p>
        </w:tc>
        <w:tc>
          <w:tcPr>
            <w:tcW w:w="1089" w:type="dxa"/>
            <w:shd w:val="clear" w:color="000000" w:fill="BF8F00"/>
            <w:vAlign w:val="center"/>
          </w:tcPr>
          <w:p w14:paraId="45ABE578"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auto" w:fill="auto"/>
            <w:noWrap/>
            <w:vAlign w:val="center"/>
          </w:tcPr>
          <w:p w14:paraId="6E8EF9B1"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993" w:type="dxa"/>
            <w:shd w:val="clear" w:color="auto" w:fill="auto"/>
            <w:noWrap/>
            <w:vAlign w:val="center"/>
          </w:tcPr>
          <w:p w14:paraId="7E0DF7FA"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auto" w:fill="auto"/>
            <w:noWrap/>
            <w:vAlign w:val="center"/>
          </w:tcPr>
          <w:p w14:paraId="78EF3B9C"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0CCED160"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000000" w:fill="92D050"/>
            <w:noWrap/>
            <w:vAlign w:val="center"/>
          </w:tcPr>
          <w:p w14:paraId="7543138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000000" w:fill="92D050"/>
            <w:noWrap/>
            <w:vAlign w:val="center"/>
          </w:tcPr>
          <w:p w14:paraId="2951496F"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r>
      <w:tr w:rsidR="005E45BC" w:rsidRPr="005E45BC" w14:paraId="150B333F" w14:textId="77777777" w:rsidTr="008F391E">
        <w:trPr>
          <w:trHeight w:val="283"/>
        </w:trPr>
        <w:tc>
          <w:tcPr>
            <w:tcW w:w="1458" w:type="dxa"/>
            <w:shd w:val="clear" w:color="auto" w:fill="auto"/>
            <w:noWrap/>
            <w:vAlign w:val="center"/>
            <w:hideMark/>
          </w:tcPr>
          <w:p w14:paraId="3EB207E6"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Zambia</w:t>
            </w:r>
          </w:p>
        </w:tc>
        <w:tc>
          <w:tcPr>
            <w:tcW w:w="1089" w:type="dxa"/>
            <w:shd w:val="clear" w:color="000000" w:fill="BF8F00"/>
            <w:vAlign w:val="center"/>
          </w:tcPr>
          <w:p w14:paraId="4EE5CCA8"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60E93B85"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92D050"/>
            <w:noWrap/>
            <w:vAlign w:val="center"/>
          </w:tcPr>
          <w:p w14:paraId="6E9D4C22"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92D050"/>
            <w:noWrap/>
            <w:vAlign w:val="center"/>
          </w:tcPr>
          <w:p w14:paraId="237EA6FE"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4CD934D1"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43CC07E6"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0557D175"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2AE1DC50" w14:textId="77777777" w:rsidTr="008F391E">
        <w:trPr>
          <w:trHeight w:val="283"/>
        </w:trPr>
        <w:tc>
          <w:tcPr>
            <w:tcW w:w="1458" w:type="dxa"/>
            <w:shd w:val="clear" w:color="auto" w:fill="auto"/>
            <w:noWrap/>
            <w:vAlign w:val="center"/>
            <w:hideMark/>
          </w:tcPr>
          <w:p w14:paraId="69B9C52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Bangladesh</w:t>
            </w:r>
          </w:p>
        </w:tc>
        <w:tc>
          <w:tcPr>
            <w:tcW w:w="1089" w:type="dxa"/>
            <w:shd w:val="clear" w:color="auto" w:fill="F9E2D5" w:themeFill="accent2" w:themeFillTint="33"/>
            <w:vAlign w:val="center"/>
          </w:tcPr>
          <w:p w14:paraId="16CCB3F9"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46210C4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00B050"/>
            <w:noWrap/>
            <w:vAlign w:val="center"/>
          </w:tcPr>
          <w:p w14:paraId="7CE1022A"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00B050"/>
            <w:noWrap/>
            <w:vAlign w:val="center"/>
          </w:tcPr>
          <w:p w14:paraId="5F1D078E"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77B7CDF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61666954"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30E3B6A0"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27ABB5B9" w14:textId="77777777" w:rsidTr="008F391E">
        <w:trPr>
          <w:trHeight w:val="283"/>
        </w:trPr>
        <w:tc>
          <w:tcPr>
            <w:tcW w:w="1458" w:type="dxa"/>
            <w:shd w:val="clear" w:color="auto" w:fill="auto"/>
            <w:noWrap/>
            <w:vAlign w:val="center"/>
            <w:hideMark/>
          </w:tcPr>
          <w:p w14:paraId="35CDA7C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Ghana</w:t>
            </w:r>
          </w:p>
        </w:tc>
        <w:tc>
          <w:tcPr>
            <w:tcW w:w="1089" w:type="dxa"/>
            <w:shd w:val="clear" w:color="auto" w:fill="F9E2D5" w:themeFill="accent2" w:themeFillTint="33"/>
            <w:vAlign w:val="center"/>
          </w:tcPr>
          <w:p w14:paraId="2DAA5868"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7B0E62D2"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FFC000"/>
            <w:noWrap/>
            <w:vAlign w:val="center"/>
          </w:tcPr>
          <w:p w14:paraId="71F218B5"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92D050"/>
            <w:noWrap/>
            <w:vAlign w:val="center"/>
          </w:tcPr>
          <w:p w14:paraId="6FAAD2DC"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07682C8C"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4281BC9E"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062DD75D"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65B634C9" w14:textId="77777777" w:rsidTr="008F391E">
        <w:trPr>
          <w:trHeight w:val="283"/>
        </w:trPr>
        <w:tc>
          <w:tcPr>
            <w:tcW w:w="1458" w:type="dxa"/>
            <w:shd w:val="clear" w:color="auto" w:fill="auto"/>
            <w:noWrap/>
            <w:vAlign w:val="center"/>
            <w:hideMark/>
          </w:tcPr>
          <w:p w14:paraId="016730C2"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Laos</w:t>
            </w:r>
          </w:p>
        </w:tc>
        <w:tc>
          <w:tcPr>
            <w:tcW w:w="1089" w:type="dxa"/>
            <w:shd w:val="clear" w:color="auto" w:fill="F9E2D5" w:themeFill="accent2" w:themeFillTint="33"/>
            <w:vAlign w:val="center"/>
          </w:tcPr>
          <w:p w14:paraId="6EC63EF1"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466993CB"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92D050"/>
            <w:noWrap/>
            <w:vAlign w:val="center"/>
          </w:tcPr>
          <w:p w14:paraId="5B57BBDF"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auto" w:fill="auto"/>
            <w:noWrap/>
            <w:vAlign w:val="center"/>
          </w:tcPr>
          <w:p w14:paraId="4FCF2DC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5A1C2E5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000000" w:fill="92D050"/>
            <w:noWrap/>
            <w:vAlign w:val="center"/>
          </w:tcPr>
          <w:p w14:paraId="062AB3E6"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000000" w:fill="FFC000"/>
            <w:noWrap/>
            <w:vAlign w:val="center"/>
          </w:tcPr>
          <w:p w14:paraId="2F442E6F"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r>
      <w:tr w:rsidR="005E45BC" w:rsidRPr="005E45BC" w14:paraId="780A1A36" w14:textId="77777777" w:rsidTr="008F391E">
        <w:trPr>
          <w:trHeight w:val="283"/>
        </w:trPr>
        <w:tc>
          <w:tcPr>
            <w:tcW w:w="1458" w:type="dxa"/>
            <w:shd w:val="clear" w:color="auto" w:fill="auto"/>
            <w:noWrap/>
            <w:vAlign w:val="center"/>
            <w:hideMark/>
          </w:tcPr>
          <w:p w14:paraId="1A13E268" w14:textId="24908941" w:rsidR="00FF2998" w:rsidRPr="008A5F96" w:rsidRDefault="00B30736" w:rsidP="00371D8F">
            <w:pPr>
              <w:jc w:val="center"/>
              <w:rPr>
                <w:rFonts w:asciiTheme="minorHAnsi" w:eastAsia="Times New Roman" w:hAnsiTheme="minorHAnsi" w:cstheme="minorHAnsi"/>
                <w:color w:val="3B3B3C"/>
                <w:sz w:val="18"/>
                <w:szCs w:val="18"/>
                <w:lang w:eastAsia="en-GB"/>
              </w:rPr>
            </w:pPr>
            <w:r>
              <w:rPr>
                <w:rFonts w:asciiTheme="minorHAnsi" w:eastAsia="Times New Roman" w:hAnsiTheme="minorHAnsi" w:cstheme="minorHAnsi"/>
                <w:color w:val="3B3B3C"/>
                <w:sz w:val="18"/>
                <w:szCs w:val="18"/>
                <w:lang w:eastAsia="en-GB"/>
              </w:rPr>
              <w:t>Timor-Leste</w:t>
            </w:r>
          </w:p>
        </w:tc>
        <w:tc>
          <w:tcPr>
            <w:tcW w:w="1089" w:type="dxa"/>
            <w:shd w:val="clear" w:color="auto" w:fill="F9E2D5" w:themeFill="accent2" w:themeFillTint="33"/>
            <w:vAlign w:val="center"/>
          </w:tcPr>
          <w:p w14:paraId="07E16C07"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6DF9FD84"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00B050"/>
            <w:noWrap/>
            <w:vAlign w:val="center"/>
          </w:tcPr>
          <w:p w14:paraId="2A7F9AE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FFC000"/>
            <w:noWrap/>
            <w:vAlign w:val="center"/>
          </w:tcPr>
          <w:p w14:paraId="7C6663C2"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7F0E137E"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5A0EB91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01DF8BF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r>
      <w:tr w:rsidR="005E45BC" w:rsidRPr="005E45BC" w14:paraId="4D502E9F" w14:textId="77777777" w:rsidTr="008F391E">
        <w:trPr>
          <w:trHeight w:val="283"/>
        </w:trPr>
        <w:tc>
          <w:tcPr>
            <w:tcW w:w="1458" w:type="dxa"/>
            <w:shd w:val="clear" w:color="auto" w:fill="auto"/>
            <w:noWrap/>
            <w:vAlign w:val="center"/>
            <w:hideMark/>
          </w:tcPr>
          <w:p w14:paraId="369C7764"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Pakistan</w:t>
            </w:r>
          </w:p>
        </w:tc>
        <w:tc>
          <w:tcPr>
            <w:tcW w:w="1089" w:type="dxa"/>
            <w:shd w:val="clear" w:color="000000" w:fill="FFFF00"/>
            <w:noWrap/>
            <w:vAlign w:val="center"/>
          </w:tcPr>
          <w:p w14:paraId="2B9D05C8"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41F383F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000000" w:fill="92D050"/>
            <w:noWrap/>
            <w:vAlign w:val="center"/>
          </w:tcPr>
          <w:p w14:paraId="3619E741"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92D050"/>
            <w:noWrap/>
            <w:vAlign w:val="center"/>
          </w:tcPr>
          <w:p w14:paraId="1AC98A9F"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40D7BFB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2FE2B409"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27218DF8"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368E425B" w14:textId="77777777" w:rsidTr="008F391E">
        <w:trPr>
          <w:trHeight w:val="283"/>
        </w:trPr>
        <w:tc>
          <w:tcPr>
            <w:tcW w:w="1458" w:type="dxa"/>
            <w:shd w:val="clear" w:color="auto" w:fill="auto"/>
            <w:noWrap/>
            <w:vAlign w:val="center"/>
            <w:hideMark/>
          </w:tcPr>
          <w:p w14:paraId="1819673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Nigeria</w:t>
            </w:r>
          </w:p>
        </w:tc>
        <w:tc>
          <w:tcPr>
            <w:tcW w:w="1089" w:type="dxa"/>
            <w:shd w:val="clear" w:color="000000" w:fill="BDD6EE"/>
            <w:vAlign w:val="center"/>
          </w:tcPr>
          <w:p w14:paraId="2198D669"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7F664D89"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auto" w:fill="auto"/>
            <w:noWrap/>
            <w:vAlign w:val="center"/>
          </w:tcPr>
          <w:p w14:paraId="12B98758"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FFC000"/>
            <w:noWrap/>
            <w:vAlign w:val="center"/>
          </w:tcPr>
          <w:p w14:paraId="7289F722"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31DACE16"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3220E9D9"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33B80B17"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1A6101CF" w14:textId="77777777" w:rsidTr="008F391E">
        <w:trPr>
          <w:trHeight w:val="283"/>
        </w:trPr>
        <w:tc>
          <w:tcPr>
            <w:tcW w:w="1458" w:type="dxa"/>
            <w:shd w:val="clear" w:color="auto" w:fill="auto"/>
            <w:noWrap/>
            <w:vAlign w:val="center"/>
            <w:hideMark/>
          </w:tcPr>
          <w:p w14:paraId="0A945E1A"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Senegal</w:t>
            </w:r>
          </w:p>
        </w:tc>
        <w:tc>
          <w:tcPr>
            <w:tcW w:w="1089" w:type="dxa"/>
            <w:shd w:val="clear" w:color="000000" w:fill="BDD6EE"/>
            <w:vAlign w:val="center"/>
          </w:tcPr>
          <w:p w14:paraId="78EAB208"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5EBCCBA6"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auto" w:fill="auto"/>
            <w:noWrap/>
            <w:vAlign w:val="center"/>
          </w:tcPr>
          <w:p w14:paraId="0BDD8B21"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auto" w:fill="F9E2D5" w:themeFill="accent2" w:themeFillTint="33"/>
            <w:noWrap/>
            <w:vAlign w:val="center"/>
          </w:tcPr>
          <w:p w14:paraId="4D2F331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F9E2D5" w:themeFill="accent2" w:themeFillTint="33"/>
            <w:noWrap/>
            <w:vAlign w:val="center"/>
          </w:tcPr>
          <w:p w14:paraId="26C741B0"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452FB1F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51CC0177"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r w:rsidR="005E45BC" w:rsidRPr="005E45BC" w14:paraId="12517C56" w14:textId="77777777" w:rsidTr="008F391E">
        <w:trPr>
          <w:trHeight w:val="283"/>
        </w:trPr>
        <w:tc>
          <w:tcPr>
            <w:tcW w:w="1458" w:type="dxa"/>
            <w:shd w:val="clear" w:color="auto" w:fill="auto"/>
            <w:noWrap/>
            <w:vAlign w:val="center"/>
            <w:hideMark/>
          </w:tcPr>
          <w:p w14:paraId="168F11EE"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Sierra Leone</w:t>
            </w:r>
          </w:p>
        </w:tc>
        <w:tc>
          <w:tcPr>
            <w:tcW w:w="1089" w:type="dxa"/>
            <w:shd w:val="clear" w:color="000000" w:fill="BDD6EE"/>
            <w:vAlign w:val="center"/>
          </w:tcPr>
          <w:p w14:paraId="09AFA5FD"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327F9C2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auto" w:fill="auto"/>
            <w:noWrap/>
            <w:vAlign w:val="center"/>
          </w:tcPr>
          <w:p w14:paraId="649725D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000000" w:fill="00B050"/>
            <w:noWrap/>
            <w:vAlign w:val="center"/>
          </w:tcPr>
          <w:p w14:paraId="15938B7D"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585B00D7"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363C2E6B"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000000" w:fill="00B050"/>
            <w:noWrap/>
            <w:vAlign w:val="center"/>
          </w:tcPr>
          <w:p w14:paraId="3DCD9171"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r>
      <w:tr w:rsidR="005E45BC" w:rsidRPr="005E45BC" w14:paraId="37D03FA7" w14:textId="77777777" w:rsidTr="00EE34E1">
        <w:trPr>
          <w:trHeight w:val="283"/>
        </w:trPr>
        <w:tc>
          <w:tcPr>
            <w:tcW w:w="1458" w:type="dxa"/>
            <w:shd w:val="clear" w:color="auto" w:fill="auto"/>
            <w:noWrap/>
            <w:vAlign w:val="center"/>
            <w:hideMark/>
          </w:tcPr>
          <w:p w14:paraId="5B1BB260"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r w:rsidRPr="008A5F96">
              <w:rPr>
                <w:rFonts w:asciiTheme="minorHAnsi" w:eastAsia="Times New Roman" w:hAnsiTheme="minorHAnsi" w:cstheme="minorHAnsi"/>
                <w:color w:val="3B3B3C"/>
                <w:sz w:val="18"/>
                <w:szCs w:val="18"/>
                <w:lang w:eastAsia="en-GB"/>
              </w:rPr>
              <w:t>Bhutan</w:t>
            </w:r>
          </w:p>
        </w:tc>
        <w:tc>
          <w:tcPr>
            <w:tcW w:w="1089" w:type="dxa"/>
            <w:shd w:val="clear" w:color="auto" w:fill="ED7D31"/>
            <w:vAlign w:val="center"/>
          </w:tcPr>
          <w:p w14:paraId="5097037C"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4C6D9A7E"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993" w:type="dxa"/>
            <w:shd w:val="clear" w:color="auto" w:fill="auto"/>
            <w:noWrap/>
            <w:vAlign w:val="center"/>
          </w:tcPr>
          <w:p w14:paraId="23CCA39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93" w:type="dxa"/>
            <w:shd w:val="clear" w:color="auto" w:fill="auto"/>
            <w:noWrap/>
            <w:vAlign w:val="center"/>
          </w:tcPr>
          <w:p w14:paraId="7CAC0309"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212" w:type="dxa"/>
            <w:shd w:val="clear" w:color="000000" w:fill="00B050"/>
            <w:noWrap/>
            <w:vAlign w:val="center"/>
          </w:tcPr>
          <w:p w14:paraId="6DFD58CB"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1139" w:type="dxa"/>
            <w:shd w:val="clear" w:color="auto" w:fill="auto"/>
            <w:noWrap/>
            <w:vAlign w:val="center"/>
          </w:tcPr>
          <w:p w14:paraId="2B444C93" w14:textId="77777777" w:rsidR="00FF2998" w:rsidRPr="008A5F96" w:rsidRDefault="00FF2998" w:rsidP="00371D8F">
            <w:pPr>
              <w:jc w:val="center"/>
              <w:rPr>
                <w:rFonts w:asciiTheme="minorHAnsi" w:eastAsia="Times New Roman" w:hAnsiTheme="minorHAnsi" w:cstheme="minorHAnsi"/>
                <w:color w:val="3B3B3C"/>
                <w:sz w:val="18"/>
                <w:szCs w:val="18"/>
                <w:lang w:eastAsia="en-GB"/>
              </w:rPr>
            </w:pPr>
          </w:p>
        </w:tc>
        <w:tc>
          <w:tcPr>
            <w:tcW w:w="850" w:type="dxa"/>
            <w:shd w:val="clear" w:color="auto" w:fill="auto"/>
            <w:noWrap/>
            <w:vAlign w:val="center"/>
          </w:tcPr>
          <w:p w14:paraId="763A5B5F" w14:textId="77777777" w:rsidR="00FF2998" w:rsidRPr="008A5F96" w:rsidRDefault="00FF2998" w:rsidP="00371D8F">
            <w:pPr>
              <w:jc w:val="center"/>
              <w:rPr>
                <w:rFonts w:asciiTheme="minorHAnsi" w:eastAsia="Times New Roman" w:hAnsiTheme="minorHAnsi" w:cstheme="minorHAnsi"/>
                <w:b/>
                <w:bCs/>
                <w:color w:val="3B3B3C"/>
                <w:sz w:val="18"/>
                <w:szCs w:val="18"/>
                <w:lang w:eastAsia="en-GB"/>
              </w:rPr>
            </w:pPr>
          </w:p>
        </w:tc>
      </w:tr>
    </w:tbl>
    <w:p w14:paraId="0CCFEB4D" w14:textId="77777777" w:rsidR="008F391E" w:rsidRDefault="008F391E"/>
    <w:tbl>
      <w:tblPr>
        <w:tblStyle w:val="TableGrid"/>
        <w:tblW w:w="0" w:type="auto"/>
        <w:tblLook w:val="04A0" w:firstRow="1" w:lastRow="0" w:firstColumn="1" w:lastColumn="0" w:noHBand="0" w:noVBand="1"/>
      </w:tblPr>
      <w:tblGrid>
        <w:gridCol w:w="1696"/>
        <w:gridCol w:w="1696"/>
      </w:tblGrid>
      <w:tr w:rsidR="005E45BC" w:rsidRPr="005E45BC" w14:paraId="268C41E7" w14:textId="7B6A9A91" w:rsidTr="008F391E">
        <w:trPr>
          <w:trHeight w:val="227"/>
        </w:trPr>
        <w:tc>
          <w:tcPr>
            <w:tcW w:w="1696" w:type="dxa"/>
            <w:shd w:val="clear" w:color="auto" w:fill="auto"/>
          </w:tcPr>
          <w:p w14:paraId="4B26B220" w14:textId="3E5DE15D" w:rsidR="0092234C" w:rsidRPr="005E45BC" w:rsidRDefault="0092234C" w:rsidP="008F391E">
            <w:pPr>
              <w:rPr>
                <w:rFonts w:eastAsia="Yu Mincho"/>
                <w:b/>
                <w:bCs/>
                <w:color w:val="3B3B3C"/>
                <w:sz w:val="16"/>
                <w:szCs w:val="16"/>
              </w:rPr>
            </w:pPr>
            <w:r w:rsidRPr="005E45BC">
              <w:rPr>
                <w:rFonts w:eastAsia="Yu Mincho"/>
                <w:b/>
                <w:bCs/>
                <w:color w:val="3B3B3C"/>
                <w:sz w:val="16"/>
                <w:szCs w:val="16"/>
              </w:rPr>
              <w:t xml:space="preserve"> Key: Extent of </w:t>
            </w:r>
            <w:r w:rsidR="00EE36B0">
              <w:rPr>
                <w:rFonts w:eastAsia="Yu Mincho"/>
                <w:b/>
                <w:bCs/>
                <w:color w:val="3B3B3C"/>
                <w:sz w:val="16"/>
                <w:szCs w:val="16"/>
              </w:rPr>
              <w:t>c</w:t>
            </w:r>
            <w:r w:rsidRPr="005E45BC">
              <w:rPr>
                <w:rFonts w:eastAsia="Yu Mincho"/>
                <w:b/>
                <w:bCs/>
                <w:color w:val="3B3B3C"/>
                <w:sz w:val="16"/>
                <w:szCs w:val="16"/>
              </w:rPr>
              <w:t>hange</w:t>
            </w:r>
          </w:p>
        </w:tc>
        <w:tc>
          <w:tcPr>
            <w:tcW w:w="1696" w:type="dxa"/>
          </w:tcPr>
          <w:p w14:paraId="43B8A263" w14:textId="2C503CF6" w:rsidR="0092234C" w:rsidRPr="005E45BC" w:rsidRDefault="0092234C" w:rsidP="008F391E">
            <w:pPr>
              <w:rPr>
                <w:rFonts w:eastAsia="Yu Mincho"/>
                <w:b/>
                <w:bCs/>
                <w:color w:val="3B3B3C"/>
                <w:sz w:val="16"/>
                <w:szCs w:val="16"/>
              </w:rPr>
            </w:pPr>
            <w:r w:rsidRPr="005E45BC">
              <w:rPr>
                <w:rFonts w:eastAsia="Yu Mincho"/>
                <w:b/>
                <w:bCs/>
                <w:color w:val="3B3B3C"/>
                <w:sz w:val="16"/>
                <w:szCs w:val="16"/>
              </w:rPr>
              <w:t xml:space="preserve">Key: </w:t>
            </w:r>
            <w:r w:rsidR="005E75BF" w:rsidRPr="005E45BC">
              <w:rPr>
                <w:rFonts w:eastAsia="Yu Mincho"/>
                <w:b/>
                <w:bCs/>
                <w:color w:val="3B3B3C"/>
                <w:sz w:val="16"/>
                <w:szCs w:val="16"/>
              </w:rPr>
              <w:t>Fleming Fund</w:t>
            </w:r>
            <w:r w:rsidRPr="005E45BC">
              <w:rPr>
                <w:rFonts w:eastAsia="Yu Mincho"/>
                <w:b/>
                <w:bCs/>
                <w:color w:val="3B3B3C"/>
                <w:sz w:val="16"/>
                <w:szCs w:val="16"/>
              </w:rPr>
              <w:t xml:space="preserve"> contribution</w:t>
            </w:r>
          </w:p>
        </w:tc>
      </w:tr>
      <w:tr w:rsidR="005E45BC" w:rsidRPr="005E45BC" w14:paraId="55A9EE19" w14:textId="1D3A9798" w:rsidTr="008F391E">
        <w:trPr>
          <w:trHeight w:val="227"/>
        </w:trPr>
        <w:tc>
          <w:tcPr>
            <w:tcW w:w="1696" w:type="dxa"/>
            <w:shd w:val="clear" w:color="auto" w:fill="BF8F00"/>
          </w:tcPr>
          <w:p w14:paraId="6DC9114F" w14:textId="77777777" w:rsidR="0092234C" w:rsidRPr="005E45BC" w:rsidRDefault="0092234C" w:rsidP="008F391E">
            <w:pPr>
              <w:rPr>
                <w:rFonts w:eastAsia="Yu Mincho"/>
                <w:b/>
                <w:bCs/>
                <w:color w:val="3B3B3C"/>
                <w:sz w:val="16"/>
                <w:szCs w:val="16"/>
              </w:rPr>
            </w:pPr>
            <w:r w:rsidRPr="005E45BC">
              <w:rPr>
                <w:rFonts w:eastAsia="Yu Mincho"/>
                <w:b/>
                <w:bCs/>
                <w:color w:val="3B3B3C"/>
                <w:sz w:val="16"/>
                <w:szCs w:val="16"/>
              </w:rPr>
              <w:t>Considerable</w:t>
            </w:r>
          </w:p>
        </w:tc>
        <w:tc>
          <w:tcPr>
            <w:tcW w:w="1696" w:type="dxa"/>
            <w:shd w:val="clear" w:color="auto" w:fill="00B050"/>
          </w:tcPr>
          <w:p w14:paraId="6BD65DB6" w14:textId="4540847B" w:rsidR="0092234C" w:rsidRPr="005E45BC" w:rsidRDefault="0092234C" w:rsidP="008F391E">
            <w:pPr>
              <w:rPr>
                <w:rFonts w:eastAsia="Yu Mincho"/>
                <w:b/>
                <w:bCs/>
                <w:color w:val="3B3B3C"/>
                <w:sz w:val="16"/>
                <w:szCs w:val="16"/>
              </w:rPr>
            </w:pPr>
            <w:r w:rsidRPr="005E45BC">
              <w:rPr>
                <w:rFonts w:eastAsia="Yu Mincho"/>
                <w:b/>
                <w:bCs/>
                <w:color w:val="3B3B3C"/>
                <w:sz w:val="16"/>
                <w:szCs w:val="16"/>
              </w:rPr>
              <w:t>Vital</w:t>
            </w:r>
          </w:p>
        </w:tc>
      </w:tr>
      <w:tr w:rsidR="005E45BC" w:rsidRPr="005E45BC" w14:paraId="2F81CA10" w14:textId="19D5F180" w:rsidTr="00EE0A6F">
        <w:trPr>
          <w:trHeight w:val="227"/>
        </w:trPr>
        <w:tc>
          <w:tcPr>
            <w:tcW w:w="1696" w:type="dxa"/>
            <w:shd w:val="clear" w:color="auto" w:fill="ED7D31"/>
          </w:tcPr>
          <w:p w14:paraId="73200C39" w14:textId="799FA1C3" w:rsidR="0092234C" w:rsidRPr="005E45BC" w:rsidRDefault="00EE0A6F" w:rsidP="008F391E">
            <w:pPr>
              <w:rPr>
                <w:rFonts w:eastAsia="Yu Mincho"/>
                <w:b/>
                <w:bCs/>
                <w:color w:val="3B3B3C"/>
                <w:sz w:val="16"/>
                <w:szCs w:val="16"/>
              </w:rPr>
            </w:pPr>
            <w:r>
              <w:rPr>
                <w:rFonts w:eastAsia="Yu Mincho"/>
                <w:b/>
                <w:bCs/>
                <w:color w:val="3B3B3C"/>
                <w:sz w:val="16"/>
                <w:szCs w:val="16"/>
              </w:rPr>
              <w:t>Negative</w:t>
            </w:r>
          </w:p>
        </w:tc>
        <w:tc>
          <w:tcPr>
            <w:tcW w:w="1696" w:type="dxa"/>
            <w:shd w:val="clear" w:color="auto" w:fill="92D050"/>
          </w:tcPr>
          <w:p w14:paraId="3F9E8202" w14:textId="57272D3C" w:rsidR="0092234C" w:rsidRPr="005E45BC" w:rsidRDefault="0092234C" w:rsidP="008F391E">
            <w:pPr>
              <w:rPr>
                <w:rFonts w:eastAsia="Yu Mincho"/>
                <w:b/>
                <w:bCs/>
                <w:color w:val="3B3B3C"/>
                <w:sz w:val="16"/>
                <w:szCs w:val="16"/>
              </w:rPr>
            </w:pPr>
            <w:r w:rsidRPr="005E45BC">
              <w:rPr>
                <w:rFonts w:eastAsia="Yu Mincho"/>
                <w:b/>
                <w:bCs/>
                <w:color w:val="3B3B3C"/>
                <w:sz w:val="16"/>
                <w:szCs w:val="16"/>
              </w:rPr>
              <w:t>Important</w:t>
            </w:r>
          </w:p>
        </w:tc>
      </w:tr>
      <w:tr w:rsidR="005E45BC" w:rsidRPr="005E45BC" w14:paraId="07445EA8" w14:textId="3EEE5DA5" w:rsidTr="00EE34E1">
        <w:trPr>
          <w:trHeight w:val="227"/>
        </w:trPr>
        <w:tc>
          <w:tcPr>
            <w:tcW w:w="1696" w:type="dxa"/>
            <w:shd w:val="clear" w:color="auto" w:fill="FBE4D5"/>
          </w:tcPr>
          <w:p w14:paraId="21319C42" w14:textId="77777777" w:rsidR="0092234C" w:rsidRPr="005E45BC" w:rsidRDefault="0092234C" w:rsidP="008F391E">
            <w:pPr>
              <w:rPr>
                <w:rFonts w:eastAsia="Yu Mincho"/>
                <w:b/>
                <w:bCs/>
                <w:color w:val="3B3B3C"/>
                <w:sz w:val="16"/>
                <w:szCs w:val="16"/>
              </w:rPr>
            </w:pPr>
            <w:r w:rsidRPr="005E45BC">
              <w:rPr>
                <w:rFonts w:eastAsia="Yu Mincho"/>
                <w:b/>
                <w:bCs/>
                <w:color w:val="3B3B3C"/>
                <w:sz w:val="16"/>
                <w:szCs w:val="16"/>
              </w:rPr>
              <w:t>Limited</w:t>
            </w:r>
          </w:p>
        </w:tc>
        <w:tc>
          <w:tcPr>
            <w:tcW w:w="1696" w:type="dxa"/>
            <w:shd w:val="clear" w:color="auto" w:fill="FCE4D6"/>
          </w:tcPr>
          <w:p w14:paraId="598B5164" w14:textId="14FF4CBD" w:rsidR="0092234C" w:rsidRPr="005E45BC" w:rsidRDefault="0092234C" w:rsidP="008F391E">
            <w:pPr>
              <w:rPr>
                <w:rFonts w:eastAsia="Yu Mincho"/>
                <w:b/>
                <w:bCs/>
                <w:color w:val="3B3B3C"/>
                <w:sz w:val="16"/>
                <w:szCs w:val="16"/>
              </w:rPr>
            </w:pPr>
            <w:r w:rsidRPr="005E45BC">
              <w:rPr>
                <w:rFonts w:eastAsia="Yu Mincho"/>
                <w:b/>
                <w:bCs/>
                <w:color w:val="3B3B3C"/>
                <w:sz w:val="16"/>
                <w:szCs w:val="16"/>
              </w:rPr>
              <w:t>Limited</w:t>
            </w:r>
          </w:p>
        </w:tc>
      </w:tr>
      <w:tr w:rsidR="005E45BC" w:rsidRPr="005E45BC" w14:paraId="198DA981" w14:textId="77777777" w:rsidTr="008A5F96">
        <w:trPr>
          <w:trHeight w:val="227"/>
        </w:trPr>
        <w:tc>
          <w:tcPr>
            <w:tcW w:w="1696" w:type="dxa"/>
            <w:shd w:val="clear" w:color="auto" w:fill="auto"/>
          </w:tcPr>
          <w:p w14:paraId="37E7BEB3" w14:textId="7D152392" w:rsidR="0092234C" w:rsidRPr="005E45BC" w:rsidRDefault="00A41FE3" w:rsidP="008F391E">
            <w:pPr>
              <w:rPr>
                <w:rFonts w:eastAsia="Yu Mincho"/>
                <w:b/>
                <w:bCs/>
                <w:color w:val="3B3B3C"/>
                <w:sz w:val="16"/>
                <w:szCs w:val="16"/>
              </w:rPr>
            </w:pPr>
            <w:r>
              <w:rPr>
                <w:rFonts w:eastAsia="Yu Mincho"/>
                <w:b/>
                <w:bCs/>
                <w:color w:val="3B3B3C"/>
                <w:sz w:val="16"/>
                <w:szCs w:val="16"/>
              </w:rPr>
              <w:t>Unclear</w:t>
            </w:r>
          </w:p>
        </w:tc>
        <w:tc>
          <w:tcPr>
            <w:tcW w:w="1696" w:type="dxa"/>
            <w:shd w:val="clear" w:color="auto" w:fill="FFC000"/>
          </w:tcPr>
          <w:p w14:paraId="508BAD8C" w14:textId="29831EB2" w:rsidR="0092234C" w:rsidRPr="005E45BC" w:rsidRDefault="0092234C" w:rsidP="008F391E">
            <w:pPr>
              <w:rPr>
                <w:rFonts w:eastAsia="Yu Mincho"/>
                <w:b/>
                <w:bCs/>
                <w:color w:val="3B3B3C"/>
                <w:sz w:val="16"/>
                <w:szCs w:val="16"/>
              </w:rPr>
            </w:pPr>
            <w:r w:rsidRPr="005E45BC">
              <w:rPr>
                <w:rFonts w:eastAsia="Yu Mincho"/>
                <w:b/>
                <w:bCs/>
                <w:color w:val="3B3B3C"/>
                <w:sz w:val="16"/>
                <w:szCs w:val="16"/>
              </w:rPr>
              <w:t>Some</w:t>
            </w:r>
          </w:p>
        </w:tc>
      </w:tr>
      <w:tr w:rsidR="005E45BC" w:rsidRPr="005E45BC" w14:paraId="659E4D43" w14:textId="50BE49FC" w:rsidTr="00EE34E1">
        <w:trPr>
          <w:trHeight w:val="227"/>
        </w:trPr>
        <w:tc>
          <w:tcPr>
            <w:tcW w:w="1696" w:type="dxa"/>
            <w:shd w:val="clear" w:color="auto" w:fill="BDD6EE"/>
          </w:tcPr>
          <w:p w14:paraId="64EFFBDE" w14:textId="2FB0D9F0" w:rsidR="0092234C" w:rsidRPr="005E45BC" w:rsidRDefault="00A41FE3" w:rsidP="008F391E">
            <w:pPr>
              <w:rPr>
                <w:rFonts w:eastAsia="Yu Mincho"/>
                <w:b/>
                <w:bCs/>
                <w:color w:val="3B3B3C"/>
                <w:sz w:val="16"/>
                <w:szCs w:val="16"/>
              </w:rPr>
            </w:pPr>
            <w:r>
              <w:rPr>
                <w:rFonts w:eastAsia="Yu Mincho"/>
                <w:b/>
                <w:bCs/>
                <w:color w:val="3B3B3C"/>
                <w:sz w:val="16"/>
                <w:szCs w:val="16"/>
              </w:rPr>
              <w:t>None yet</w:t>
            </w:r>
          </w:p>
        </w:tc>
        <w:tc>
          <w:tcPr>
            <w:tcW w:w="1696" w:type="dxa"/>
            <w:shd w:val="clear" w:color="auto" w:fill="ED7D31"/>
          </w:tcPr>
          <w:p w14:paraId="2F292E87" w14:textId="0E6ABB2F" w:rsidR="0092234C" w:rsidRPr="005E45BC" w:rsidRDefault="0092234C" w:rsidP="008F391E">
            <w:pPr>
              <w:rPr>
                <w:rFonts w:eastAsia="Yu Mincho"/>
                <w:b/>
                <w:bCs/>
                <w:color w:val="3B3B3C"/>
                <w:sz w:val="16"/>
                <w:szCs w:val="16"/>
              </w:rPr>
            </w:pPr>
            <w:r w:rsidRPr="005E45BC">
              <w:rPr>
                <w:rFonts w:eastAsia="Yu Mincho"/>
                <w:b/>
                <w:bCs/>
                <w:color w:val="3B3B3C"/>
                <w:sz w:val="16"/>
                <w:szCs w:val="16"/>
              </w:rPr>
              <w:t>None</w:t>
            </w:r>
          </w:p>
        </w:tc>
      </w:tr>
    </w:tbl>
    <w:p w14:paraId="0A89BEA7" w14:textId="7E9C71AA" w:rsidR="00A277CD" w:rsidRDefault="00A277CD" w:rsidP="008A5F96">
      <w:pPr>
        <w:pStyle w:val="ItadCaption"/>
        <w:keepNext/>
      </w:pPr>
      <w:bookmarkStart w:id="219" w:name="_Ref129292778"/>
      <w:bookmarkStart w:id="220" w:name="_Toc144722296"/>
      <w:r>
        <w:t xml:space="preserve">Table </w:t>
      </w:r>
      <w:r>
        <w:fldChar w:fldCharType="begin"/>
      </w:r>
      <w:r>
        <w:instrText>SEQ Table \* ARABIC</w:instrText>
      </w:r>
      <w:r>
        <w:fldChar w:fldCharType="separate"/>
      </w:r>
      <w:r w:rsidR="00F62CD8">
        <w:rPr>
          <w:noProof/>
        </w:rPr>
        <w:t>4</w:t>
      </w:r>
      <w:r>
        <w:fldChar w:fldCharType="end"/>
      </w:r>
      <w:bookmarkEnd w:id="219"/>
      <w:r w:rsidR="00EE36B0">
        <w:t>:</w:t>
      </w:r>
      <w:r>
        <w:t xml:space="preserve"> </w:t>
      </w:r>
      <w:r w:rsidRPr="00A277CD">
        <w:t>Changes in quality of HH AMR data</w:t>
      </w:r>
      <w:bookmarkEnd w:id="220"/>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34"/>
        <w:gridCol w:w="1417"/>
        <w:gridCol w:w="1076"/>
        <w:gridCol w:w="1192"/>
        <w:gridCol w:w="1134"/>
        <w:gridCol w:w="1212"/>
        <w:gridCol w:w="730"/>
      </w:tblGrid>
      <w:tr w:rsidR="00E46F96" w:rsidRPr="00E46F96" w14:paraId="0B780B9A" w14:textId="77777777" w:rsidTr="008F391E">
        <w:trPr>
          <w:trHeight w:val="320"/>
        </w:trPr>
        <w:tc>
          <w:tcPr>
            <w:tcW w:w="1413" w:type="dxa"/>
            <w:shd w:val="clear" w:color="auto" w:fill="96C286" w:themeFill="text2" w:themeFillTint="99"/>
            <w:noWrap/>
            <w:vAlign w:val="center"/>
            <w:hideMark/>
          </w:tcPr>
          <w:p w14:paraId="0215D73D"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Countries</w:t>
            </w:r>
          </w:p>
        </w:tc>
        <w:tc>
          <w:tcPr>
            <w:tcW w:w="1134" w:type="dxa"/>
            <w:shd w:val="clear" w:color="auto" w:fill="96C286" w:themeFill="text2" w:themeFillTint="99"/>
            <w:noWrap/>
            <w:vAlign w:val="center"/>
            <w:hideMark/>
          </w:tcPr>
          <w:p w14:paraId="1AEEFEC7" w14:textId="7F7C9954"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Ext</w:t>
            </w:r>
            <w:r w:rsidR="008F391E" w:rsidRPr="00E46F96">
              <w:rPr>
                <w:rFonts w:asciiTheme="minorHAnsi" w:eastAsia="Times New Roman" w:hAnsiTheme="minorHAnsi" w:cstheme="minorHAnsi"/>
                <w:b/>
                <w:bCs/>
                <w:color w:val="3B3B3C"/>
                <w:sz w:val="18"/>
                <w:szCs w:val="18"/>
                <w:lang w:eastAsia="en-GB"/>
              </w:rPr>
              <w:t>ent</w:t>
            </w:r>
            <w:r w:rsidRPr="00E46F96">
              <w:rPr>
                <w:rFonts w:asciiTheme="minorHAnsi" w:eastAsia="Times New Roman" w:hAnsiTheme="minorHAnsi" w:cstheme="minorHAnsi"/>
                <w:b/>
                <w:bCs/>
                <w:color w:val="3B3B3C"/>
                <w:sz w:val="18"/>
                <w:szCs w:val="18"/>
                <w:lang w:eastAsia="en-GB"/>
              </w:rPr>
              <w:t xml:space="preserve"> of change</w:t>
            </w:r>
          </w:p>
        </w:tc>
        <w:tc>
          <w:tcPr>
            <w:tcW w:w="1417" w:type="dxa"/>
            <w:shd w:val="clear" w:color="auto" w:fill="96C286" w:themeFill="text2" w:themeFillTint="99"/>
            <w:noWrap/>
            <w:vAlign w:val="center"/>
            <w:hideMark/>
          </w:tcPr>
          <w:p w14:paraId="5DB0D3F0"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Human capacity</w:t>
            </w:r>
          </w:p>
        </w:tc>
        <w:tc>
          <w:tcPr>
            <w:tcW w:w="1076" w:type="dxa"/>
            <w:shd w:val="clear" w:color="auto" w:fill="96C286" w:themeFill="text2" w:themeFillTint="99"/>
            <w:noWrap/>
            <w:vAlign w:val="center"/>
            <w:hideMark/>
          </w:tcPr>
          <w:p w14:paraId="63BF7F25" w14:textId="374239F8"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 xml:space="preserve">Renovation &amp; </w:t>
            </w:r>
            <w:r w:rsidR="00F41693">
              <w:rPr>
                <w:rFonts w:asciiTheme="minorHAnsi" w:eastAsia="Times New Roman" w:hAnsiTheme="minorHAnsi" w:cstheme="minorHAnsi"/>
                <w:b/>
                <w:bCs/>
                <w:color w:val="3B3B3C"/>
                <w:sz w:val="18"/>
                <w:szCs w:val="18"/>
                <w:lang w:eastAsia="en-GB"/>
              </w:rPr>
              <w:t>e</w:t>
            </w:r>
            <w:r w:rsidRPr="00E46F96">
              <w:rPr>
                <w:rFonts w:asciiTheme="minorHAnsi" w:eastAsia="Times New Roman" w:hAnsiTheme="minorHAnsi" w:cstheme="minorHAnsi"/>
                <w:b/>
                <w:bCs/>
                <w:color w:val="3B3B3C"/>
                <w:sz w:val="18"/>
                <w:szCs w:val="18"/>
                <w:lang w:eastAsia="en-GB"/>
              </w:rPr>
              <w:t>quipment</w:t>
            </w:r>
          </w:p>
        </w:tc>
        <w:tc>
          <w:tcPr>
            <w:tcW w:w="1192" w:type="dxa"/>
            <w:shd w:val="clear" w:color="auto" w:fill="96C286" w:themeFill="text2" w:themeFillTint="99"/>
            <w:noWrap/>
            <w:vAlign w:val="center"/>
            <w:hideMark/>
          </w:tcPr>
          <w:p w14:paraId="447D89EE"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QA</w:t>
            </w:r>
          </w:p>
        </w:tc>
        <w:tc>
          <w:tcPr>
            <w:tcW w:w="1134" w:type="dxa"/>
            <w:shd w:val="clear" w:color="auto" w:fill="96C286" w:themeFill="text2" w:themeFillTint="99"/>
            <w:noWrap/>
            <w:vAlign w:val="center"/>
            <w:hideMark/>
          </w:tcPr>
          <w:p w14:paraId="1F2140FC"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SOPs</w:t>
            </w:r>
          </w:p>
        </w:tc>
        <w:tc>
          <w:tcPr>
            <w:tcW w:w="1212" w:type="dxa"/>
            <w:shd w:val="clear" w:color="auto" w:fill="96C286" w:themeFill="text2" w:themeFillTint="99"/>
            <w:noWrap/>
            <w:vAlign w:val="center"/>
            <w:hideMark/>
          </w:tcPr>
          <w:p w14:paraId="59C6CF00"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Consumables</w:t>
            </w:r>
          </w:p>
        </w:tc>
        <w:tc>
          <w:tcPr>
            <w:tcW w:w="730" w:type="dxa"/>
            <w:shd w:val="clear" w:color="auto" w:fill="96C286" w:themeFill="text2" w:themeFillTint="99"/>
            <w:noWrap/>
            <w:vAlign w:val="center"/>
            <w:hideMark/>
          </w:tcPr>
          <w:p w14:paraId="3B000978"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r w:rsidRPr="00E46F96">
              <w:rPr>
                <w:rFonts w:asciiTheme="minorHAnsi" w:eastAsia="Times New Roman" w:hAnsiTheme="minorHAnsi" w:cstheme="minorHAnsi"/>
                <w:b/>
                <w:bCs/>
                <w:color w:val="3B3B3C"/>
                <w:sz w:val="18"/>
                <w:szCs w:val="18"/>
                <w:lang w:eastAsia="en-GB"/>
              </w:rPr>
              <w:t>Other</w:t>
            </w:r>
          </w:p>
        </w:tc>
      </w:tr>
      <w:tr w:rsidR="00E46F96" w:rsidRPr="00E46F96" w14:paraId="0879FEBF" w14:textId="77777777" w:rsidTr="008F391E">
        <w:trPr>
          <w:trHeight w:val="320"/>
        </w:trPr>
        <w:tc>
          <w:tcPr>
            <w:tcW w:w="1413" w:type="dxa"/>
            <w:shd w:val="clear" w:color="auto" w:fill="auto"/>
            <w:noWrap/>
            <w:vAlign w:val="center"/>
            <w:hideMark/>
          </w:tcPr>
          <w:p w14:paraId="1761BF9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Bhutan</w:t>
            </w:r>
          </w:p>
        </w:tc>
        <w:tc>
          <w:tcPr>
            <w:tcW w:w="1134" w:type="dxa"/>
            <w:shd w:val="clear" w:color="000000" w:fill="BF8F00"/>
            <w:vAlign w:val="center"/>
          </w:tcPr>
          <w:p w14:paraId="1C005AAD"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54A36F9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auto" w:fill="auto"/>
            <w:noWrap/>
            <w:vAlign w:val="center"/>
          </w:tcPr>
          <w:p w14:paraId="1CFDF943"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5650324A"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vAlign w:val="center"/>
          </w:tcPr>
          <w:p w14:paraId="5DA62E80"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000000" w:fill="00B050"/>
            <w:noWrap/>
            <w:vAlign w:val="center"/>
          </w:tcPr>
          <w:p w14:paraId="4B52DABD"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92D050"/>
            <w:noWrap/>
            <w:vAlign w:val="center"/>
          </w:tcPr>
          <w:p w14:paraId="449E5043"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4DB3AC7E" w14:textId="77777777" w:rsidTr="008F391E">
        <w:trPr>
          <w:trHeight w:val="320"/>
        </w:trPr>
        <w:tc>
          <w:tcPr>
            <w:tcW w:w="1413" w:type="dxa"/>
            <w:shd w:val="clear" w:color="auto" w:fill="auto"/>
            <w:noWrap/>
            <w:vAlign w:val="center"/>
            <w:hideMark/>
          </w:tcPr>
          <w:p w14:paraId="4B2EA826"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Ghana</w:t>
            </w:r>
          </w:p>
        </w:tc>
        <w:tc>
          <w:tcPr>
            <w:tcW w:w="1134" w:type="dxa"/>
            <w:shd w:val="clear" w:color="000000" w:fill="BF8F00"/>
            <w:vAlign w:val="center"/>
          </w:tcPr>
          <w:p w14:paraId="57F58D93"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02451D1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00B050"/>
            <w:noWrap/>
            <w:vAlign w:val="center"/>
          </w:tcPr>
          <w:p w14:paraId="3079C94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4B2BA56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000000" w:fill="FFC000"/>
            <w:noWrap/>
            <w:vAlign w:val="center"/>
          </w:tcPr>
          <w:p w14:paraId="64752D8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7E601DA1"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485DB34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6562BE84" w14:textId="77777777" w:rsidTr="008F391E">
        <w:trPr>
          <w:trHeight w:val="320"/>
        </w:trPr>
        <w:tc>
          <w:tcPr>
            <w:tcW w:w="1413" w:type="dxa"/>
            <w:shd w:val="clear" w:color="auto" w:fill="auto"/>
            <w:noWrap/>
            <w:vAlign w:val="center"/>
            <w:hideMark/>
          </w:tcPr>
          <w:p w14:paraId="00ED47BA"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Kenya</w:t>
            </w:r>
          </w:p>
        </w:tc>
        <w:tc>
          <w:tcPr>
            <w:tcW w:w="1134" w:type="dxa"/>
            <w:shd w:val="clear" w:color="000000" w:fill="BF8F00"/>
            <w:vAlign w:val="center"/>
          </w:tcPr>
          <w:p w14:paraId="29E557E7"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5E6A0EA3"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auto" w:fill="auto"/>
            <w:noWrap/>
            <w:vAlign w:val="center"/>
          </w:tcPr>
          <w:p w14:paraId="25C060C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000000" w:fill="00B050"/>
            <w:noWrap/>
            <w:vAlign w:val="center"/>
          </w:tcPr>
          <w:p w14:paraId="604CFD6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000000" w:fill="92D050"/>
            <w:noWrap/>
            <w:vAlign w:val="center"/>
          </w:tcPr>
          <w:p w14:paraId="04A1DC65"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000000" w:fill="92D050"/>
            <w:noWrap/>
            <w:vAlign w:val="center"/>
          </w:tcPr>
          <w:p w14:paraId="5090B3D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00B050"/>
            <w:noWrap/>
            <w:vAlign w:val="center"/>
          </w:tcPr>
          <w:p w14:paraId="5A50B5FE"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3490492C" w14:textId="77777777" w:rsidTr="008F391E">
        <w:trPr>
          <w:trHeight w:val="320"/>
        </w:trPr>
        <w:tc>
          <w:tcPr>
            <w:tcW w:w="1413" w:type="dxa"/>
            <w:shd w:val="clear" w:color="auto" w:fill="auto"/>
            <w:noWrap/>
            <w:vAlign w:val="center"/>
            <w:hideMark/>
          </w:tcPr>
          <w:p w14:paraId="1833C7B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Tanzania</w:t>
            </w:r>
          </w:p>
        </w:tc>
        <w:tc>
          <w:tcPr>
            <w:tcW w:w="1134" w:type="dxa"/>
            <w:shd w:val="clear" w:color="000000" w:fill="BF8F00"/>
            <w:vAlign w:val="center"/>
          </w:tcPr>
          <w:p w14:paraId="15817154"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21E55FA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auto" w:fill="auto"/>
            <w:noWrap/>
            <w:vAlign w:val="center"/>
          </w:tcPr>
          <w:p w14:paraId="779490F1"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19895BA0"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000000" w:fill="92D050"/>
            <w:noWrap/>
            <w:vAlign w:val="center"/>
          </w:tcPr>
          <w:p w14:paraId="458CB62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000000" w:fill="92D050"/>
            <w:noWrap/>
            <w:vAlign w:val="center"/>
          </w:tcPr>
          <w:p w14:paraId="4234FCBD"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92D050"/>
            <w:noWrap/>
            <w:vAlign w:val="center"/>
          </w:tcPr>
          <w:p w14:paraId="05D0C132"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2DA4D9B0" w14:textId="77777777" w:rsidTr="008F391E">
        <w:trPr>
          <w:trHeight w:val="320"/>
        </w:trPr>
        <w:tc>
          <w:tcPr>
            <w:tcW w:w="1413" w:type="dxa"/>
            <w:shd w:val="clear" w:color="auto" w:fill="auto"/>
            <w:noWrap/>
            <w:vAlign w:val="center"/>
            <w:hideMark/>
          </w:tcPr>
          <w:p w14:paraId="1E53E4B1" w14:textId="6ACE68CE" w:rsidR="00804E6F" w:rsidRPr="00E46F96" w:rsidRDefault="00B30736" w:rsidP="0092234C">
            <w:pPr>
              <w:jc w:val="center"/>
              <w:rPr>
                <w:rFonts w:asciiTheme="minorHAnsi" w:eastAsia="Times New Roman" w:hAnsiTheme="minorHAnsi" w:cstheme="minorHAnsi"/>
                <w:color w:val="3B3B3C"/>
                <w:sz w:val="18"/>
                <w:szCs w:val="18"/>
                <w:lang w:eastAsia="en-GB"/>
              </w:rPr>
            </w:pPr>
            <w:r>
              <w:rPr>
                <w:rFonts w:asciiTheme="minorHAnsi" w:eastAsia="Times New Roman" w:hAnsiTheme="minorHAnsi" w:cstheme="minorHAnsi"/>
                <w:color w:val="3B3B3C"/>
                <w:sz w:val="18"/>
                <w:szCs w:val="18"/>
                <w:lang w:eastAsia="en-GB"/>
              </w:rPr>
              <w:t>Timor-Leste</w:t>
            </w:r>
          </w:p>
        </w:tc>
        <w:tc>
          <w:tcPr>
            <w:tcW w:w="1134" w:type="dxa"/>
            <w:shd w:val="clear" w:color="000000" w:fill="BF8F00"/>
            <w:vAlign w:val="center"/>
          </w:tcPr>
          <w:p w14:paraId="13792DA0"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2AD80601"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00B050"/>
            <w:noWrap/>
            <w:vAlign w:val="center"/>
          </w:tcPr>
          <w:p w14:paraId="3C6B14A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000000" w:fill="92D050"/>
            <w:noWrap/>
            <w:vAlign w:val="center"/>
          </w:tcPr>
          <w:p w14:paraId="73041EA9"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00192AFD"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6092ED79"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7FAD1252"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3ECC91D5" w14:textId="77777777" w:rsidTr="008F391E">
        <w:trPr>
          <w:trHeight w:val="320"/>
        </w:trPr>
        <w:tc>
          <w:tcPr>
            <w:tcW w:w="1413" w:type="dxa"/>
            <w:shd w:val="clear" w:color="auto" w:fill="auto"/>
            <w:noWrap/>
            <w:vAlign w:val="center"/>
            <w:hideMark/>
          </w:tcPr>
          <w:p w14:paraId="283FFF31"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Vietnam</w:t>
            </w:r>
          </w:p>
        </w:tc>
        <w:tc>
          <w:tcPr>
            <w:tcW w:w="1134" w:type="dxa"/>
            <w:shd w:val="clear" w:color="000000" w:fill="BF8F00"/>
            <w:vAlign w:val="center"/>
          </w:tcPr>
          <w:p w14:paraId="3A2DD4DE"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0B4C08DE"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auto" w:fill="auto"/>
            <w:noWrap/>
            <w:vAlign w:val="center"/>
          </w:tcPr>
          <w:p w14:paraId="7EFCD34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000000" w:fill="FFC000"/>
            <w:noWrap/>
            <w:vAlign w:val="center"/>
          </w:tcPr>
          <w:p w14:paraId="44437369"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6AAF6AC5"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669FE96C"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92D050"/>
            <w:noWrap/>
            <w:vAlign w:val="center"/>
          </w:tcPr>
          <w:p w14:paraId="1FCAB69E"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2F267356" w14:textId="77777777" w:rsidTr="008F391E">
        <w:trPr>
          <w:trHeight w:val="320"/>
        </w:trPr>
        <w:tc>
          <w:tcPr>
            <w:tcW w:w="1413" w:type="dxa"/>
            <w:shd w:val="clear" w:color="auto" w:fill="auto"/>
            <w:noWrap/>
            <w:vAlign w:val="center"/>
            <w:hideMark/>
          </w:tcPr>
          <w:p w14:paraId="4903685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Bangladesh</w:t>
            </w:r>
          </w:p>
        </w:tc>
        <w:tc>
          <w:tcPr>
            <w:tcW w:w="1134" w:type="dxa"/>
            <w:shd w:val="clear" w:color="000000" w:fill="FFD966"/>
            <w:vAlign w:val="center"/>
          </w:tcPr>
          <w:p w14:paraId="22C63117"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2855F94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00B050"/>
            <w:noWrap/>
            <w:vAlign w:val="center"/>
          </w:tcPr>
          <w:p w14:paraId="0548DBE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572A09B5"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02C3533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1A5B9B5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00B050"/>
            <w:noWrap/>
            <w:vAlign w:val="center"/>
          </w:tcPr>
          <w:p w14:paraId="4762AA2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7E083C47" w14:textId="77777777" w:rsidTr="008F391E">
        <w:trPr>
          <w:trHeight w:val="320"/>
        </w:trPr>
        <w:tc>
          <w:tcPr>
            <w:tcW w:w="1413" w:type="dxa"/>
            <w:shd w:val="clear" w:color="auto" w:fill="auto"/>
            <w:noWrap/>
            <w:vAlign w:val="center"/>
            <w:hideMark/>
          </w:tcPr>
          <w:p w14:paraId="7123638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Indonesia</w:t>
            </w:r>
          </w:p>
        </w:tc>
        <w:tc>
          <w:tcPr>
            <w:tcW w:w="1134" w:type="dxa"/>
            <w:shd w:val="clear" w:color="000000" w:fill="FFD966"/>
            <w:vAlign w:val="center"/>
          </w:tcPr>
          <w:p w14:paraId="75AF636D"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64863DD0"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00B050"/>
            <w:noWrap/>
            <w:vAlign w:val="center"/>
          </w:tcPr>
          <w:p w14:paraId="0CFE401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10ED5892"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7C6BA4F0"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48A38B7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FFC000"/>
            <w:noWrap/>
            <w:vAlign w:val="center"/>
          </w:tcPr>
          <w:p w14:paraId="452A2CD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5535631E" w14:textId="77777777" w:rsidTr="008F391E">
        <w:trPr>
          <w:trHeight w:val="320"/>
        </w:trPr>
        <w:tc>
          <w:tcPr>
            <w:tcW w:w="1413" w:type="dxa"/>
            <w:shd w:val="clear" w:color="auto" w:fill="auto"/>
            <w:noWrap/>
            <w:vAlign w:val="center"/>
            <w:hideMark/>
          </w:tcPr>
          <w:p w14:paraId="1CFD64C2"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Laos</w:t>
            </w:r>
          </w:p>
        </w:tc>
        <w:tc>
          <w:tcPr>
            <w:tcW w:w="1134" w:type="dxa"/>
            <w:shd w:val="clear" w:color="000000" w:fill="FFD966"/>
            <w:vAlign w:val="center"/>
          </w:tcPr>
          <w:p w14:paraId="400F2EC8"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2182935D"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92D050"/>
            <w:noWrap/>
            <w:vAlign w:val="center"/>
          </w:tcPr>
          <w:p w14:paraId="295C0F0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000000" w:fill="FFC000"/>
            <w:noWrap/>
            <w:vAlign w:val="center"/>
          </w:tcPr>
          <w:p w14:paraId="4BBA75BC"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4B438B7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794AD3E2"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46AF7C03"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008B71B4" w14:textId="77777777" w:rsidTr="008F391E">
        <w:trPr>
          <w:trHeight w:val="320"/>
        </w:trPr>
        <w:tc>
          <w:tcPr>
            <w:tcW w:w="1413" w:type="dxa"/>
            <w:shd w:val="clear" w:color="auto" w:fill="auto"/>
            <w:noWrap/>
            <w:vAlign w:val="center"/>
            <w:hideMark/>
          </w:tcPr>
          <w:p w14:paraId="7C28628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Nepal</w:t>
            </w:r>
          </w:p>
        </w:tc>
        <w:tc>
          <w:tcPr>
            <w:tcW w:w="1134" w:type="dxa"/>
            <w:shd w:val="clear" w:color="000000" w:fill="FFD966"/>
            <w:vAlign w:val="center"/>
          </w:tcPr>
          <w:p w14:paraId="345956DF"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626683E6"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00B050"/>
            <w:noWrap/>
            <w:vAlign w:val="center"/>
          </w:tcPr>
          <w:p w14:paraId="11DEF50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316C0682"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000000" w:fill="00B050"/>
            <w:noWrap/>
            <w:vAlign w:val="center"/>
          </w:tcPr>
          <w:p w14:paraId="18427CB3"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49B69FD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7E1ED983"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7B3B1C23" w14:textId="77777777" w:rsidTr="008F391E">
        <w:trPr>
          <w:trHeight w:val="320"/>
        </w:trPr>
        <w:tc>
          <w:tcPr>
            <w:tcW w:w="1413" w:type="dxa"/>
            <w:shd w:val="clear" w:color="auto" w:fill="auto"/>
            <w:noWrap/>
            <w:vAlign w:val="center"/>
            <w:hideMark/>
          </w:tcPr>
          <w:p w14:paraId="0095A44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Pakistan</w:t>
            </w:r>
          </w:p>
        </w:tc>
        <w:tc>
          <w:tcPr>
            <w:tcW w:w="1134" w:type="dxa"/>
            <w:shd w:val="clear" w:color="000000" w:fill="FFD966"/>
            <w:vAlign w:val="center"/>
          </w:tcPr>
          <w:p w14:paraId="07CC7092"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49074D2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auto" w:fill="auto"/>
            <w:noWrap/>
            <w:vAlign w:val="center"/>
          </w:tcPr>
          <w:p w14:paraId="382837B2"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000000" w:fill="92D050"/>
            <w:noWrap/>
            <w:vAlign w:val="center"/>
          </w:tcPr>
          <w:p w14:paraId="79ED768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000000" w:fill="92D050"/>
            <w:noWrap/>
            <w:vAlign w:val="center"/>
          </w:tcPr>
          <w:p w14:paraId="25EA566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2A021420"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2CCACD8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7A1CD82A" w14:textId="77777777" w:rsidTr="008F391E">
        <w:trPr>
          <w:trHeight w:val="320"/>
        </w:trPr>
        <w:tc>
          <w:tcPr>
            <w:tcW w:w="1413" w:type="dxa"/>
            <w:shd w:val="clear" w:color="auto" w:fill="auto"/>
            <w:noWrap/>
            <w:vAlign w:val="center"/>
            <w:hideMark/>
          </w:tcPr>
          <w:p w14:paraId="25B36D1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Zambia</w:t>
            </w:r>
          </w:p>
        </w:tc>
        <w:tc>
          <w:tcPr>
            <w:tcW w:w="1134" w:type="dxa"/>
            <w:shd w:val="clear" w:color="000000" w:fill="FFD966"/>
            <w:vAlign w:val="center"/>
          </w:tcPr>
          <w:p w14:paraId="6F6CE74A"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3FF1FD3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92D050"/>
            <w:noWrap/>
            <w:vAlign w:val="center"/>
          </w:tcPr>
          <w:p w14:paraId="418C003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32F14AF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6DD6ECA1"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6940CE1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762EBD30"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308693A9" w14:textId="77777777" w:rsidTr="008F391E">
        <w:trPr>
          <w:trHeight w:val="320"/>
        </w:trPr>
        <w:tc>
          <w:tcPr>
            <w:tcW w:w="1413" w:type="dxa"/>
            <w:shd w:val="clear" w:color="auto" w:fill="auto"/>
            <w:noWrap/>
            <w:vAlign w:val="center"/>
            <w:hideMark/>
          </w:tcPr>
          <w:p w14:paraId="3F9DBBA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Nigeria</w:t>
            </w:r>
          </w:p>
        </w:tc>
        <w:tc>
          <w:tcPr>
            <w:tcW w:w="1134" w:type="dxa"/>
            <w:shd w:val="clear" w:color="000000" w:fill="FBE4D5"/>
            <w:vAlign w:val="center"/>
          </w:tcPr>
          <w:p w14:paraId="21356511"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auto" w:fill="auto"/>
            <w:noWrap/>
            <w:vAlign w:val="center"/>
          </w:tcPr>
          <w:p w14:paraId="1872FDC4"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076" w:type="dxa"/>
            <w:shd w:val="clear" w:color="000000" w:fill="92D050"/>
            <w:noWrap/>
            <w:vAlign w:val="center"/>
          </w:tcPr>
          <w:p w14:paraId="0E7E11B6"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157A2DDD"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0B3E3A59"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000000" w:fill="92D050"/>
            <w:noWrap/>
            <w:vAlign w:val="center"/>
          </w:tcPr>
          <w:p w14:paraId="6D51319C"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92D050"/>
            <w:noWrap/>
            <w:vAlign w:val="center"/>
          </w:tcPr>
          <w:p w14:paraId="5EE9203C"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469F5D5B" w14:textId="77777777" w:rsidTr="008F391E">
        <w:trPr>
          <w:trHeight w:val="320"/>
        </w:trPr>
        <w:tc>
          <w:tcPr>
            <w:tcW w:w="1413" w:type="dxa"/>
            <w:shd w:val="clear" w:color="auto" w:fill="auto"/>
            <w:noWrap/>
            <w:vAlign w:val="center"/>
            <w:hideMark/>
          </w:tcPr>
          <w:p w14:paraId="35DB8985"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Uganda</w:t>
            </w:r>
          </w:p>
        </w:tc>
        <w:tc>
          <w:tcPr>
            <w:tcW w:w="1134" w:type="dxa"/>
            <w:shd w:val="clear" w:color="000000" w:fill="FBE4D5"/>
            <w:vAlign w:val="center"/>
          </w:tcPr>
          <w:p w14:paraId="423785F6"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671B159E"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00B050"/>
            <w:noWrap/>
            <w:vAlign w:val="center"/>
          </w:tcPr>
          <w:p w14:paraId="151933C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000000" w:fill="92D050"/>
            <w:noWrap/>
            <w:vAlign w:val="center"/>
          </w:tcPr>
          <w:p w14:paraId="02E429EB"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000000" w:fill="92D050"/>
            <w:noWrap/>
            <w:vAlign w:val="center"/>
          </w:tcPr>
          <w:p w14:paraId="0628E0E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6949EC05"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53F05951"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1745D2D5" w14:textId="77777777" w:rsidTr="008F391E">
        <w:trPr>
          <w:trHeight w:val="320"/>
        </w:trPr>
        <w:tc>
          <w:tcPr>
            <w:tcW w:w="1413" w:type="dxa"/>
            <w:shd w:val="clear" w:color="auto" w:fill="auto"/>
            <w:noWrap/>
            <w:vAlign w:val="center"/>
            <w:hideMark/>
          </w:tcPr>
          <w:p w14:paraId="6ACD393C"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Senegal</w:t>
            </w:r>
          </w:p>
        </w:tc>
        <w:tc>
          <w:tcPr>
            <w:tcW w:w="1134" w:type="dxa"/>
            <w:shd w:val="clear" w:color="000000" w:fill="FBE4D5"/>
            <w:vAlign w:val="center"/>
          </w:tcPr>
          <w:p w14:paraId="5E199015"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92D050"/>
            <w:noWrap/>
            <w:vAlign w:val="center"/>
          </w:tcPr>
          <w:p w14:paraId="15B9550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auto" w:fill="auto"/>
            <w:noWrap/>
            <w:vAlign w:val="center"/>
          </w:tcPr>
          <w:p w14:paraId="01FF36B3"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000000" w:fill="92D050"/>
            <w:noWrap/>
            <w:vAlign w:val="center"/>
          </w:tcPr>
          <w:p w14:paraId="36E22601"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1CD8B7F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4115CFFA"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000000" w:fill="ED7D31"/>
            <w:noWrap/>
            <w:vAlign w:val="center"/>
          </w:tcPr>
          <w:p w14:paraId="7CD87678"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r w:rsidR="00E46F96" w:rsidRPr="00E46F96" w14:paraId="4558D0FA" w14:textId="77777777" w:rsidTr="008F391E">
        <w:trPr>
          <w:trHeight w:val="320"/>
        </w:trPr>
        <w:tc>
          <w:tcPr>
            <w:tcW w:w="1413" w:type="dxa"/>
            <w:shd w:val="clear" w:color="auto" w:fill="auto"/>
            <w:noWrap/>
            <w:vAlign w:val="center"/>
            <w:hideMark/>
          </w:tcPr>
          <w:p w14:paraId="6CB5E4F5"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r w:rsidRPr="00E46F96">
              <w:rPr>
                <w:rFonts w:asciiTheme="minorHAnsi" w:eastAsia="Times New Roman" w:hAnsiTheme="minorHAnsi" w:cstheme="minorHAnsi"/>
                <w:color w:val="3B3B3C"/>
                <w:sz w:val="18"/>
                <w:szCs w:val="18"/>
                <w:lang w:eastAsia="en-GB"/>
              </w:rPr>
              <w:t>Sierra Leone</w:t>
            </w:r>
          </w:p>
        </w:tc>
        <w:tc>
          <w:tcPr>
            <w:tcW w:w="1134" w:type="dxa"/>
            <w:shd w:val="clear" w:color="000000" w:fill="BDD6EE"/>
            <w:vAlign w:val="center"/>
          </w:tcPr>
          <w:p w14:paraId="191D71F5" w14:textId="77777777" w:rsidR="00804E6F" w:rsidRPr="00E46F96" w:rsidRDefault="00804E6F" w:rsidP="0092234C">
            <w:pPr>
              <w:jc w:val="center"/>
              <w:rPr>
                <w:rFonts w:asciiTheme="minorHAnsi" w:eastAsia="Times New Roman" w:hAnsiTheme="minorHAnsi" w:cstheme="minorHAnsi"/>
                <w:b/>
                <w:bCs/>
                <w:color w:val="3B3B3C"/>
                <w:sz w:val="18"/>
                <w:szCs w:val="18"/>
                <w:lang w:eastAsia="en-GB"/>
              </w:rPr>
            </w:pPr>
          </w:p>
        </w:tc>
        <w:tc>
          <w:tcPr>
            <w:tcW w:w="1417" w:type="dxa"/>
            <w:shd w:val="clear" w:color="000000" w:fill="00B050"/>
            <w:noWrap/>
            <w:vAlign w:val="center"/>
          </w:tcPr>
          <w:p w14:paraId="19A98DA9"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076" w:type="dxa"/>
            <w:shd w:val="clear" w:color="000000" w:fill="00B050"/>
            <w:noWrap/>
            <w:vAlign w:val="center"/>
          </w:tcPr>
          <w:p w14:paraId="18AC5514"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92" w:type="dxa"/>
            <w:shd w:val="clear" w:color="auto" w:fill="auto"/>
            <w:noWrap/>
            <w:vAlign w:val="center"/>
          </w:tcPr>
          <w:p w14:paraId="26489B16"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134" w:type="dxa"/>
            <w:shd w:val="clear" w:color="auto" w:fill="auto"/>
            <w:noWrap/>
            <w:vAlign w:val="center"/>
          </w:tcPr>
          <w:p w14:paraId="4A726505"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1212" w:type="dxa"/>
            <w:shd w:val="clear" w:color="auto" w:fill="auto"/>
            <w:noWrap/>
            <w:vAlign w:val="center"/>
          </w:tcPr>
          <w:p w14:paraId="219A5C57"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c>
          <w:tcPr>
            <w:tcW w:w="730" w:type="dxa"/>
            <w:shd w:val="clear" w:color="auto" w:fill="auto"/>
            <w:noWrap/>
            <w:vAlign w:val="center"/>
          </w:tcPr>
          <w:p w14:paraId="39D5422F" w14:textId="77777777" w:rsidR="00804E6F" w:rsidRPr="00E46F96" w:rsidRDefault="00804E6F" w:rsidP="0092234C">
            <w:pPr>
              <w:jc w:val="center"/>
              <w:rPr>
                <w:rFonts w:asciiTheme="minorHAnsi" w:eastAsia="Times New Roman" w:hAnsiTheme="minorHAnsi" w:cstheme="minorHAnsi"/>
                <w:color w:val="3B3B3C"/>
                <w:sz w:val="18"/>
                <w:szCs w:val="18"/>
                <w:lang w:eastAsia="en-GB"/>
              </w:rPr>
            </w:pPr>
          </w:p>
        </w:tc>
      </w:tr>
    </w:tbl>
    <w:p w14:paraId="289B64F0" w14:textId="77777777" w:rsidR="00804E6F" w:rsidRPr="008F391E" w:rsidRDefault="00804E6F" w:rsidP="00804E6F"/>
    <w:tbl>
      <w:tblPr>
        <w:tblStyle w:val="TableGrid"/>
        <w:tblW w:w="0" w:type="auto"/>
        <w:tblLook w:val="04A0" w:firstRow="1" w:lastRow="0" w:firstColumn="1" w:lastColumn="0" w:noHBand="0" w:noVBand="1"/>
      </w:tblPr>
      <w:tblGrid>
        <w:gridCol w:w="1696"/>
        <w:gridCol w:w="1696"/>
      </w:tblGrid>
      <w:tr w:rsidR="00A277CD" w:rsidRPr="00770BF2" w14:paraId="44439648" w14:textId="77777777" w:rsidTr="008A5F96">
        <w:trPr>
          <w:trHeight w:val="227"/>
        </w:trPr>
        <w:tc>
          <w:tcPr>
            <w:tcW w:w="1696" w:type="dxa"/>
            <w:shd w:val="clear" w:color="auto" w:fill="auto"/>
          </w:tcPr>
          <w:p w14:paraId="1B4491A6" w14:textId="155C0139" w:rsidR="00A277CD" w:rsidRPr="00F36299" w:rsidRDefault="00A277CD" w:rsidP="008F391E">
            <w:pPr>
              <w:rPr>
                <w:rFonts w:eastAsia="Yu Mincho"/>
                <w:b/>
                <w:bCs/>
                <w:color w:val="3B3B3C"/>
                <w:sz w:val="16"/>
                <w:szCs w:val="16"/>
              </w:rPr>
            </w:pPr>
            <w:r w:rsidRPr="00F36299">
              <w:rPr>
                <w:rFonts w:eastAsia="Yu Mincho"/>
                <w:b/>
                <w:bCs/>
                <w:color w:val="3B3B3C"/>
                <w:sz w:val="16"/>
                <w:szCs w:val="16"/>
              </w:rPr>
              <w:t xml:space="preserve">Key: Extent of </w:t>
            </w:r>
            <w:r w:rsidR="00F01A66">
              <w:rPr>
                <w:rFonts w:eastAsia="Yu Mincho"/>
                <w:b/>
                <w:bCs/>
                <w:color w:val="3B3B3C"/>
                <w:sz w:val="16"/>
                <w:szCs w:val="16"/>
              </w:rPr>
              <w:t>c</w:t>
            </w:r>
            <w:r w:rsidRPr="00F36299">
              <w:rPr>
                <w:rFonts w:eastAsia="Yu Mincho"/>
                <w:b/>
                <w:bCs/>
                <w:color w:val="3B3B3C"/>
                <w:sz w:val="16"/>
                <w:szCs w:val="16"/>
              </w:rPr>
              <w:t>hange</w:t>
            </w:r>
          </w:p>
        </w:tc>
        <w:tc>
          <w:tcPr>
            <w:tcW w:w="1696" w:type="dxa"/>
          </w:tcPr>
          <w:p w14:paraId="30944C65" w14:textId="0ADF9860" w:rsidR="00A277CD" w:rsidRPr="00F36299" w:rsidRDefault="00A277CD" w:rsidP="008F391E">
            <w:pPr>
              <w:rPr>
                <w:rFonts w:eastAsia="Yu Mincho"/>
                <w:b/>
                <w:bCs/>
                <w:color w:val="3B3B3C"/>
                <w:sz w:val="16"/>
                <w:szCs w:val="16"/>
              </w:rPr>
            </w:pPr>
            <w:r w:rsidRPr="00F46A59">
              <w:rPr>
                <w:rFonts w:eastAsia="Yu Mincho"/>
                <w:b/>
                <w:bCs/>
                <w:color w:val="3B3B3C"/>
                <w:sz w:val="16"/>
                <w:szCs w:val="16"/>
              </w:rPr>
              <w:t xml:space="preserve">Key: </w:t>
            </w:r>
            <w:r w:rsidR="005E75BF">
              <w:rPr>
                <w:rFonts w:eastAsia="Yu Mincho"/>
                <w:b/>
                <w:bCs/>
                <w:color w:val="3B3B3C"/>
                <w:sz w:val="16"/>
                <w:szCs w:val="16"/>
              </w:rPr>
              <w:t>Fleming Fund</w:t>
            </w:r>
            <w:r w:rsidRPr="00F46A59">
              <w:rPr>
                <w:rFonts w:eastAsia="Yu Mincho"/>
                <w:b/>
                <w:bCs/>
                <w:color w:val="3B3B3C"/>
                <w:sz w:val="16"/>
                <w:szCs w:val="16"/>
              </w:rPr>
              <w:t xml:space="preserve"> contribution</w:t>
            </w:r>
          </w:p>
        </w:tc>
      </w:tr>
      <w:tr w:rsidR="00A277CD" w:rsidRPr="00F36299" w14:paraId="2FD01040" w14:textId="77777777" w:rsidTr="008A5F96">
        <w:trPr>
          <w:trHeight w:val="227"/>
        </w:trPr>
        <w:tc>
          <w:tcPr>
            <w:tcW w:w="1696" w:type="dxa"/>
            <w:shd w:val="clear" w:color="auto" w:fill="BF8F00"/>
          </w:tcPr>
          <w:p w14:paraId="6FE92EF5" w14:textId="77777777" w:rsidR="00A277CD" w:rsidRPr="00F36299" w:rsidRDefault="00A277CD" w:rsidP="008F391E">
            <w:pPr>
              <w:rPr>
                <w:rFonts w:eastAsia="Yu Mincho"/>
                <w:b/>
                <w:bCs/>
                <w:color w:val="3B3B3C"/>
                <w:sz w:val="16"/>
                <w:szCs w:val="16"/>
              </w:rPr>
            </w:pPr>
            <w:r w:rsidRPr="00F36299">
              <w:rPr>
                <w:rFonts w:eastAsia="Yu Mincho"/>
                <w:b/>
                <w:bCs/>
                <w:color w:val="3B3B3C"/>
                <w:sz w:val="16"/>
                <w:szCs w:val="16"/>
              </w:rPr>
              <w:t>Considerable</w:t>
            </w:r>
          </w:p>
        </w:tc>
        <w:tc>
          <w:tcPr>
            <w:tcW w:w="1696" w:type="dxa"/>
            <w:shd w:val="clear" w:color="auto" w:fill="00B050"/>
          </w:tcPr>
          <w:p w14:paraId="5FBB4EEF" w14:textId="77777777" w:rsidR="00A277CD" w:rsidRPr="00F36299" w:rsidRDefault="00A277CD" w:rsidP="008F391E">
            <w:pPr>
              <w:rPr>
                <w:rFonts w:eastAsia="Yu Mincho"/>
                <w:b/>
                <w:bCs/>
                <w:color w:val="3B3B3C"/>
                <w:sz w:val="16"/>
                <w:szCs w:val="16"/>
              </w:rPr>
            </w:pPr>
            <w:r w:rsidRPr="00F46A59">
              <w:rPr>
                <w:rFonts w:eastAsia="Yu Mincho"/>
                <w:b/>
                <w:bCs/>
                <w:color w:val="3B3B3C"/>
                <w:sz w:val="16"/>
                <w:szCs w:val="16"/>
              </w:rPr>
              <w:t>Vital</w:t>
            </w:r>
          </w:p>
        </w:tc>
      </w:tr>
      <w:tr w:rsidR="00A277CD" w:rsidRPr="00F36299" w14:paraId="77E13918" w14:textId="77777777" w:rsidTr="008A5F96">
        <w:trPr>
          <w:trHeight w:val="227"/>
        </w:trPr>
        <w:tc>
          <w:tcPr>
            <w:tcW w:w="1696" w:type="dxa"/>
            <w:shd w:val="clear" w:color="auto" w:fill="FFD966"/>
          </w:tcPr>
          <w:p w14:paraId="5C0C3087" w14:textId="77777777" w:rsidR="00A277CD" w:rsidRPr="00F36299" w:rsidRDefault="00A277CD" w:rsidP="008F391E">
            <w:pPr>
              <w:rPr>
                <w:rFonts w:eastAsia="Yu Mincho"/>
                <w:b/>
                <w:bCs/>
                <w:color w:val="3B3B3C"/>
                <w:sz w:val="16"/>
                <w:szCs w:val="16"/>
              </w:rPr>
            </w:pPr>
            <w:r w:rsidRPr="00F36299">
              <w:rPr>
                <w:rFonts w:eastAsia="Yu Mincho"/>
                <w:b/>
                <w:bCs/>
                <w:color w:val="3B3B3C"/>
                <w:sz w:val="16"/>
                <w:szCs w:val="16"/>
              </w:rPr>
              <w:t>Some</w:t>
            </w:r>
          </w:p>
        </w:tc>
        <w:tc>
          <w:tcPr>
            <w:tcW w:w="1696" w:type="dxa"/>
            <w:shd w:val="clear" w:color="auto" w:fill="92D050"/>
          </w:tcPr>
          <w:p w14:paraId="5AAE9D9B" w14:textId="77777777" w:rsidR="00A277CD" w:rsidRPr="00F36299" w:rsidRDefault="00A277CD" w:rsidP="008F391E">
            <w:pPr>
              <w:rPr>
                <w:rFonts w:eastAsia="Yu Mincho"/>
                <w:b/>
                <w:bCs/>
                <w:color w:val="3B3B3C"/>
                <w:sz w:val="16"/>
                <w:szCs w:val="16"/>
              </w:rPr>
            </w:pPr>
            <w:r w:rsidRPr="00F46A59">
              <w:rPr>
                <w:rFonts w:eastAsia="Yu Mincho"/>
                <w:b/>
                <w:bCs/>
                <w:color w:val="3B3B3C"/>
                <w:sz w:val="16"/>
                <w:szCs w:val="16"/>
              </w:rPr>
              <w:t>Important</w:t>
            </w:r>
          </w:p>
        </w:tc>
      </w:tr>
      <w:tr w:rsidR="00A277CD" w:rsidRPr="00F36299" w14:paraId="28DE38D9" w14:textId="77777777" w:rsidTr="008A5F96">
        <w:trPr>
          <w:trHeight w:val="227"/>
        </w:trPr>
        <w:tc>
          <w:tcPr>
            <w:tcW w:w="1696" w:type="dxa"/>
            <w:shd w:val="clear" w:color="auto" w:fill="FBE4D5"/>
          </w:tcPr>
          <w:p w14:paraId="16583C3E" w14:textId="77777777" w:rsidR="00A277CD" w:rsidRPr="00F36299" w:rsidRDefault="00A277CD" w:rsidP="008F391E">
            <w:pPr>
              <w:rPr>
                <w:rFonts w:eastAsia="Yu Mincho"/>
                <w:b/>
                <w:bCs/>
                <w:color w:val="3B3B3C"/>
                <w:sz w:val="16"/>
                <w:szCs w:val="16"/>
              </w:rPr>
            </w:pPr>
            <w:r w:rsidRPr="00F36299">
              <w:rPr>
                <w:rFonts w:eastAsia="Yu Mincho"/>
                <w:b/>
                <w:bCs/>
                <w:color w:val="3B3B3C"/>
                <w:sz w:val="16"/>
                <w:szCs w:val="16"/>
              </w:rPr>
              <w:t>Limited</w:t>
            </w:r>
          </w:p>
        </w:tc>
        <w:tc>
          <w:tcPr>
            <w:tcW w:w="1696" w:type="dxa"/>
            <w:shd w:val="clear" w:color="auto" w:fill="FCE4D6"/>
          </w:tcPr>
          <w:p w14:paraId="520BC700" w14:textId="77777777" w:rsidR="00A277CD" w:rsidRPr="00F36299" w:rsidRDefault="00A277CD" w:rsidP="008F391E">
            <w:pPr>
              <w:rPr>
                <w:rFonts w:eastAsia="Yu Mincho"/>
                <w:b/>
                <w:bCs/>
                <w:color w:val="3B3B3C"/>
                <w:sz w:val="16"/>
                <w:szCs w:val="16"/>
              </w:rPr>
            </w:pPr>
            <w:r w:rsidRPr="00F46A59">
              <w:rPr>
                <w:rFonts w:eastAsia="Yu Mincho"/>
                <w:b/>
                <w:bCs/>
                <w:color w:val="3B3B3C"/>
                <w:sz w:val="16"/>
                <w:szCs w:val="16"/>
              </w:rPr>
              <w:t>Limited</w:t>
            </w:r>
          </w:p>
        </w:tc>
      </w:tr>
      <w:tr w:rsidR="00A277CD" w:rsidRPr="00F36299" w14:paraId="111891F1" w14:textId="77777777" w:rsidTr="008A5F96">
        <w:trPr>
          <w:trHeight w:val="227"/>
        </w:trPr>
        <w:tc>
          <w:tcPr>
            <w:tcW w:w="1696" w:type="dxa"/>
            <w:shd w:val="clear" w:color="auto" w:fill="FFFF00"/>
          </w:tcPr>
          <w:p w14:paraId="70379B3F" w14:textId="3CA94D0D" w:rsidR="00A277CD" w:rsidRPr="00F36299" w:rsidRDefault="00E55711" w:rsidP="008F391E">
            <w:pPr>
              <w:rPr>
                <w:rFonts w:eastAsia="Yu Mincho"/>
                <w:b/>
                <w:bCs/>
                <w:color w:val="3B3B3C"/>
                <w:sz w:val="16"/>
                <w:szCs w:val="16"/>
              </w:rPr>
            </w:pPr>
            <w:r>
              <w:rPr>
                <w:rFonts w:eastAsia="Yu Mincho"/>
                <w:b/>
                <w:bCs/>
                <w:color w:val="3B3B3C"/>
                <w:sz w:val="16"/>
                <w:szCs w:val="16"/>
              </w:rPr>
              <w:t>Unclear</w:t>
            </w:r>
          </w:p>
        </w:tc>
        <w:tc>
          <w:tcPr>
            <w:tcW w:w="1696" w:type="dxa"/>
            <w:shd w:val="clear" w:color="auto" w:fill="FFC000"/>
          </w:tcPr>
          <w:p w14:paraId="204BA57E" w14:textId="77777777" w:rsidR="00A277CD" w:rsidRPr="00F46A59" w:rsidRDefault="00A277CD" w:rsidP="008F391E">
            <w:pPr>
              <w:rPr>
                <w:rFonts w:eastAsia="Yu Mincho"/>
                <w:b/>
                <w:bCs/>
                <w:color w:val="3B3B3C"/>
                <w:sz w:val="16"/>
                <w:szCs w:val="16"/>
              </w:rPr>
            </w:pPr>
            <w:r>
              <w:rPr>
                <w:rFonts w:eastAsia="Yu Mincho"/>
                <w:b/>
                <w:bCs/>
                <w:color w:val="3B3B3C"/>
                <w:sz w:val="16"/>
                <w:szCs w:val="16"/>
              </w:rPr>
              <w:t>Some</w:t>
            </w:r>
          </w:p>
        </w:tc>
      </w:tr>
      <w:tr w:rsidR="00A277CD" w:rsidRPr="00F36299" w14:paraId="7DCABA8E" w14:textId="77777777" w:rsidTr="008A5F96">
        <w:trPr>
          <w:trHeight w:val="227"/>
        </w:trPr>
        <w:tc>
          <w:tcPr>
            <w:tcW w:w="1696" w:type="dxa"/>
            <w:shd w:val="clear" w:color="auto" w:fill="BDD6EE"/>
          </w:tcPr>
          <w:p w14:paraId="76A382BE" w14:textId="3E234C2D" w:rsidR="00A277CD" w:rsidRPr="00F36299" w:rsidRDefault="00E55711" w:rsidP="008F391E">
            <w:pPr>
              <w:rPr>
                <w:rFonts w:eastAsia="Yu Mincho"/>
                <w:b/>
                <w:bCs/>
                <w:color w:val="3B3B3C"/>
                <w:sz w:val="16"/>
                <w:szCs w:val="16"/>
              </w:rPr>
            </w:pPr>
            <w:bookmarkStart w:id="221" w:name="_Hlk136461889"/>
            <w:r>
              <w:rPr>
                <w:rFonts w:eastAsia="Yu Mincho"/>
                <w:b/>
                <w:bCs/>
                <w:color w:val="3B3B3C"/>
                <w:sz w:val="16"/>
                <w:szCs w:val="16"/>
              </w:rPr>
              <w:t>None yet</w:t>
            </w:r>
          </w:p>
        </w:tc>
        <w:tc>
          <w:tcPr>
            <w:tcW w:w="1696" w:type="dxa"/>
            <w:shd w:val="clear" w:color="auto" w:fill="ED7D31"/>
          </w:tcPr>
          <w:p w14:paraId="79DBBC10" w14:textId="77777777" w:rsidR="00A277CD" w:rsidRPr="00F36299" w:rsidRDefault="00A277CD" w:rsidP="008F391E">
            <w:pPr>
              <w:rPr>
                <w:rFonts w:eastAsia="Yu Mincho"/>
                <w:b/>
                <w:bCs/>
                <w:color w:val="3B3B3C"/>
                <w:sz w:val="16"/>
                <w:szCs w:val="16"/>
              </w:rPr>
            </w:pPr>
            <w:r>
              <w:rPr>
                <w:rFonts w:eastAsia="Yu Mincho"/>
                <w:b/>
                <w:bCs/>
                <w:color w:val="3B3B3C"/>
                <w:sz w:val="16"/>
                <w:szCs w:val="16"/>
              </w:rPr>
              <w:t>None</w:t>
            </w:r>
          </w:p>
        </w:tc>
      </w:tr>
    </w:tbl>
    <w:p w14:paraId="48DFF88D" w14:textId="77777777" w:rsidR="00F01A66" w:rsidRDefault="00F01A66" w:rsidP="00F01A66">
      <w:pPr>
        <w:pStyle w:val="ItadNormalText"/>
      </w:pPr>
    </w:p>
    <w:p w14:paraId="2FDE4080" w14:textId="7EF645C8" w:rsidR="00FF2998" w:rsidRPr="008A5F96" w:rsidRDefault="00FF2998" w:rsidP="00F01A66">
      <w:pPr>
        <w:pStyle w:val="ItadH4"/>
      </w:pPr>
      <w:r w:rsidRPr="008A5F96">
        <w:t>Constraints to increasing quantity and quality of HH and AH AMR data</w:t>
      </w:r>
    </w:p>
    <w:p w14:paraId="7C5D4A35" w14:textId="15B898DA" w:rsidR="00FF2998" w:rsidRDefault="2A1A940E" w:rsidP="00EE36B0">
      <w:pPr>
        <w:pStyle w:val="ItadNormalText"/>
        <w:rPr>
          <w:rFonts w:cs="Calibri"/>
        </w:rPr>
      </w:pPr>
      <w:bookmarkStart w:id="222" w:name="_Hlk129296251"/>
      <w:r w:rsidRPr="00EE36B0">
        <w:rPr>
          <w:b/>
          <w:bCs/>
        </w:rPr>
        <w:t>Finding</w:t>
      </w:r>
      <w:r w:rsidR="2F97BA1A" w:rsidRPr="00EE36B0">
        <w:rPr>
          <w:b/>
          <w:bCs/>
        </w:rPr>
        <w:t xml:space="preserve"> 2.1.1</w:t>
      </w:r>
      <w:r w:rsidR="7DB506C4" w:rsidRPr="00EE36B0">
        <w:rPr>
          <w:b/>
          <w:bCs/>
        </w:rPr>
        <w:t>1</w:t>
      </w:r>
      <w:r w:rsidR="2F97BA1A" w:rsidRPr="00EE36B0">
        <w:rPr>
          <w:b/>
          <w:bCs/>
        </w:rPr>
        <w:t xml:space="preserve">: </w:t>
      </w:r>
      <w:r w:rsidR="4BD3A707" w:rsidRPr="00EE36B0">
        <w:rPr>
          <w:b/>
          <w:bCs/>
        </w:rPr>
        <w:t>Where no progress or reversals in quantity and quality were observed, we identified constraints to progress.</w:t>
      </w:r>
      <w:r w:rsidR="4BD3A707" w:rsidRPr="00EE36B0" w:rsidDel="007D2E99">
        <w:rPr>
          <w:b/>
          <w:bCs/>
        </w:rPr>
        <w:t xml:space="preserve"> </w:t>
      </w:r>
      <w:r w:rsidR="4BD3A707" w:rsidRPr="00EE36B0">
        <w:rPr>
          <w:b/>
          <w:bCs/>
        </w:rPr>
        <w:t xml:space="preserve">In many cases, these were expressed in terms of </w:t>
      </w:r>
      <w:r w:rsidR="12EABA28" w:rsidRPr="00EE36B0">
        <w:rPr>
          <w:b/>
          <w:bCs/>
        </w:rPr>
        <w:t>‘</w:t>
      </w:r>
      <w:r w:rsidR="4BD3A707" w:rsidRPr="00EE36B0">
        <w:rPr>
          <w:b/>
          <w:bCs/>
        </w:rPr>
        <w:t>absence of</w:t>
      </w:r>
      <w:r w:rsidR="12EABA28" w:rsidRPr="00EE36B0">
        <w:rPr>
          <w:b/>
          <w:bCs/>
        </w:rPr>
        <w:t>’</w:t>
      </w:r>
      <w:r w:rsidR="4BD3A707" w:rsidRPr="00EE36B0">
        <w:rPr>
          <w:b/>
          <w:bCs/>
        </w:rPr>
        <w:t xml:space="preserve"> or </w:t>
      </w:r>
      <w:r w:rsidR="12EABA28" w:rsidRPr="00EE36B0">
        <w:rPr>
          <w:b/>
          <w:bCs/>
        </w:rPr>
        <w:t>‘</w:t>
      </w:r>
      <w:r w:rsidR="4BD3A707" w:rsidRPr="00EE36B0">
        <w:rPr>
          <w:b/>
          <w:bCs/>
        </w:rPr>
        <w:t>delays with</w:t>
      </w:r>
      <w:r w:rsidR="12EABA28" w:rsidRPr="00EE36B0">
        <w:rPr>
          <w:b/>
          <w:bCs/>
        </w:rPr>
        <w:t>’</w:t>
      </w:r>
      <w:r w:rsidR="4BD3A707" w:rsidRPr="00EE36B0">
        <w:rPr>
          <w:b/>
          <w:bCs/>
        </w:rPr>
        <w:t xml:space="preserve"> factors that were drivers of progress when present.</w:t>
      </w:r>
      <w:r w:rsidR="4BD3A707" w:rsidRPr="008343D7" w:rsidDel="007D2E99">
        <w:t xml:space="preserve"> </w:t>
      </w:r>
      <w:r w:rsidR="4BD3A707" w:rsidRPr="008343D7">
        <w:t xml:space="preserve">For example, given </w:t>
      </w:r>
      <w:r w:rsidR="4BD3A707" w:rsidRPr="008343D7">
        <w:rPr>
          <w:rFonts w:eastAsia="Times New Roman"/>
          <w:lang w:eastAsia="en-GB"/>
        </w:rPr>
        <w:t>the Fleming Fund</w:t>
      </w:r>
      <w:r w:rsidR="12EABA28">
        <w:rPr>
          <w:rFonts w:eastAsia="Times New Roman"/>
          <w:lang w:eastAsia="en-GB"/>
        </w:rPr>
        <w:t>’</w:t>
      </w:r>
      <w:r w:rsidR="4BD3A707" w:rsidRPr="008343D7">
        <w:rPr>
          <w:rFonts w:eastAsia="Times New Roman"/>
          <w:lang w:eastAsia="en-GB"/>
        </w:rPr>
        <w:t>s emphasis on providing equipment that automates many processes in generating quality AMR data, KIs commonly described challenges in getting automated equipment installed and functioning, implementing service contracts, and obtaining reliable supplies of (often expensive) consumables as reasons for the lack of progress.</w:t>
      </w:r>
      <w:r w:rsidR="4BD3A707" w:rsidRPr="008343D7" w:rsidDel="007D2E99">
        <w:rPr>
          <w:rFonts w:eastAsia="Times New Roman"/>
          <w:lang w:eastAsia="en-GB"/>
        </w:rPr>
        <w:t xml:space="preserve"> </w:t>
      </w:r>
      <w:r w:rsidR="4BD3A707" w:rsidRPr="008343D7">
        <w:t>Similarly</w:t>
      </w:r>
      <w:r w:rsidR="44740429">
        <w:t>,</w:t>
      </w:r>
      <w:r w:rsidR="4BD3A707" w:rsidRPr="008343D7">
        <w:t xml:space="preserve"> </w:t>
      </w:r>
      <w:r w:rsidR="4BD3A707" w:rsidRPr="008343D7">
        <w:rPr>
          <w:rFonts w:eastAsia="Times New Roman"/>
          <w:lang w:eastAsia="en-GB"/>
        </w:rPr>
        <w:t>delays in the refurbishment of laboratories were cited as a common reason.</w:t>
      </w:r>
      <w:r w:rsidR="4BD3A707" w:rsidRPr="008343D7" w:rsidDel="00882650">
        <w:rPr>
          <w:rFonts w:eastAsia="Times New Roman"/>
          <w:lang w:eastAsia="en-GB"/>
        </w:rPr>
        <w:t xml:space="preserve"> </w:t>
      </w:r>
      <w:r w:rsidR="4BD3A707">
        <w:rPr>
          <w:rFonts w:eastAsia="Times New Roman"/>
          <w:lang w:eastAsia="en-GB"/>
        </w:rPr>
        <w:t xml:space="preserve">This links to </w:t>
      </w:r>
      <w:r w:rsidR="44740429">
        <w:rPr>
          <w:rFonts w:eastAsia="Times New Roman"/>
          <w:lang w:eastAsia="en-GB"/>
        </w:rPr>
        <w:t xml:space="preserve">the </w:t>
      </w:r>
      <w:r w:rsidR="4BD3A707">
        <w:rPr>
          <w:rFonts w:eastAsia="Times New Roman"/>
          <w:lang w:eastAsia="en-GB"/>
        </w:rPr>
        <w:t xml:space="preserve">duration of support, as identified </w:t>
      </w:r>
      <w:r w:rsidR="4BD3A707" w:rsidRPr="00C61F02">
        <w:rPr>
          <w:rFonts w:eastAsia="Times New Roman"/>
          <w:lang w:eastAsia="en-GB"/>
        </w:rPr>
        <w:t xml:space="preserve">in section </w:t>
      </w:r>
      <w:r w:rsidR="00C61F02" w:rsidRPr="008A5F96">
        <w:rPr>
          <w:rFonts w:eastAsia="Times New Roman"/>
          <w:lang w:eastAsia="en-GB"/>
        </w:rPr>
        <w:fldChar w:fldCharType="begin"/>
      </w:r>
      <w:r w:rsidR="00C61F02" w:rsidRPr="008A5F96">
        <w:rPr>
          <w:rFonts w:eastAsia="Times New Roman"/>
          <w:lang w:eastAsia="en-GB"/>
        </w:rPr>
        <w:instrText xml:space="preserve"> REF _Ref118235496 \r \h </w:instrText>
      </w:r>
      <w:r w:rsidR="00C61F02">
        <w:rPr>
          <w:rFonts w:eastAsia="Times New Roman"/>
          <w:lang w:eastAsia="en-GB"/>
        </w:rPr>
        <w:instrText xml:space="preserve"> \* MERGEFORMAT </w:instrText>
      </w:r>
      <w:r w:rsidR="00C61F02" w:rsidRPr="008A5F96">
        <w:rPr>
          <w:rFonts w:eastAsia="Times New Roman"/>
          <w:lang w:eastAsia="en-GB"/>
        </w:rPr>
      </w:r>
      <w:r w:rsidR="00C61F02" w:rsidRPr="008A5F96">
        <w:rPr>
          <w:rFonts w:eastAsia="Times New Roman"/>
          <w:lang w:eastAsia="en-GB"/>
        </w:rPr>
        <w:fldChar w:fldCharType="separate"/>
      </w:r>
      <w:r w:rsidR="756D2E7F" w:rsidRPr="008A5F96">
        <w:rPr>
          <w:rFonts w:eastAsia="Times New Roman"/>
          <w:cs/>
          <w:lang w:eastAsia="en-GB"/>
        </w:rPr>
        <w:t>‎</w:t>
      </w:r>
      <w:r w:rsidR="756D2E7F" w:rsidRPr="008A5F96">
        <w:rPr>
          <w:rFonts w:eastAsia="Times New Roman"/>
          <w:lang w:eastAsia="en-GB"/>
        </w:rPr>
        <w:t>1.4</w:t>
      </w:r>
      <w:r w:rsidR="00C61F02" w:rsidRPr="008A5F96">
        <w:rPr>
          <w:rFonts w:eastAsia="Times New Roman"/>
          <w:lang w:eastAsia="en-GB"/>
        </w:rPr>
        <w:fldChar w:fldCharType="end"/>
      </w:r>
      <w:r w:rsidR="756D2E7F" w:rsidRPr="00C61F02">
        <w:rPr>
          <w:rFonts w:eastAsia="Times New Roman"/>
          <w:lang w:eastAsia="en-GB"/>
        </w:rPr>
        <w:t>.</w:t>
      </w:r>
      <w:r w:rsidR="4BD3A707" w:rsidRPr="00C61F02">
        <w:rPr>
          <w:rFonts w:eastAsia="Times New Roman"/>
          <w:lang w:eastAsia="en-GB"/>
        </w:rPr>
        <w:t xml:space="preserve"> </w:t>
      </w:r>
      <w:r w:rsidR="4BD3A707" w:rsidRPr="00C61F02">
        <w:t>The lack of human resources was also identified as a constraint in the AH sector</w:t>
      </w:r>
      <w:r w:rsidR="4BD3A707" w:rsidRPr="00C61F02">
        <w:rPr>
          <w:rFonts w:eastAsia="Times New Roman"/>
          <w:lang w:eastAsia="en-GB"/>
        </w:rPr>
        <w:t xml:space="preserve">. </w:t>
      </w:r>
      <w:r w:rsidR="4BD3A707" w:rsidRPr="00C61F02">
        <w:rPr>
          <w:rFonts w:eastAsia="Times New Roman" w:cs="Calibri"/>
          <w:lang w:eastAsia="en-GB"/>
        </w:rPr>
        <w:t>It is important to note that</w:t>
      </w:r>
      <w:r w:rsidR="4BD3A707" w:rsidRPr="008343D7">
        <w:rPr>
          <w:rFonts w:eastAsia="Times New Roman" w:cs="Calibri"/>
          <w:lang w:eastAsia="en-GB"/>
        </w:rPr>
        <w:t>, at the time of data collection, the renovation and provision of equipment was ongoing in some countries which would have impacted performance on generating data</w:t>
      </w:r>
      <w:r w:rsidR="44740429">
        <w:rPr>
          <w:rFonts w:eastAsia="Times New Roman" w:cs="Calibri"/>
          <w:lang w:eastAsia="en-GB"/>
        </w:rPr>
        <w:t>.</w:t>
      </w:r>
      <w:r w:rsidR="00FF2998" w:rsidRPr="008343D7">
        <w:rPr>
          <w:rFonts w:eastAsia="Times New Roman"/>
          <w:vertAlign w:val="superscript"/>
          <w:lang w:eastAsia="en-GB"/>
        </w:rPr>
        <w:footnoteReference w:id="87"/>
      </w:r>
      <w:r w:rsidR="4BD3A707" w:rsidRPr="008343D7">
        <w:rPr>
          <w:rFonts w:eastAsia="Times New Roman" w:cs="Calibri"/>
          <w:lang w:eastAsia="en-GB"/>
        </w:rPr>
        <w:t xml:space="preserve"> </w:t>
      </w:r>
      <w:r w:rsidR="44740429" w:rsidRPr="008343D7">
        <w:rPr>
          <w:rFonts w:eastAsia="Times New Roman" w:cs="Calibri"/>
          <w:lang w:eastAsia="en-GB"/>
        </w:rPr>
        <w:t>We</w:t>
      </w:r>
      <w:r w:rsidR="4BD3A707" w:rsidRPr="008343D7">
        <w:rPr>
          <w:rFonts w:eastAsia="Times New Roman" w:cs="Calibri"/>
          <w:lang w:eastAsia="en-GB"/>
        </w:rPr>
        <w:t xml:space="preserve"> also note that training was impacted by COVID-19 (</w:t>
      </w:r>
      <w:r w:rsidR="00D442A5">
        <w:rPr>
          <w:rFonts w:eastAsia="Times New Roman" w:cs="Calibri"/>
          <w:lang w:eastAsia="en-GB"/>
        </w:rPr>
        <w:fldChar w:fldCharType="begin"/>
      </w:r>
      <w:r w:rsidR="00D442A5">
        <w:rPr>
          <w:rFonts w:eastAsia="Times New Roman" w:cs="Calibri"/>
          <w:lang w:eastAsia="en-GB"/>
        </w:rPr>
        <w:instrText xml:space="preserve"> REF _Ref144719880 \h </w:instrText>
      </w:r>
      <w:r w:rsidR="00D442A5">
        <w:rPr>
          <w:rFonts w:eastAsia="Times New Roman" w:cs="Calibri"/>
          <w:lang w:eastAsia="en-GB"/>
        </w:rPr>
      </w:r>
      <w:r w:rsidR="00D442A5">
        <w:rPr>
          <w:rFonts w:eastAsia="Times New Roman" w:cs="Calibri"/>
          <w:lang w:eastAsia="en-GB"/>
        </w:rPr>
        <w:fldChar w:fldCharType="separate"/>
      </w:r>
      <w:r w:rsidR="3217ECBE">
        <w:t xml:space="preserve">Box </w:t>
      </w:r>
      <w:r w:rsidR="3217ECBE">
        <w:rPr>
          <w:noProof/>
        </w:rPr>
        <w:t>6</w:t>
      </w:r>
      <w:r w:rsidR="00D442A5">
        <w:rPr>
          <w:rFonts w:eastAsia="Times New Roman" w:cs="Calibri"/>
          <w:lang w:eastAsia="en-GB"/>
        </w:rPr>
        <w:fldChar w:fldCharType="end"/>
      </w:r>
      <w:r w:rsidR="002D7467">
        <w:rPr>
          <w:rFonts w:eastAsia="Times New Roman" w:cs="Calibri"/>
          <w:lang w:eastAsia="en-GB"/>
        </w:rPr>
        <w:fldChar w:fldCharType="begin"/>
      </w:r>
      <w:r w:rsidR="002D7467">
        <w:rPr>
          <w:rFonts w:eastAsia="Times New Roman" w:cs="Calibri"/>
          <w:lang w:eastAsia="en-GB"/>
        </w:rPr>
        <w:instrText xml:space="preserve"> REF _Ref129182830 \h </w:instrText>
      </w:r>
      <w:r w:rsidR="002D7467">
        <w:rPr>
          <w:rFonts w:eastAsia="Times New Roman" w:cs="Calibri"/>
          <w:lang w:eastAsia="en-GB"/>
        </w:rPr>
      </w:r>
      <w:r w:rsidR="00B33BBD">
        <w:rPr>
          <w:rFonts w:eastAsia="Times New Roman" w:cs="Calibri"/>
          <w:lang w:eastAsia="en-GB"/>
        </w:rPr>
        <w:fldChar w:fldCharType="separate"/>
      </w:r>
      <w:r w:rsidR="002D7467">
        <w:rPr>
          <w:rFonts w:eastAsia="Times New Roman" w:cs="Calibri"/>
          <w:lang w:eastAsia="en-GB"/>
        </w:rPr>
        <w:fldChar w:fldCharType="end"/>
      </w:r>
      <w:r w:rsidR="4BD3A707" w:rsidRPr="008343D7">
        <w:rPr>
          <w:rFonts w:eastAsia="Times New Roman" w:cs="Calibri"/>
          <w:lang w:eastAsia="en-GB"/>
        </w:rPr>
        <w:t>), and a high</w:t>
      </w:r>
      <w:r w:rsidR="44740429">
        <w:rPr>
          <w:rFonts w:eastAsia="Times New Roman" w:cs="Calibri"/>
          <w:lang w:eastAsia="en-GB"/>
        </w:rPr>
        <w:t xml:space="preserve"> </w:t>
      </w:r>
      <w:r w:rsidR="4BD3A707" w:rsidRPr="008343D7">
        <w:rPr>
          <w:rFonts w:eastAsia="Times New Roman" w:cs="Calibri"/>
          <w:lang w:eastAsia="en-GB"/>
        </w:rPr>
        <w:t>turnover of staff in laboratories</w:t>
      </w:r>
      <w:r w:rsidR="44740429">
        <w:rPr>
          <w:rFonts w:eastAsia="Times New Roman" w:cs="Calibri"/>
          <w:lang w:eastAsia="en-GB"/>
        </w:rPr>
        <w:t>,</w:t>
      </w:r>
      <w:r w:rsidR="4BD3A707" w:rsidRPr="008343D7">
        <w:rPr>
          <w:rFonts w:eastAsia="Times New Roman" w:cs="Calibri"/>
          <w:lang w:eastAsia="en-GB"/>
        </w:rPr>
        <w:t xml:space="preserve"> without locally sustainable ways of training</w:t>
      </w:r>
      <w:r w:rsidR="44740429">
        <w:rPr>
          <w:rFonts w:eastAsia="Times New Roman" w:cs="Calibri"/>
          <w:lang w:eastAsia="en-GB"/>
        </w:rPr>
        <w:t>,</w:t>
      </w:r>
      <w:r w:rsidR="4BD3A707" w:rsidRPr="008343D7">
        <w:rPr>
          <w:rFonts w:eastAsia="Times New Roman" w:cs="Calibri"/>
          <w:lang w:eastAsia="en-GB"/>
        </w:rPr>
        <w:t xml:space="preserve"> has impeded progress in some countries .</w:t>
      </w:r>
      <w:r w:rsidR="4BD3A707" w:rsidRPr="008343D7" w:rsidDel="007D2E99">
        <w:rPr>
          <w:rFonts w:eastAsia="Times New Roman" w:cs="Calibri"/>
          <w:lang w:eastAsia="en-GB"/>
        </w:rPr>
        <w:t xml:space="preserve"> </w:t>
      </w:r>
      <w:r w:rsidR="4BD3A707" w:rsidRPr="008343D7">
        <w:rPr>
          <w:rFonts w:eastAsia="Times New Roman" w:cs="Calibri"/>
          <w:lang w:eastAsia="en-GB"/>
        </w:rPr>
        <w:t xml:space="preserve">Finally, the </w:t>
      </w:r>
      <w:r w:rsidR="4BD3A707" w:rsidRPr="008343D7">
        <w:rPr>
          <w:rFonts w:cs="Calibri"/>
        </w:rPr>
        <w:t>lack of adequate governance (effective oversight, attention to system design, and focus by policymakers and senior staff), was noted in both HH and AH.</w:t>
      </w:r>
    </w:p>
    <w:bookmarkEnd w:id="221"/>
    <w:bookmarkEnd w:id="222"/>
    <w:p w14:paraId="2CD89D32" w14:textId="0DA7AEC1" w:rsidR="00097152" w:rsidRDefault="00097152" w:rsidP="00097152">
      <w:pPr>
        <w:pStyle w:val="ItadCaption"/>
        <w:keepNext/>
      </w:pPr>
    </w:p>
    <w:p w14:paraId="192DE538" w14:textId="4C6777EE" w:rsidR="000C19D3" w:rsidRDefault="000C19D3" w:rsidP="000C19D3">
      <w:pPr>
        <w:pStyle w:val="Caption"/>
        <w:keepNext/>
      </w:pPr>
      <w:bookmarkStart w:id="223" w:name="_Ref144719880"/>
      <w:bookmarkStart w:id="224" w:name="_Toc144721401"/>
      <w:r>
        <w:t xml:space="preserve">Box </w:t>
      </w:r>
      <w:r>
        <w:fldChar w:fldCharType="begin"/>
      </w:r>
      <w:r>
        <w:instrText>SEQ Box \* ARABIC</w:instrText>
      </w:r>
      <w:r>
        <w:fldChar w:fldCharType="separate"/>
      </w:r>
      <w:r w:rsidR="009A7BD2">
        <w:rPr>
          <w:noProof/>
        </w:rPr>
        <w:t>6</w:t>
      </w:r>
      <w:r>
        <w:fldChar w:fldCharType="end"/>
      </w:r>
      <w:bookmarkEnd w:id="223"/>
      <w:r>
        <w:t xml:space="preserve">: </w:t>
      </w:r>
      <w:r w:rsidRPr="005229B1">
        <w:t>COVID-19’s effect on implementation</w:t>
      </w:r>
      <w:bookmarkEnd w:id="224"/>
    </w:p>
    <w:tbl>
      <w:tblPr>
        <w:tblStyle w:val="Itadpulloutboxorange"/>
        <w:tblW w:w="0" w:type="auto"/>
        <w:tblLook w:val="04A0" w:firstRow="1" w:lastRow="0" w:firstColumn="1" w:lastColumn="0" w:noHBand="0" w:noVBand="1"/>
      </w:tblPr>
      <w:tblGrid>
        <w:gridCol w:w="9170"/>
      </w:tblGrid>
      <w:tr w:rsidR="00097152" w14:paraId="5919D85E" w14:textId="77777777" w:rsidTr="000C19D3">
        <w:trPr>
          <w:trHeight w:val="1032"/>
        </w:trPr>
        <w:tc>
          <w:tcPr>
            <w:tcW w:w="9170" w:type="dxa"/>
          </w:tcPr>
          <w:p w14:paraId="3E57DB4E" w14:textId="5717C7E2" w:rsidR="00097152" w:rsidRPr="003C510B" w:rsidRDefault="00097152" w:rsidP="003C510B">
            <w:pPr>
              <w:pStyle w:val="FFBoxText"/>
            </w:pPr>
            <w:bookmarkStart w:id="225" w:name="_Hlk129296547"/>
            <w:r w:rsidRPr="005229B1">
              <w:t>In many countries, COVID-19 had substantial impacts on the countries</w:t>
            </w:r>
            <w:r w:rsidR="00AA6A7B" w:rsidRPr="005229B1">
              <w:t>’</w:t>
            </w:r>
            <w:r w:rsidRPr="005229B1">
              <w:t xml:space="preserve"> ability to continue with a programme of AMR surveillance, largely due to COVID-19 absorbing available bandwidth (or operating capacity) within country laboratory systems. Most countries cited COVID-19 as a factor impeding progress with the AMR agenda, consistent with the Global Database for Tracking AMR Country Self-Assessment Survey (</w:t>
            </w:r>
            <w:proofErr w:type="spellStart"/>
            <w:r w:rsidRPr="005229B1">
              <w:t>TrACSS</w:t>
            </w:r>
            <w:proofErr w:type="spellEnd"/>
            <w:r w:rsidRPr="005229B1">
              <w:t>), 2021 reporting that the pandemic had negative administrative and operational impacts. Impacts were noted inter alia on the renovation of laboratories, delivery of equipment, and provision of training (whether direct or through the Fleming Fellows scheme).</w:t>
            </w:r>
          </w:p>
          <w:p w14:paraId="4B85191A" w14:textId="44639BD2" w:rsidR="00097152" w:rsidRPr="003C510B" w:rsidRDefault="00097152" w:rsidP="003C510B">
            <w:pPr>
              <w:pStyle w:val="FFBoxText"/>
            </w:pPr>
            <w:r w:rsidRPr="003C510B">
              <w:t>It is logical to ask whether better performance could have been achieved in the absence of COVID-19, and by implication whether the Fleming Fund</w:t>
            </w:r>
            <w:r w:rsidR="00AA6A7B">
              <w:t>’</w:t>
            </w:r>
            <w:r w:rsidRPr="003C510B">
              <w:t>s response to COVID-19 was effective.</w:t>
            </w:r>
            <w:r w:rsidR="00DC1D8D" w:rsidRPr="003C510B">
              <w:t xml:space="preserve"> </w:t>
            </w:r>
            <w:r w:rsidRPr="003C510B">
              <w:t>This is not straightforward to assess. The Fund</w:t>
            </w:r>
            <w:r w:rsidR="00AA6A7B">
              <w:t>’</w:t>
            </w:r>
            <w:r w:rsidRPr="003C510B">
              <w:t xml:space="preserve">s primary goals were broadly achieved in terms of strengthening laboratories and generating AMR data. This seems to be due to a combination of </w:t>
            </w:r>
            <w:r w:rsidR="005E75BF" w:rsidRPr="003C510B">
              <w:t>Fleming Fund</w:t>
            </w:r>
            <w:r w:rsidRPr="003C510B">
              <w:t xml:space="preserve"> support, and </w:t>
            </w:r>
            <w:r w:rsidR="0026116D" w:rsidRPr="003C510B">
              <w:t xml:space="preserve">the </w:t>
            </w:r>
            <w:r w:rsidRPr="003C510B">
              <w:t>duration of that support. Many countries were only able to receive 36+ months of support due to phase 1 extensions</w:t>
            </w:r>
            <w:r w:rsidR="005229B1">
              <w:t>,</w:t>
            </w:r>
            <w:r w:rsidRPr="003C510B">
              <w:t xml:space="preserve"> which were necessitated by COVID-19</w:t>
            </w:r>
            <w:r w:rsidR="005229B1">
              <w:t>,</w:t>
            </w:r>
            <w:r w:rsidRPr="003C510B">
              <w:t xml:space="preserve"> and associated spending reviews by HMG.</w:t>
            </w:r>
            <w:r w:rsidR="00DC1D8D" w:rsidRPr="003C510B">
              <w:t xml:space="preserve"> </w:t>
            </w:r>
            <w:r w:rsidRPr="003C510B">
              <w:t xml:space="preserve">We cannot say whether these extensions would have happened in the absence of COVID-19, although it is feasible that some would have been granted given the number of no-cost extensions approved (described in section </w:t>
            </w:r>
            <w:r w:rsidRPr="003C510B">
              <w:fldChar w:fldCharType="begin"/>
            </w:r>
            <w:r w:rsidRPr="003C510B">
              <w:instrText xml:space="preserve"> REF _Ref128743758 \r \h  \* MERGEFORMAT </w:instrText>
            </w:r>
            <w:r w:rsidRPr="003C510B">
              <w:fldChar w:fldCharType="separate"/>
            </w:r>
            <w:r w:rsidRPr="003C510B">
              <w:rPr>
                <w:cs/>
              </w:rPr>
              <w:t>‎</w:t>
            </w:r>
            <w:r w:rsidRPr="003C510B">
              <w:t>2.3</w:t>
            </w:r>
            <w:r w:rsidRPr="003C510B">
              <w:fldChar w:fldCharType="end"/>
            </w:r>
            <w:r w:rsidRPr="003C510B">
              <w:t>).</w:t>
            </w:r>
            <w:r w:rsidR="00DC1D8D" w:rsidRPr="003C510B">
              <w:t xml:space="preserve"> </w:t>
            </w:r>
            <w:r w:rsidRPr="003C510B">
              <w:t xml:space="preserve">If implementation had finished in March 2021, no countries would have received </w:t>
            </w:r>
            <w:r w:rsidR="0026116D" w:rsidRPr="003C510B">
              <w:t xml:space="preserve">the </w:t>
            </w:r>
            <w:r w:rsidRPr="003C510B">
              <w:t>36 months</w:t>
            </w:r>
            <w:r w:rsidR="005229B1">
              <w:t>’</w:t>
            </w:r>
            <w:r w:rsidR="0026116D" w:rsidRPr="003C510B">
              <w:t xml:space="preserve"> </w:t>
            </w:r>
            <w:r w:rsidRPr="003C510B">
              <w:t xml:space="preserve">support by the end of phase 1 but </w:t>
            </w:r>
            <w:r w:rsidR="005E69ED">
              <w:t xml:space="preserve">the </w:t>
            </w:r>
            <w:r w:rsidRPr="003C510B">
              <w:t>renovation of laboratories, delivery of equipment, training of Fleming Fellows etc</w:t>
            </w:r>
            <w:r w:rsidR="005229B1">
              <w:t>.</w:t>
            </w:r>
            <w:r w:rsidRPr="003C510B">
              <w:t xml:space="preserve"> could have been delivered without any delays. We can say that the Fleming Fund appears to have managed to keep implementation on track with adaptations to ways of delivery and work</w:t>
            </w:r>
            <w:r w:rsidR="00C40B3E">
              <w:t>plans</w:t>
            </w:r>
            <w:r w:rsidRPr="003C510B">
              <w:t>/budgets where needed.</w:t>
            </w:r>
          </w:p>
          <w:p w14:paraId="20382051" w14:textId="4E523205" w:rsidR="00097152" w:rsidRPr="003C510B" w:rsidRDefault="00097152" w:rsidP="003C510B">
            <w:pPr>
              <w:pStyle w:val="FFBoxText"/>
            </w:pPr>
            <w:r w:rsidRPr="003C510B">
              <w:rPr>
                <w:rFonts w:eastAsiaTheme="minorHAnsi"/>
              </w:rPr>
              <w:t>It is therefore plausible to believe that COVID-19 had an impact on delivery, but that this appears to have been mitigated by how the Fleming Fund responded.</w:t>
            </w:r>
            <w:r w:rsidR="00DC1D8D" w:rsidRPr="003C510B">
              <w:t xml:space="preserve"> </w:t>
            </w:r>
            <w:r w:rsidRPr="003C510B">
              <w:t>We also note that the impact of COVID-19 was not entirely negative. KIs also commonly reported that COVID-19 ended to raise general awareness of the importance of taking public health threats seriously. Increased attention to infection prevention and control (IPC) was cited as a positive opportunity for national AMR agendas going forward. The case for investment in laboratory services and health security was made clearly and forcefully by the experience of responding to the pandemic, and the associated policy initiatives in dimensions such as health security tended to reinforce AMR governance structures in some countries.</w:t>
            </w:r>
          </w:p>
          <w:p w14:paraId="4EC0E4E4" w14:textId="3C5DA806" w:rsidR="00097152" w:rsidRDefault="00097152" w:rsidP="003C510B">
            <w:pPr>
              <w:pStyle w:val="FFBoxText"/>
              <w:rPr>
                <w:rFonts w:eastAsia="Calibri" w:cs="Calibri"/>
              </w:rPr>
            </w:pPr>
            <w:r w:rsidRPr="003C510B">
              <w:t xml:space="preserve">The Fleming Fund was also able to leverage its investments to support </w:t>
            </w:r>
            <w:r w:rsidR="0047670E" w:rsidRPr="003C510B">
              <w:t xml:space="preserve">the </w:t>
            </w:r>
            <w:r w:rsidRPr="003C510B">
              <w:t>COVID-</w:t>
            </w:r>
            <w:r w:rsidR="001C1FAE">
              <w:t xml:space="preserve">19 </w:t>
            </w:r>
            <w:r w:rsidRPr="003C510B">
              <w:t xml:space="preserve">response – </w:t>
            </w:r>
            <w:r w:rsidR="005229B1">
              <w:t xml:space="preserve">for example, </w:t>
            </w:r>
            <w:r w:rsidRPr="003C510B">
              <w:t xml:space="preserve">through aspects of the </w:t>
            </w:r>
            <w:r w:rsidR="00F66506">
              <w:t>RG</w:t>
            </w:r>
            <w:r w:rsidRPr="003C510B">
              <w:t xml:space="preserve"> on whole genome sequencing being repurposed to support COVID-19 testing.</w:t>
            </w:r>
            <w:r w:rsidRPr="008A5F96">
              <w:rPr>
                <w:color w:val="3B3B3C" w:themeColor="text1"/>
              </w:rPr>
              <w:t xml:space="preserve"> </w:t>
            </w:r>
            <w:bookmarkEnd w:id="225"/>
          </w:p>
        </w:tc>
      </w:tr>
    </w:tbl>
    <w:p w14:paraId="17D75DC7" w14:textId="77777777" w:rsidR="00EE36B0" w:rsidRDefault="00EE36B0" w:rsidP="00EE36B0">
      <w:pPr>
        <w:pStyle w:val="ItadNormalText"/>
      </w:pPr>
    </w:p>
    <w:p w14:paraId="65A85B64" w14:textId="77777777" w:rsidR="00EE36B0" w:rsidRDefault="00EE36B0">
      <w:pPr>
        <w:rPr>
          <w:rFonts w:eastAsia="Calibri"/>
          <w:b/>
          <w:bCs/>
          <w:color w:val="3B3B3C"/>
          <w:sz w:val="24"/>
          <w:szCs w:val="24"/>
        </w:rPr>
      </w:pPr>
      <w:r>
        <w:br w:type="page"/>
      </w:r>
    </w:p>
    <w:p w14:paraId="61AB3469" w14:textId="3C35591C" w:rsidR="00803396" w:rsidRPr="008A5F96" w:rsidRDefault="00FF2998" w:rsidP="00EE36B0">
      <w:pPr>
        <w:pStyle w:val="ItadH4"/>
      </w:pPr>
      <w:bookmarkStart w:id="226" w:name="_Toc144049366"/>
      <w:r w:rsidRPr="008A5F96">
        <w:t>Fleming Fund contribution to these drivers</w:t>
      </w:r>
      <w:bookmarkEnd w:id="226"/>
    </w:p>
    <w:p w14:paraId="2AAF523E" w14:textId="3CBD139A" w:rsidR="00FF2998" w:rsidRPr="00804E6F" w:rsidRDefault="2F97BA1A" w:rsidP="4EF651D4">
      <w:pPr>
        <w:pStyle w:val="ItadNormalText"/>
        <w:rPr>
          <w:color w:val="767171"/>
        </w:rPr>
      </w:pPr>
      <w:bookmarkStart w:id="227" w:name="_Hlk136462086"/>
      <w:bookmarkStart w:id="228" w:name="_Hlk129300082"/>
      <w:r w:rsidRPr="005229B1">
        <w:rPr>
          <w:b/>
          <w:bCs/>
        </w:rPr>
        <w:t>Finding 2.1.1</w:t>
      </w:r>
      <w:r w:rsidR="7DB506C4" w:rsidRPr="005229B1">
        <w:rPr>
          <w:b/>
          <w:bCs/>
        </w:rPr>
        <w:t>2</w:t>
      </w:r>
      <w:r w:rsidRPr="005229B1">
        <w:rPr>
          <w:b/>
          <w:bCs/>
        </w:rPr>
        <w:t xml:space="preserve">: </w:t>
      </w:r>
      <w:r w:rsidR="4BD3A707" w:rsidRPr="005229B1">
        <w:rPr>
          <w:b/>
          <w:bCs/>
        </w:rPr>
        <w:t xml:space="preserve">Overall, the Fleming Fund has made a vital or important contribution to most key drivers of increased </w:t>
      </w:r>
      <w:r w:rsidR="4BD3A707" w:rsidRPr="4EF651D4">
        <w:rPr>
          <w:b/>
          <w:bCs/>
          <w:i/>
          <w:iCs/>
        </w:rPr>
        <w:t>quantity</w:t>
      </w:r>
      <w:r w:rsidR="4BD3A707" w:rsidRPr="005229B1">
        <w:rPr>
          <w:b/>
          <w:bCs/>
        </w:rPr>
        <w:t xml:space="preserve"> and </w:t>
      </w:r>
      <w:r w:rsidR="4BD3A707" w:rsidRPr="4EF651D4">
        <w:rPr>
          <w:b/>
          <w:bCs/>
          <w:i/>
          <w:iCs/>
        </w:rPr>
        <w:t>quality</w:t>
      </w:r>
      <w:r w:rsidR="4BD3A707" w:rsidRPr="005229B1">
        <w:rPr>
          <w:b/>
          <w:bCs/>
        </w:rPr>
        <w:t xml:space="preserve"> in both HH and AH AMR data, albeit to variable extents</w:t>
      </w:r>
      <w:r w:rsidR="12FCED71" w:rsidRPr="005229B1">
        <w:rPr>
          <w:b/>
          <w:bCs/>
        </w:rPr>
        <w:t>.</w:t>
      </w:r>
      <w:r w:rsidR="00FF2998" w:rsidRPr="008343D7">
        <w:rPr>
          <w:sz w:val="20"/>
          <w:szCs w:val="20"/>
          <w:vertAlign w:val="superscript"/>
        </w:rPr>
        <w:footnoteReference w:id="88"/>
      </w:r>
      <w:r w:rsidR="4BD3A707" w:rsidRPr="008343D7">
        <w:t xml:space="preserve"> </w:t>
      </w:r>
      <w:r w:rsidR="4BD3A707" w:rsidRPr="4EF651D4">
        <w:t>For HH,</w:t>
      </w:r>
      <w:r w:rsidR="4BD3A707" w:rsidRPr="008343D7">
        <w:t xml:space="preserve"> </w:t>
      </w:r>
      <w:r w:rsidR="4BD3A707" w:rsidRPr="4EF651D4">
        <w:t>i</w:t>
      </w:r>
      <w:r w:rsidR="4BD3A707" w:rsidRPr="008343D7">
        <w:t xml:space="preserve">n all 16 countries, the Fleming Fund has made a vital or important contribution to at least two of the key drivers of change. In eight out of 16 countries (50%), the Fleming Fund has contributed in a vital or important way to over three of the key drivers of change. In addition to contributions to </w:t>
      </w:r>
      <w:r w:rsidR="4BD3A707" w:rsidRPr="4EF651D4">
        <w:rPr>
          <w:i/>
          <w:iCs/>
        </w:rPr>
        <w:t>renovation and equipment</w:t>
      </w:r>
      <w:r w:rsidR="4BD3A707" w:rsidRPr="005229B1">
        <w:t xml:space="preserve"> and </w:t>
      </w:r>
      <w:r w:rsidR="4BD3A707" w:rsidRPr="005229B1">
        <w:rPr>
          <w:u w:val="single"/>
        </w:rPr>
        <w:t>human capacity</w:t>
      </w:r>
      <w:r w:rsidR="4BD3A707" w:rsidRPr="008343D7">
        <w:t xml:space="preserve"> already mentioned, the Fleming Fund has contributed to </w:t>
      </w:r>
      <w:r w:rsidR="4BD3A707" w:rsidRPr="008343D7">
        <w:rPr>
          <w:u w:val="single"/>
        </w:rPr>
        <w:t>QA</w:t>
      </w:r>
      <w:r w:rsidR="4BD3A707" w:rsidRPr="008343D7">
        <w:t xml:space="preserve"> (as a driver of increased quality of HH AMR data generated) and to </w:t>
      </w:r>
      <w:r w:rsidR="4BD3A707" w:rsidRPr="4EF651D4">
        <w:rPr>
          <w:i/>
          <w:iCs/>
        </w:rPr>
        <w:t>SOPs</w:t>
      </w:r>
      <w:r w:rsidR="4BD3A707" w:rsidRPr="008343D7">
        <w:t xml:space="preserve"> (as a driver of increased quality of HH AMR data generated) in</w:t>
      </w:r>
      <w:r w:rsidR="4BD3A707" w:rsidRPr="008343D7" w:rsidDel="00DD0D95">
        <w:t xml:space="preserve"> </w:t>
      </w:r>
      <w:r w:rsidR="4BD3A707" w:rsidRPr="008343D7">
        <w:t>five countries</w:t>
      </w:r>
      <w:r w:rsidR="3A3E1326">
        <w:t xml:space="preserve"> respectively</w:t>
      </w:r>
      <w:r w:rsidR="4BD3A707" w:rsidRPr="008343D7">
        <w:t>. The Fleming Fund</w:t>
      </w:r>
      <w:r w:rsidR="12EABA28">
        <w:t>’</w:t>
      </w:r>
      <w:r w:rsidR="4BD3A707" w:rsidRPr="008343D7">
        <w:t>s level of contribution to the key drivers does not correlate clearly with the extent of change – i.e. a higher Fleming Fund contribution to results did not necessarily lead to stronger results/change. Category B countries seem to have performed better than other categories. The only category A country  has not yet shown progress in this area (see Annex 8</w:t>
      </w:r>
      <w:r w:rsidR="795104BF">
        <w:t>.1</w:t>
      </w:r>
      <w:r w:rsidR="4BD3A707" w:rsidRPr="008343D7">
        <w:t xml:space="preserve"> for more details).</w:t>
      </w:r>
      <w:r w:rsidR="4BD3A707" w:rsidRPr="008343D7" w:rsidDel="007D2E99">
        <w:t xml:space="preserve"> </w:t>
      </w:r>
      <w:r w:rsidR="4BD3A707" w:rsidRPr="008343D7">
        <w:t>For AH, i</w:t>
      </w:r>
      <w:r w:rsidR="4BD3A707" w:rsidRPr="008343D7">
        <w:rPr>
          <w:rFonts w:cs="Calibri"/>
        </w:rPr>
        <w:t>n all 16 countries (100%) the Fleming Fund has made a vital or important contribution to at least two of the top three drivers of change. In</w:t>
      </w:r>
      <w:r w:rsidR="4BD3A707" w:rsidRPr="008343D7" w:rsidDel="00947640">
        <w:rPr>
          <w:rFonts w:cs="Calibri"/>
        </w:rPr>
        <w:t xml:space="preserve"> </w:t>
      </w:r>
      <w:r w:rsidR="4BD3A707" w:rsidRPr="008343D7">
        <w:rPr>
          <w:rFonts w:cs="Calibri"/>
        </w:rPr>
        <w:t>nine out of 16 countries (56%), the Fleming Fund has contributed in a vital or important way to over three of the key drivers of change.</w:t>
      </w:r>
      <w:r w:rsidR="4BD3A707" w:rsidRPr="4EF651D4">
        <w:rPr>
          <w:rFonts w:cs="Calibri"/>
        </w:rPr>
        <w:t xml:space="preserve"> </w:t>
      </w:r>
      <w:r w:rsidR="4BD3A707" w:rsidRPr="008343D7">
        <w:rPr>
          <w:rFonts w:cs="Calibri"/>
        </w:rPr>
        <w:t xml:space="preserve">For example, Fleming Fund has made a vital or important contribution to </w:t>
      </w:r>
      <w:r w:rsidR="4BD3A707" w:rsidRPr="4EF651D4">
        <w:rPr>
          <w:rFonts w:cs="Calibri"/>
          <w:i/>
          <w:iCs/>
        </w:rPr>
        <w:t>renovation</w:t>
      </w:r>
      <w:r w:rsidR="4BD3A707" w:rsidRPr="008343D7">
        <w:rPr>
          <w:rFonts w:cs="Calibri"/>
        </w:rPr>
        <w:t xml:space="preserve"> (as a driver of increased quantity of AH AMR data generated) in 10 out of 16 countries (62%), </w:t>
      </w:r>
      <w:r w:rsidR="4BD3A707" w:rsidRPr="4EF651D4">
        <w:rPr>
          <w:rFonts w:cs="Calibri"/>
          <w:i/>
          <w:iCs/>
        </w:rPr>
        <w:t>human capacity</w:t>
      </w:r>
      <w:r w:rsidR="4BD3A707" w:rsidRPr="008343D7">
        <w:rPr>
          <w:rFonts w:cs="Calibri"/>
        </w:rPr>
        <w:t xml:space="preserve"> (as a driver of increased quantity of AH AMR data generated) in 12 countries (75%) and several active sampling exercises in</w:t>
      </w:r>
      <w:r w:rsidR="4BD3A707" w:rsidRPr="008343D7" w:rsidDel="00DD0D95">
        <w:rPr>
          <w:rFonts w:cs="Calibri"/>
        </w:rPr>
        <w:t xml:space="preserve"> </w:t>
      </w:r>
      <w:r w:rsidR="4BD3A707" w:rsidRPr="008343D7">
        <w:rPr>
          <w:rFonts w:cs="Calibri"/>
        </w:rPr>
        <w:t xml:space="preserve">eight (50%). Specifically for improvements in quality, </w:t>
      </w:r>
      <w:r w:rsidR="4BD3A707" w:rsidRPr="008A5F96">
        <w:t>i</w:t>
      </w:r>
      <w:r w:rsidR="4BD3A707" w:rsidRPr="008343D7">
        <w:t xml:space="preserve">n addition to the contribution to </w:t>
      </w:r>
      <w:r w:rsidR="4BD3A707" w:rsidRPr="4EF651D4">
        <w:rPr>
          <w:i/>
          <w:iCs/>
        </w:rPr>
        <w:t>renovation</w:t>
      </w:r>
      <w:r w:rsidR="4BD3A707" w:rsidRPr="008343D7">
        <w:t xml:space="preserve"> and </w:t>
      </w:r>
      <w:r w:rsidR="4BD3A707" w:rsidRPr="4EF651D4">
        <w:rPr>
          <w:i/>
          <w:iCs/>
        </w:rPr>
        <w:t>human capacity</w:t>
      </w:r>
      <w:r w:rsidR="4BD3A707" w:rsidRPr="008343D7">
        <w:rPr>
          <w:u w:val="single"/>
        </w:rPr>
        <w:t xml:space="preserve"> </w:t>
      </w:r>
      <w:r w:rsidR="4BD3A707" w:rsidRPr="008343D7">
        <w:t xml:space="preserve">already mentioned, the Fleming Fund has made a vital or important contribution to </w:t>
      </w:r>
      <w:r w:rsidR="4BD3A707" w:rsidRPr="4EF651D4">
        <w:rPr>
          <w:i/>
          <w:iCs/>
        </w:rPr>
        <w:t>SOPs</w:t>
      </w:r>
      <w:r w:rsidR="4BD3A707" w:rsidRPr="008343D7">
        <w:rPr>
          <w:u w:val="single"/>
        </w:rPr>
        <w:t xml:space="preserve"> </w:t>
      </w:r>
      <w:r w:rsidR="4BD3A707" w:rsidRPr="008343D7">
        <w:t xml:space="preserve">in four out of 16 countries, </w:t>
      </w:r>
      <w:r w:rsidR="4BD3A707" w:rsidRPr="4EF651D4">
        <w:rPr>
          <w:i/>
          <w:iCs/>
        </w:rPr>
        <w:t>QA</w:t>
      </w:r>
      <w:r w:rsidR="4BD3A707" w:rsidRPr="008343D7">
        <w:rPr>
          <w:u w:val="single"/>
        </w:rPr>
        <w:t xml:space="preserve"> </w:t>
      </w:r>
      <w:r w:rsidR="4BD3A707" w:rsidRPr="008343D7">
        <w:t xml:space="preserve">in four out of 16, and </w:t>
      </w:r>
      <w:r w:rsidR="4BD3A707" w:rsidRPr="4EF651D4">
        <w:rPr>
          <w:i/>
          <w:iCs/>
        </w:rPr>
        <w:t>governance</w:t>
      </w:r>
      <w:r w:rsidR="4BD3A707" w:rsidRPr="008343D7">
        <w:t xml:space="preserve"> in three out of 16. </w:t>
      </w:r>
      <w:r w:rsidR="4BD3A707" w:rsidRPr="008343D7">
        <w:rPr>
          <w:rFonts w:cs="Calibri"/>
        </w:rPr>
        <w:t xml:space="preserve">Contribution appears to be less strong in countries that have registered no progress in this area than in the countries that have experienced more significant change </w:t>
      </w:r>
      <w:r w:rsidR="4BD3A707" w:rsidRPr="008343D7">
        <w:t>(see Annex 8</w:t>
      </w:r>
      <w:r w:rsidR="4AE76F35">
        <w:t>.1</w:t>
      </w:r>
      <w:r w:rsidR="4BD3A707" w:rsidRPr="008343D7">
        <w:t xml:space="preserve"> for details).</w:t>
      </w:r>
    </w:p>
    <w:p w14:paraId="22F2D0D8" w14:textId="0F7418A9" w:rsidR="00FF2998" w:rsidRDefault="00803396" w:rsidP="00FF2998">
      <w:pPr>
        <w:rPr>
          <w:rFonts w:eastAsia="Calibri"/>
          <w:color w:val="3B3B3C"/>
        </w:rPr>
      </w:pPr>
      <w:r w:rsidRPr="008343D7">
        <w:rPr>
          <w:rFonts w:eastAsia="Calibri"/>
          <w:noProof/>
          <w:color w:val="3B3B3C"/>
          <w:highlight w:val="yellow"/>
        </w:rPr>
        <mc:AlternateContent>
          <mc:Choice Requires="wps">
            <w:drawing>
              <wp:anchor distT="45720" distB="45720" distL="114300" distR="114300" simplePos="0" relativeHeight="251658246" behindDoc="0" locked="0" layoutInCell="1" allowOverlap="1" wp14:anchorId="66C621AF" wp14:editId="627BD663">
                <wp:simplePos x="0" y="0"/>
                <wp:positionH relativeFrom="margin">
                  <wp:posOffset>3027598</wp:posOffset>
                </wp:positionH>
                <wp:positionV relativeFrom="paragraph">
                  <wp:posOffset>1179121</wp:posOffset>
                </wp:positionV>
                <wp:extent cx="2717165" cy="2813050"/>
                <wp:effectExtent l="0" t="0" r="26035" b="25400"/>
                <wp:wrapSquare wrapText="bothSides"/>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2813050"/>
                        </a:xfrm>
                        <a:prstGeom prst="rect">
                          <a:avLst/>
                        </a:prstGeom>
                        <a:solidFill>
                          <a:srgbClr val="588B46">
                            <a:lumMod val="20000"/>
                            <a:lumOff val="80000"/>
                          </a:srgbClr>
                        </a:solidFill>
                        <a:ln w="9525">
                          <a:solidFill>
                            <a:srgbClr val="588B46">
                              <a:lumMod val="20000"/>
                              <a:lumOff val="80000"/>
                            </a:srgbClr>
                          </a:solidFill>
                          <a:miter lim="800000"/>
                          <a:headEnd/>
                          <a:tailEnd/>
                        </a:ln>
                      </wps:spPr>
                      <wps:txbx>
                        <w:txbxContent>
                          <w:p w14:paraId="3E56B79D" w14:textId="77777777" w:rsidR="00FF2998" w:rsidRPr="008A5F96" w:rsidRDefault="00FF2998" w:rsidP="00FF2998">
                            <w:pPr>
                              <w:shd w:val="clear" w:color="auto" w:fill="DCEAD6"/>
                              <w:spacing w:after="120"/>
                              <w:rPr>
                                <w:b/>
                                <w:bCs/>
                                <w:color w:val="3B3B3C" w:themeColor="text1"/>
                                <w:sz w:val="21"/>
                                <w:szCs w:val="21"/>
                              </w:rPr>
                            </w:pPr>
                            <w:r w:rsidRPr="008A5F96">
                              <w:rPr>
                                <w:b/>
                                <w:bCs/>
                                <w:color w:val="3B3B3C" w:themeColor="text1"/>
                                <w:sz w:val="21"/>
                                <w:szCs w:val="21"/>
                              </w:rPr>
                              <w:t>Examples of Fleming Fund contribution to quality improvements</w:t>
                            </w:r>
                          </w:p>
                          <w:p w14:paraId="1FCEDC67" w14:textId="5028D673"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Fleming Fellows</w:t>
                            </w:r>
                            <w:r w:rsidRPr="008A5F96">
                              <w:rPr>
                                <w:color w:val="3B3B3C" w:themeColor="text1"/>
                                <w:sz w:val="21"/>
                                <w:szCs w:val="21"/>
                              </w:rPr>
                              <w:t xml:space="preserve">. Fellowships helped strengthen the capability of laboratory staff across a range of competences relevant to conducting quality ASTs through mentorships by </w:t>
                            </w:r>
                            <w:r w:rsidR="00E93137" w:rsidRPr="008A5F96">
                              <w:rPr>
                                <w:color w:val="3B3B3C" w:themeColor="text1"/>
                                <w:sz w:val="21"/>
                                <w:szCs w:val="21"/>
                              </w:rPr>
                              <w:t xml:space="preserve">host institution </w:t>
                            </w:r>
                            <w:r w:rsidRPr="008A5F96">
                              <w:rPr>
                                <w:color w:val="3B3B3C" w:themeColor="text1"/>
                                <w:sz w:val="21"/>
                                <w:szCs w:val="21"/>
                              </w:rPr>
                              <w:t>mentors.</w:t>
                            </w:r>
                          </w:p>
                          <w:p w14:paraId="5DEA1124" w14:textId="5C20AF68"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Regional Grants.</w:t>
                            </w:r>
                            <w:r w:rsidRPr="008A5F96">
                              <w:rPr>
                                <w:color w:val="3B3B3C" w:themeColor="text1"/>
                                <w:sz w:val="21"/>
                                <w:szCs w:val="21"/>
                              </w:rPr>
                              <w:t xml:space="preserve"> The Fleming Fund funded the provision of EQA services through RGs in Africa and Asia, implemented by ASLM and </w:t>
                            </w:r>
                            <w:r w:rsidR="005E69ED">
                              <w:rPr>
                                <w:color w:val="3B3B3C" w:themeColor="text1"/>
                                <w:sz w:val="21"/>
                                <w:szCs w:val="21"/>
                              </w:rPr>
                              <w:t xml:space="preserve">the </w:t>
                            </w:r>
                            <w:r w:rsidRPr="008A5F96">
                              <w:rPr>
                                <w:color w:val="3B3B3C" w:themeColor="text1"/>
                                <w:sz w:val="21"/>
                                <w:szCs w:val="21"/>
                              </w:rPr>
                              <w:t>Technical University of Denmark (DTU) respectively. These two-year grants have set the foundation for proficiency testing for participating laboratories in both Fleming Fund focus countries and beyond.</w:t>
                            </w:r>
                          </w:p>
                          <w:p w14:paraId="77A074FB" w14:textId="77777777" w:rsidR="00FF2998" w:rsidRPr="008A5F96" w:rsidRDefault="00FF2998" w:rsidP="00FF2998">
                            <w:pPr>
                              <w:shd w:val="clear" w:color="auto" w:fill="DCEAD6"/>
                              <w:spacing w:after="120"/>
                              <w:rPr>
                                <w:color w:val="3B3B3C"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C621AF" id="Text Box 63" o:spid="_x0000_s1032" type="#_x0000_t202" style="position:absolute;margin-left:238.4pt;margin-top:92.85pt;width:213.95pt;height:221.5pt;z-index:25165824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" fillcolor="#dcebd7" strokecolor="#dcebd7">
                <v:textbox>
                  <w:txbxContent>
                    <w:p w14:paraId="3E56B79D" w14:textId="77777777" w:rsidR="00FF2998" w:rsidRPr="008A5F96" w:rsidRDefault="00FF2998" w:rsidP="00FF2998">
                      <w:pPr>
                        <w:shd w:val="clear" w:color="auto" w:fill="DCEAD6"/>
                        <w:spacing w:after="120"/>
                        <w:rPr>
                          <w:b/>
                          <w:bCs/>
                          <w:color w:val="3B3B3C" w:themeColor="text1"/>
                          <w:sz w:val="21"/>
                          <w:szCs w:val="21"/>
                        </w:rPr>
                      </w:pPr>
                      <w:r w:rsidRPr="008A5F96">
                        <w:rPr>
                          <w:b/>
                          <w:bCs/>
                          <w:color w:val="3B3B3C" w:themeColor="text1"/>
                          <w:sz w:val="21"/>
                          <w:szCs w:val="21"/>
                        </w:rPr>
                        <w:t>Examples of Fleming Fund contribution to quality improvements</w:t>
                      </w:r>
                    </w:p>
                    <w:p w14:paraId="1FCEDC67" w14:textId="5028D673"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Fleming Fellows</w:t>
                      </w:r>
                      <w:r w:rsidRPr="008A5F96">
                        <w:rPr>
                          <w:color w:val="3B3B3C" w:themeColor="text1"/>
                          <w:sz w:val="21"/>
                          <w:szCs w:val="21"/>
                        </w:rPr>
                        <w:t xml:space="preserve">. Fellowships helped strengthen the capability of laboratory staff across a range of competences relevant to conducting quality ASTs through mentorships by </w:t>
                      </w:r>
                      <w:r w:rsidR="00E93137" w:rsidRPr="008A5F96">
                        <w:rPr>
                          <w:color w:val="3B3B3C" w:themeColor="text1"/>
                          <w:sz w:val="21"/>
                          <w:szCs w:val="21"/>
                        </w:rPr>
                        <w:t xml:space="preserve">host institution </w:t>
                      </w:r>
                      <w:r w:rsidRPr="008A5F96">
                        <w:rPr>
                          <w:color w:val="3B3B3C" w:themeColor="text1"/>
                          <w:sz w:val="21"/>
                          <w:szCs w:val="21"/>
                        </w:rPr>
                        <w:t>mentors.</w:t>
                      </w:r>
                    </w:p>
                    <w:p w14:paraId="5DEA1124" w14:textId="5C20AF68"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Regional Grants.</w:t>
                      </w:r>
                      <w:r w:rsidRPr="008A5F96">
                        <w:rPr>
                          <w:color w:val="3B3B3C" w:themeColor="text1"/>
                          <w:sz w:val="21"/>
                          <w:szCs w:val="21"/>
                        </w:rPr>
                        <w:t xml:space="preserve"> The Fleming Fund funded the provision of EQA services through RGs in Africa and Asia, implemented by ASLM and </w:t>
                      </w:r>
                      <w:r w:rsidR="005E69ED">
                        <w:rPr>
                          <w:color w:val="3B3B3C" w:themeColor="text1"/>
                          <w:sz w:val="21"/>
                          <w:szCs w:val="21"/>
                        </w:rPr>
                        <w:t xml:space="preserve">the </w:t>
                      </w:r>
                      <w:r w:rsidRPr="008A5F96">
                        <w:rPr>
                          <w:color w:val="3B3B3C" w:themeColor="text1"/>
                          <w:sz w:val="21"/>
                          <w:szCs w:val="21"/>
                        </w:rPr>
                        <w:t>Technical University of Denmark (DTU) respectively. These two-year grants have set the foundation for proficiency testing for participating laboratories in both Fleming Fund focus countries and beyond.</w:t>
                      </w:r>
                    </w:p>
                    <w:p w14:paraId="77A074FB" w14:textId="77777777" w:rsidR="00FF2998" w:rsidRPr="008A5F96" w:rsidRDefault="00FF2998" w:rsidP="00FF2998">
                      <w:pPr>
                        <w:shd w:val="clear" w:color="auto" w:fill="DCEAD6"/>
                        <w:spacing w:after="120"/>
                        <w:rPr>
                          <w:color w:val="3B3B3C" w:themeColor="text1"/>
                        </w:rPr>
                      </w:pPr>
                    </w:p>
                  </w:txbxContent>
                </v:textbox>
                <w10:wrap type="square" anchorx="margin"/>
              </v:shape>
            </w:pict>
          </mc:Fallback>
        </mc:AlternateContent>
      </w:r>
      <w:r w:rsidRPr="008343D7">
        <w:rPr>
          <w:rFonts w:eastAsia="Calibri"/>
          <w:noProof/>
          <w:color w:val="3B3B3C"/>
        </w:rPr>
        <mc:AlternateContent>
          <mc:Choice Requires="wps">
            <w:drawing>
              <wp:anchor distT="45720" distB="45720" distL="114300" distR="114300" simplePos="0" relativeHeight="251658245" behindDoc="0" locked="0" layoutInCell="1" allowOverlap="1" wp14:anchorId="5DFBEDEF" wp14:editId="12462D1B">
                <wp:simplePos x="0" y="0"/>
                <wp:positionH relativeFrom="margin">
                  <wp:align>left</wp:align>
                </wp:positionH>
                <wp:positionV relativeFrom="paragraph">
                  <wp:posOffset>1158611</wp:posOffset>
                </wp:positionV>
                <wp:extent cx="2698115" cy="2828925"/>
                <wp:effectExtent l="0" t="0" r="26035" b="28575"/>
                <wp:wrapSquare wrapText="bothSides"/>
                <wp:docPr id="62761664" name="Text Box 62761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8115" cy="2828925"/>
                        </a:xfrm>
                        <a:prstGeom prst="rect">
                          <a:avLst/>
                        </a:prstGeom>
                        <a:solidFill>
                          <a:srgbClr val="588B46">
                            <a:lumMod val="20000"/>
                            <a:lumOff val="80000"/>
                          </a:srgbClr>
                        </a:solidFill>
                        <a:ln w="9525">
                          <a:solidFill>
                            <a:srgbClr val="588B46">
                              <a:lumMod val="20000"/>
                              <a:lumOff val="80000"/>
                            </a:srgbClr>
                          </a:solidFill>
                          <a:miter lim="800000"/>
                          <a:headEnd/>
                          <a:tailEnd/>
                        </a:ln>
                      </wps:spPr>
                      <wps:txbx>
                        <w:txbxContent>
                          <w:p w14:paraId="61B4B865" w14:textId="77777777" w:rsidR="00FF2998" w:rsidRPr="008A5F96" w:rsidRDefault="00FF2998" w:rsidP="00FF2998">
                            <w:pPr>
                              <w:shd w:val="clear" w:color="auto" w:fill="DCEAD6"/>
                              <w:spacing w:after="120"/>
                              <w:rPr>
                                <w:b/>
                                <w:bCs/>
                                <w:color w:val="3B3B3C" w:themeColor="text1"/>
                                <w:sz w:val="21"/>
                                <w:szCs w:val="21"/>
                              </w:rPr>
                            </w:pPr>
                            <w:r w:rsidRPr="008A5F96">
                              <w:rPr>
                                <w:b/>
                                <w:bCs/>
                                <w:color w:val="3B3B3C" w:themeColor="text1"/>
                                <w:sz w:val="21"/>
                                <w:szCs w:val="21"/>
                              </w:rPr>
                              <w:t>Examples of Fleming Fund contribution to human capacity development</w:t>
                            </w:r>
                          </w:p>
                          <w:p w14:paraId="6D12D43A" w14:textId="49B7D890"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Fleming Fellows</w:t>
                            </w:r>
                            <w:r w:rsidRPr="008A5F96">
                              <w:rPr>
                                <w:color w:val="3B3B3C" w:themeColor="text1"/>
                                <w:sz w:val="21"/>
                                <w:szCs w:val="21"/>
                              </w:rPr>
                              <w:t>: Overall, our analysis confirms that professional fellowships contributed to increased human capacity in a majority of the focus countries</w:t>
                            </w:r>
                            <w:r w:rsidR="00E93137" w:rsidRPr="008A5F96">
                              <w:rPr>
                                <w:color w:val="3B3B3C" w:themeColor="text1"/>
                                <w:sz w:val="21"/>
                                <w:szCs w:val="21"/>
                              </w:rPr>
                              <w:t>.</w:t>
                            </w:r>
                            <w:r w:rsidRPr="008A5F96">
                              <w:rPr>
                                <w:color w:val="3B3B3C" w:themeColor="text1"/>
                                <w:sz w:val="21"/>
                                <w:szCs w:val="21"/>
                              </w:rPr>
                              <w:t xml:space="preserve"> Although it is not possible to unpick their exact contribution compared to other Fleming Fund grant schemes, 71% of Fellows (for whom data was available) self-reported significant improvements in their competency. </w:t>
                            </w:r>
                          </w:p>
                          <w:p w14:paraId="0664B799" w14:textId="3FA19EA4"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Regional Grants:</w:t>
                            </w:r>
                            <w:r w:rsidRPr="008A5F96">
                              <w:rPr>
                                <w:color w:val="3B3B3C" w:themeColor="text1"/>
                                <w:sz w:val="21"/>
                                <w:szCs w:val="21"/>
                              </w:rPr>
                              <w:t xml:space="preserve"> Fleming Fund contributed to improving the training of epidemiologists and microbiologists through its </w:t>
                            </w:r>
                            <w:r w:rsidR="00F66506">
                              <w:rPr>
                                <w:color w:val="3B3B3C" w:themeColor="text1"/>
                                <w:sz w:val="21"/>
                                <w:szCs w:val="21"/>
                              </w:rPr>
                              <w:t>RG</w:t>
                            </w:r>
                            <w:r w:rsidRPr="008A5F96">
                              <w:rPr>
                                <w:color w:val="3B3B3C" w:themeColor="text1"/>
                                <w:sz w:val="21"/>
                                <w:szCs w:val="21"/>
                              </w:rPr>
                              <w:t xml:space="preserve"> to ASLM which provided training in 14 African and two Asian countries.</w:t>
                            </w:r>
                            <w:r w:rsidRPr="008A5F96" w:rsidDel="007D2E99">
                              <w:rPr>
                                <w:color w:val="3B3B3C" w:themeColor="text1"/>
                                <w:sz w:val="21"/>
                                <w:szCs w:val="21"/>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FBEDEF" id="Text Box 62761664" o:spid="_x0000_s1033" type="#_x0000_t202" style="position:absolute;margin-left:0;margin-top:91.25pt;width:212.45pt;height:222.7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" fillcolor="#dcebd7" strokecolor="#dcebd7">
                <v:textbox>
                  <w:txbxContent>
                    <w:p w14:paraId="61B4B865" w14:textId="77777777" w:rsidR="00FF2998" w:rsidRPr="008A5F96" w:rsidRDefault="00FF2998" w:rsidP="00FF2998">
                      <w:pPr>
                        <w:shd w:val="clear" w:color="auto" w:fill="DCEAD6"/>
                        <w:spacing w:after="120"/>
                        <w:rPr>
                          <w:b/>
                          <w:bCs/>
                          <w:color w:val="3B3B3C" w:themeColor="text1"/>
                          <w:sz w:val="21"/>
                          <w:szCs w:val="21"/>
                        </w:rPr>
                      </w:pPr>
                      <w:r w:rsidRPr="008A5F96">
                        <w:rPr>
                          <w:b/>
                          <w:bCs/>
                          <w:color w:val="3B3B3C" w:themeColor="text1"/>
                          <w:sz w:val="21"/>
                          <w:szCs w:val="21"/>
                        </w:rPr>
                        <w:t>Examples of Fleming Fund contribution to human capacity development</w:t>
                      </w:r>
                    </w:p>
                    <w:p w14:paraId="6D12D43A" w14:textId="49B7D890"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Fleming Fellows</w:t>
                      </w:r>
                      <w:r w:rsidRPr="008A5F96">
                        <w:rPr>
                          <w:color w:val="3B3B3C" w:themeColor="text1"/>
                          <w:sz w:val="21"/>
                          <w:szCs w:val="21"/>
                        </w:rPr>
                        <w:t>: Overall, our analysis confirms that professional fellowships contributed to increased human capacity in a majority of the focus countries</w:t>
                      </w:r>
                      <w:r w:rsidR="00E93137" w:rsidRPr="008A5F96">
                        <w:rPr>
                          <w:color w:val="3B3B3C" w:themeColor="text1"/>
                          <w:sz w:val="21"/>
                          <w:szCs w:val="21"/>
                        </w:rPr>
                        <w:t>.</w:t>
                      </w:r>
                      <w:r w:rsidRPr="008A5F96">
                        <w:rPr>
                          <w:color w:val="3B3B3C" w:themeColor="text1"/>
                          <w:sz w:val="21"/>
                          <w:szCs w:val="21"/>
                        </w:rPr>
                        <w:t xml:space="preserve"> Although it is not possible to unpick their exact contribution compared to other Fleming Fund grant schemes, 71% of Fellows (for whom data was available) self-reported significant improvements in their competency. </w:t>
                      </w:r>
                    </w:p>
                    <w:p w14:paraId="0664B799" w14:textId="3FA19EA4" w:rsidR="00FF2998" w:rsidRPr="008A5F96" w:rsidRDefault="00FF2998" w:rsidP="00FF2998">
                      <w:pPr>
                        <w:shd w:val="clear" w:color="auto" w:fill="DCEAD6"/>
                        <w:spacing w:after="120"/>
                        <w:rPr>
                          <w:color w:val="3B3B3C" w:themeColor="text1"/>
                          <w:sz w:val="21"/>
                          <w:szCs w:val="21"/>
                        </w:rPr>
                      </w:pPr>
                      <w:r w:rsidRPr="008A5F96">
                        <w:rPr>
                          <w:b/>
                          <w:bCs/>
                          <w:color w:val="3B3B3C" w:themeColor="text1"/>
                          <w:sz w:val="21"/>
                          <w:szCs w:val="21"/>
                        </w:rPr>
                        <w:t>Regional Grants:</w:t>
                      </w:r>
                      <w:r w:rsidRPr="008A5F96">
                        <w:rPr>
                          <w:color w:val="3B3B3C" w:themeColor="text1"/>
                          <w:sz w:val="21"/>
                          <w:szCs w:val="21"/>
                        </w:rPr>
                        <w:t xml:space="preserve"> Fleming Fund contributed to improving the training of epidemiologists and microbiologists through its </w:t>
                      </w:r>
                      <w:r w:rsidR="00F66506">
                        <w:rPr>
                          <w:color w:val="3B3B3C" w:themeColor="text1"/>
                          <w:sz w:val="21"/>
                          <w:szCs w:val="21"/>
                        </w:rPr>
                        <w:t>RG</w:t>
                      </w:r>
                      <w:r w:rsidRPr="008A5F96">
                        <w:rPr>
                          <w:color w:val="3B3B3C" w:themeColor="text1"/>
                          <w:sz w:val="21"/>
                          <w:szCs w:val="21"/>
                        </w:rPr>
                        <w:t xml:space="preserve"> to ASLM which provided training in 14 African and two Asian countries.</w:t>
                      </w:r>
                      <w:r w:rsidRPr="008A5F96" w:rsidDel="007D2E99">
                        <w:rPr>
                          <w:color w:val="3B3B3C" w:themeColor="text1"/>
                          <w:sz w:val="21"/>
                          <w:szCs w:val="21"/>
                        </w:rPr>
                        <w:t xml:space="preserve"> </w:t>
                      </w:r>
                    </w:p>
                  </w:txbxContent>
                </v:textbox>
                <w10:wrap type="square" anchorx="margin"/>
              </v:shape>
            </w:pict>
          </mc:Fallback>
        </mc:AlternateContent>
      </w:r>
      <w:r w:rsidR="00FF2998" w:rsidRPr="000802B4">
        <w:rPr>
          <w:rFonts w:eastAsia="Calibri"/>
          <w:color w:val="3B3B3C"/>
        </w:rPr>
        <w:t>The Fleming Fund</w:t>
      </w:r>
      <w:r w:rsidR="00AA6A7B">
        <w:rPr>
          <w:rFonts w:eastAsia="Calibri"/>
          <w:color w:val="3B3B3C"/>
        </w:rPr>
        <w:t>’</w:t>
      </w:r>
      <w:r w:rsidR="00FF2998" w:rsidRPr="000802B4">
        <w:rPr>
          <w:rFonts w:eastAsia="Calibri"/>
          <w:color w:val="3B3B3C"/>
        </w:rPr>
        <w:t xml:space="preserve">s contribution to system-focused drivers (increases in </w:t>
      </w:r>
      <w:r w:rsidR="00DB134F" w:rsidRPr="000802B4">
        <w:rPr>
          <w:rFonts w:eastAsia="Calibri"/>
          <w:color w:val="3B3B3C"/>
        </w:rPr>
        <w:t xml:space="preserve">the </w:t>
      </w:r>
      <w:r w:rsidR="00FF2998" w:rsidRPr="000802B4">
        <w:rPr>
          <w:rFonts w:eastAsia="Calibri"/>
          <w:color w:val="3B3B3C"/>
        </w:rPr>
        <w:t>number of sites and number of pathogens tested) is relatively limited, when compared with the drivers described above</w:t>
      </w:r>
      <w:r w:rsidR="00FF2998" w:rsidRPr="008343D7">
        <w:rPr>
          <w:rFonts w:eastAsia="Calibri"/>
          <w:color w:val="3B3B3C"/>
        </w:rPr>
        <w:t>, given that decisions on the scope of country AMR surveillance were normally taken in the AMR NAPs or equivalent documents, to which the Fleming Fund had no input in most countries.</w:t>
      </w:r>
      <w:r w:rsidR="00FF2998" w:rsidRPr="008343D7">
        <w:rPr>
          <w:rFonts w:eastAsia="Calibri"/>
          <w:color w:val="3B3B3C"/>
          <w:sz w:val="20"/>
          <w:szCs w:val="20"/>
          <w:vertAlign w:val="superscript"/>
        </w:rPr>
        <w:footnoteReference w:id="89"/>
      </w:r>
      <w:r w:rsidR="00FF2998" w:rsidRPr="008343D7">
        <w:rPr>
          <w:rFonts w:eastAsia="Calibri"/>
          <w:color w:val="3B3B3C"/>
        </w:rPr>
        <w:t xml:space="preserve"> </w:t>
      </w:r>
      <w:r w:rsidR="005229B1">
        <w:rPr>
          <w:rFonts w:eastAsia="Calibri"/>
          <w:color w:val="3B3B3C"/>
        </w:rPr>
        <w:t>One should also</w:t>
      </w:r>
      <w:r w:rsidR="00FF2998" w:rsidRPr="008343D7">
        <w:rPr>
          <w:rFonts w:eastAsia="Calibri"/>
          <w:color w:val="3B3B3C"/>
        </w:rPr>
        <w:t xml:space="preserve"> note that the Fleming Fund supports a subset of surveillance sites in most countries (with a range of 38</w:t>
      </w:r>
      <w:r w:rsidR="005229B1">
        <w:rPr>
          <w:rFonts w:eastAsia="Calibri"/>
          <w:color w:val="3B3B3C"/>
        </w:rPr>
        <w:t>–</w:t>
      </w:r>
      <w:r w:rsidR="00FF2998" w:rsidRPr="008343D7">
        <w:rPr>
          <w:rFonts w:eastAsia="Calibri"/>
          <w:color w:val="3B3B3C"/>
        </w:rPr>
        <w:t>100% surveillance sites supported).</w:t>
      </w:r>
      <w:bookmarkEnd w:id="227"/>
      <w:r w:rsidR="00FF2998" w:rsidRPr="008343D7">
        <w:rPr>
          <w:rFonts w:eastAsia="Calibri"/>
          <w:color w:val="3B3B3C"/>
          <w:sz w:val="20"/>
          <w:szCs w:val="20"/>
          <w:vertAlign w:val="superscript"/>
        </w:rPr>
        <w:footnoteReference w:id="90"/>
      </w:r>
    </w:p>
    <w:p w14:paraId="416BEDD0" w14:textId="7C73BE2E" w:rsidR="00FF2998" w:rsidRPr="008343D7" w:rsidRDefault="00FF2998" w:rsidP="008A5F96">
      <w:pPr>
        <w:pStyle w:val="ItadH2Numbered"/>
      </w:pPr>
      <w:bookmarkStart w:id="229" w:name="_Ref129083432"/>
      <w:bookmarkStart w:id="230" w:name="_Toc144715813"/>
      <w:bookmarkEnd w:id="228"/>
      <w:r w:rsidRPr="008343D7">
        <w:t>Results from the use of data</w:t>
      </w:r>
      <w:bookmarkEnd w:id="229"/>
      <w:bookmarkEnd w:id="230"/>
    </w:p>
    <w:p w14:paraId="648F273E" w14:textId="523B4DFC" w:rsidR="00FF2998" w:rsidRPr="008343D7" w:rsidRDefault="00FF2998" w:rsidP="00512F37">
      <w:pPr>
        <w:pStyle w:val="ItadNormalText"/>
      </w:pPr>
      <w:bookmarkStart w:id="231" w:name="_Hlk129300728"/>
      <w:bookmarkStart w:id="232" w:name="_Hlk136462614"/>
      <w:r w:rsidRPr="008343D7">
        <w:t>In this section we explore whether data generated through the efforts described above has been used to inform decision</w:t>
      </w:r>
      <w:r w:rsidR="00E278CD">
        <w:t>-</w:t>
      </w:r>
      <w:r w:rsidRPr="008343D7">
        <w:t xml:space="preserve">making. We consider </w:t>
      </w:r>
      <w:r w:rsidR="00AA6A7B">
        <w:t>‘</w:t>
      </w:r>
      <w:r w:rsidRPr="008343D7">
        <w:t>data use</w:t>
      </w:r>
      <w:r w:rsidR="00AA6A7B">
        <w:t>’</w:t>
      </w:r>
      <w:r w:rsidRPr="008343D7">
        <w:t xml:space="preserve"> from a variety of perspectives in terms of </w:t>
      </w:r>
      <w:r w:rsidR="00512F37">
        <w:t>(</w:t>
      </w:r>
      <w:r w:rsidRPr="008343D7">
        <w:t xml:space="preserve">1) assorted forms of </w:t>
      </w:r>
      <w:r w:rsidR="00AA6A7B">
        <w:t>‘</w:t>
      </w:r>
      <w:r w:rsidRPr="008343D7">
        <w:t>data sharing</w:t>
      </w:r>
      <w:r w:rsidR="00AA6A7B">
        <w:t>’</w:t>
      </w:r>
      <w:r w:rsidRPr="008343D7">
        <w:t>;</w:t>
      </w:r>
      <w:r w:rsidRPr="008343D7">
        <w:rPr>
          <w:sz w:val="20"/>
          <w:szCs w:val="20"/>
          <w:vertAlign w:val="superscript"/>
        </w:rPr>
        <w:footnoteReference w:id="91"/>
      </w:r>
      <w:r w:rsidRPr="008343D7">
        <w:t xml:space="preserve"> </w:t>
      </w:r>
      <w:r w:rsidR="00512F37">
        <w:t>(</w:t>
      </w:r>
      <w:r w:rsidRPr="008343D7">
        <w:t xml:space="preserve">2) country </w:t>
      </w:r>
      <w:r w:rsidRPr="008343D7" w:rsidDel="00C8382F">
        <w:t>decision</w:t>
      </w:r>
      <w:r w:rsidR="00E278CD">
        <w:t>-</w:t>
      </w:r>
      <w:r w:rsidRPr="008343D7">
        <w:t>making, considering the extent to which data is used in relevant processes;</w:t>
      </w:r>
      <w:r w:rsidRPr="008343D7">
        <w:rPr>
          <w:sz w:val="20"/>
          <w:szCs w:val="20"/>
          <w:vertAlign w:val="superscript"/>
        </w:rPr>
        <w:footnoteReference w:id="92"/>
      </w:r>
      <w:r w:rsidRPr="008343D7">
        <w:t xml:space="preserve"> and </w:t>
      </w:r>
      <w:r w:rsidR="00512F37">
        <w:t>(</w:t>
      </w:r>
      <w:r w:rsidRPr="008343D7">
        <w:t xml:space="preserve">3) resulting national action and other country behaviour change, in line with our EQ and </w:t>
      </w:r>
      <w:r>
        <w:t xml:space="preserve">the </w:t>
      </w:r>
      <w:r w:rsidRPr="008343D7">
        <w:t>Fleming Fun</w:t>
      </w:r>
      <w:r>
        <w:t xml:space="preserve">d </w:t>
      </w:r>
      <w:proofErr w:type="spellStart"/>
      <w:r w:rsidRPr="008343D7">
        <w:t>ToC</w:t>
      </w:r>
      <w:r w:rsidR="00AA6A7B">
        <w:t>’</w:t>
      </w:r>
      <w:r>
        <w:t>s</w:t>
      </w:r>
      <w:proofErr w:type="spellEnd"/>
      <w:r w:rsidRPr="008343D7">
        <w:t xml:space="preserve"> emphasis on concrete change at the outcome level</w:t>
      </w:r>
      <w:r>
        <w:t xml:space="preserve"> (see </w:t>
      </w:r>
      <w:r w:rsidR="00803F81">
        <w:t>Vol. I</w:t>
      </w:r>
      <w:r>
        <w:t>I, Annex 18)</w:t>
      </w:r>
      <w:r w:rsidRPr="008343D7">
        <w:t xml:space="preserve">. We look specifically at three levels of </w:t>
      </w:r>
      <w:r w:rsidR="00AA6A7B">
        <w:t>‘</w:t>
      </w:r>
      <w:r w:rsidRPr="008343D7">
        <w:t>data use</w:t>
      </w:r>
      <w:r w:rsidR="00AA6A7B">
        <w:t>’</w:t>
      </w:r>
      <w:r w:rsidRPr="008343D7">
        <w:t xml:space="preserve"> – national,</w:t>
      </w:r>
      <w:r w:rsidRPr="008343D7">
        <w:rPr>
          <w:sz w:val="20"/>
          <w:szCs w:val="20"/>
          <w:vertAlign w:val="superscript"/>
        </w:rPr>
        <w:footnoteReference w:id="93"/>
      </w:r>
      <w:r w:rsidRPr="008343D7">
        <w:t xml:space="preserve"> international</w:t>
      </w:r>
      <w:r w:rsidRPr="008343D7">
        <w:rPr>
          <w:sz w:val="20"/>
          <w:szCs w:val="20"/>
          <w:vertAlign w:val="superscript"/>
        </w:rPr>
        <w:footnoteReference w:id="94"/>
      </w:r>
      <w:r w:rsidRPr="008343D7">
        <w:t xml:space="preserve"> and facility.</w:t>
      </w:r>
      <w:r w:rsidRPr="008343D7">
        <w:rPr>
          <w:sz w:val="20"/>
          <w:szCs w:val="20"/>
          <w:vertAlign w:val="superscript"/>
        </w:rPr>
        <w:footnoteReference w:id="95"/>
      </w:r>
    </w:p>
    <w:p w14:paraId="79F345D7" w14:textId="7F53D8A1" w:rsidR="00FF2998" w:rsidRDefault="00FF2998" w:rsidP="00512F37">
      <w:pPr>
        <w:pStyle w:val="ItadNormalText"/>
        <w:rPr>
          <w:rFonts w:cs="Calibri"/>
          <w:b/>
          <w:bCs/>
        </w:rPr>
      </w:pPr>
      <w:r w:rsidRPr="008343D7">
        <w:t xml:space="preserve">Data use is central to the overarching goals of the Fleming Fund policy; regulatory and other behavioural outcomes are ultimately the intended pathway for pursuing the reduced prevalence of AMR and associated morbidity and mortality. </w:t>
      </w:r>
      <w:r w:rsidRPr="008343D7">
        <w:rPr>
          <w:rFonts w:cs="Calibri"/>
        </w:rPr>
        <w:t xml:space="preserve">Given the low starting capacity of AMR surveillance systems in most Fleming Fund countries, the DHSC did not expect to see substantial use of AMR surveillance data during </w:t>
      </w:r>
      <w:r w:rsidR="00222C91">
        <w:rPr>
          <w:rFonts w:cs="Calibri"/>
        </w:rPr>
        <w:t>phase 1</w:t>
      </w:r>
      <w:r w:rsidRPr="008343D7">
        <w:rPr>
          <w:rFonts w:cs="Calibri"/>
        </w:rPr>
        <w:t xml:space="preserve">. It was expected that the actual use of data would advance only gradually over the third and fourth years of support to a country. Our evaluation </w:t>
      </w:r>
      <w:r>
        <w:rPr>
          <w:rFonts w:cs="Calibri"/>
        </w:rPr>
        <w:t xml:space="preserve">approach </w:t>
      </w:r>
      <w:r w:rsidRPr="008343D7">
        <w:rPr>
          <w:rFonts w:cs="Calibri"/>
        </w:rPr>
        <w:t xml:space="preserve">is </w:t>
      </w:r>
      <w:r>
        <w:rPr>
          <w:rFonts w:cs="Calibri"/>
        </w:rPr>
        <w:t xml:space="preserve">therefore </w:t>
      </w:r>
      <w:r w:rsidRPr="008343D7">
        <w:rPr>
          <w:rFonts w:cs="Calibri"/>
        </w:rPr>
        <w:t>more contingent and exploratory on questions of data use.</w:t>
      </w:r>
      <w:r w:rsidRPr="008343D7">
        <w:rPr>
          <w:rFonts w:cs="Calibri"/>
          <w:b/>
          <w:bCs/>
        </w:rPr>
        <w:t xml:space="preserve"> </w:t>
      </w:r>
      <w:r w:rsidRPr="008343D7">
        <w:rPr>
          <w:rFonts w:cs="Calibri"/>
        </w:rPr>
        <w:t xml:space="preserve">The use of AMR data was not well-defined in </w:t>
      </w:r>
      <w:r w:rsidR="00DB134F">
        <w:rPr>
          <w:rFonts w:cs="Calibri"/>
        </w:rPr>
        <w:t xml:space="preserve">the </w:t>
      </w:r>
      <w:r w:rsidRPr="008343D7">
        <w:rPr>
          <w:rFonts w:cs="Calibri"/>
        </w:rPr>
        <w:t>Fleming Fund monitoring architecture, and the basis for our evaluation is less firm because the Fleming Fund</w:t>
      </w:r>
      <w:r w:rsidR="00AA6A7B">
        <w:rPr>
          <w:rFonts w:cs="Calibri"/>
        </w:rPr>
        <w:t>’</w:t>
      </w:r>
      <w:r w:rsidRPr="008343D7">
        <w:rPr>
          <w:rFonts w:cs="Calibri"/>
        </w:rPr>
        <w:t xml:space="preserve">s articulation of intended use has evolved during </w:t>
      </w:r>
      <w:r w:rsidR="00222C91">
        <w:rPr>
          <w:rFonts w:cs="Calibri"/>
        </w:rPr>
        <w:t>phase 1</w:t>
      </w:r>
      <w:r w:rsidRPr="008343D7">
        <w:rPr>
          <w:rFonts w:cs="Calibri"/>
        </w:rPr>
        <w:t>. In addition, our EQ is partly predictive in nature, including seeking to assess prospects for future use of AMR surveillance data at the national level.</w:t>
      </w:r>
    </w:p>
    <w:p w14:paraId="705D9FC9" w14:textId="5B585FBD" w:rsidR="00B8279C" w:rsidRDefault="00FF2998" w:rsidP="00D8583D">
      <w:pPr>
        <w:pStyle w:val="ItadNormalText"/>
      </w:pPr>
      <w:r>
        <w:t xml:space="preserve">It is also important to appreciate that </w:t>
      </w:r>
      <w:r w:rsidRPr="008343D7">
        <w:t xml:space="preserve">assessment frameworks and performance indicators focused </w:t>
      </w:r>
      <w:r>
        <w:t>attention</w:t>
      </w:r>
      <w:r w:rsidRPr="008343D7">
        <w:t xml:space="preserve"> </w:t>
      </w:r>
      <w:r w:rsidR="00DB134F">
        <w:t>on</w:t>
      </w:r>
      <w:r w:rsidR="00CE2DA0">
        <w:t xml:space="preserve"> </w:t>
      </w:r>
      <w:r w:rsidRPr="008343D7">
        <w:t>the output level</w:t>
      </w:r>
      <w:r>
        <w:t xml:space="preserve"> of the grants</w:t>
      </w:r>
      <w:r w:rsidR="00CE2DA0">
        <w:t xml:space="preserve">; </w:t>
      </w:r>
      <w:r>
        <w:t>outcome</w:t>
      </w:r>
      <w:r w:rsidR="00D50F4C">
        <w:t>-</w:t>
      </w:r>
      <w:r>
        <w:t xml:space="preserve">level indicators and targets were not set at </w:t>
      </w:r>
      <w:r w:rsidR="00DB134F">
        <w:t xml:space="preserve">the </w:t>
      </w:r>
      <w:r>
        <w:t>country level, and formal systems to transparently assess progress towards outcomes at both country</w:t>
      </w:r>
      <w:r w:rsidR="00CE2DA0">
        <w:t>-</w:t>
      </w:r>
      <w:r>
        <w:t xml:space="preserve"> and programme</w:t>
      </w:r>
      <w:r w:rsidR="00CE2DA0">
        <w:t>-</w:t>
      </w:r>
      <w:r>
        <w:t>level were not in place</w:t>
      </w:r>
      <w:r w:rsidRPr="008343D7">
        <w:t>.</w:t>
      </w:r>
      <w:bookmarkEnd w:id="231"/>
    </w:p>
    <w:tbl>
      <w:tblPr>
        <w:tblW w:w="9493" w:type="dxa"/>
        <w:shd w:val="clear" w:color="auto" w:fill="F9E2D5"/>
        <w:tblLayout w:type="fixed"/>
        <w:tblLook w:val="04A0" w:firstRow="1" w:lastRow="0" w:firstColumn="1" w:lastColumn="0" w:noHBand="0" w:noVBand="1"/>
      </w:tblPr>
      <w:tblGrid>
        <w:gridCol w:w="9493"/>
      </w:tblGrid>
      <w:tr w:rsidR="00DB134F" w:rsidRPr="00DB134F" w14:paraId="20F6D247" w14:textId="77777777" w:rsidTr="0031067F">
        <w:trPr>
          <w:trHeight w:val="20"/>
        </w:trPr>
        <w:tc>
          <w:tcPr>
            <w:tcW w:w="9493" w:type="dxa"/>
            <w:shd w:val="clear" w:color="auto" w:fill="F9E2D5"/>
          </w:tcPr>
          <w:p w14:paraId="44F909B9" w14:textId="77777777" w:rsidR="00307D3E" w:rsidRPr="008A5F96" w:rsidRDefault="00307D3E" w:rsidP="00512F37">
            <w:pPr>
              <w:pStyle w:val="ItadNormalTextBold"/>
            </w:pPr>
            <w:bookmarkStart w:id="233" w:name="_Hlk136469366"/>
            <w:bookmarkEnd w:id="232"/>
            <w:r w:rsidRPr="008A5F96">
              <w:t>Key findings</w:t>
            </w:r>
          </w:p>
        </w:tc>
      </w:tr>
      <w:tr w:rsidR="00DB134F" w:rsidRPr="00DB134F" w14:paraId="36EB30B7" w14:textId="77777777" w:rsidTr="0031067F">
        <w:trPr>
          <w:trHeight w:val="20"/>
        </w:trPr>
        <w:tc>
          <w:tcPr>
            <w:tcW w:w="9493" w:type="dxa"/>
            <w:shd w:val="clear" w:color="auto" w:fill="F9E2D5"/>
          </w:tcPr>
          <w:p w14:paraId="367BC614" w14:textId="7B73EF40" w:rsidR="00B30B26" w:rsidRDefault="00D8583D" w:rsidP="00D8583D">
            <w:pPr>
              <w:pStyle w:val="FFBoxText"/>
            </w:pPr>
            <w:bookmarkStart w:id="234" w:name="_Toc144049369"/>
            <w:r w:rsidRPr="00E26A7A">
              <w:rPr>
                <w:color w:val="3FB84E"/>
              </w:rPr>
              <w:t>2.2.1</w:t>
            </w:r>
            <w:r>
              <w:tab/>
            </w:r>
            <w:r w:rsidR="00B30B26">
              <w:t>In</w:t>
            </w:r>
            <w:r w:rsidR="00307D3E" w:rsidRPr="00EE36B0">
              <w:t xml:space="preserve"> summary, for </w:t>
            </w:r>
            <w:r w:rsidR="00222C91" w:rsidRPr="00EE36B0">
              <w:t>phase 1</w:t>
            </w:r>
            <w:r w:rsidR="00307D3E" w:rsidRPr="00EE36B0">
              <w:t xml:space="preserve"> overall, there are initial indications that data from AMR surveillance systems are starting to be</w:t>
            </w:r>
            <w:r w:rsidR="00DC1D8D" w:rsidRPr="00EE36B0">
              <w:t xml:space="preserve"> </w:t>
            </w:r>
            <w:r w:rsidR="00307D3E" w:rsidRPr="00EE36B0">
              <w:t xml:space="preserve">collated and shared at </w:t>
            </w:r>
            <w:r w:rsidR="00A0170C" w:rsidRPr="00EE36B0">
              <w:t xml:space="preserve">the </w:t>
            </w:r>
            <w:r w:rsidR="00307D3E" w:rsidRPr="00EE36B0">
              <w:t>national level. However, progress has been slower than anticipated.</w:t>
            </w:r>
            <w:bookmarkEnd w:id="234"/>
          </w:p>
          <w:p w14:paraId="06652791" w14:textId="754F7BAE" w:rsidR="00D44C42" w:rsidRPr="00D44C42" w:rsidRDefault="00D8583D" w:rsidP="00D8583D">
            <w:pPr>
              <w:pStyle w:val="FFBoxText"/>
            </w:pPr>
            <w:bookmarkStart w:id="235" w:name="_Toc144049370"/>
            <w:r w:rsidRPr="00D8583D">
              <w:rPr>
                <w:color w:val="3FB84E"/>
              </w:rPr>
              <w:t>2.2.2</w:t>
            </w:r>
            <w:r>
              <w:tab/>
            </w:r>
            <w:r w:rsidR="00B30B26" w:rsidRPr="00C75B24">
              <w:t>At the national level,</w:t>
            </w:r>
            <w:r w:rsidR="00B30B26" w:rsidRPr="008A5F96">
              <w:t xml:space="preserve"> data sharing with relevant committees is happening in six of the 16 focus countries. Even where AMR/C/U data is not yet being </w:t>
            </w:r>
            <w:r w:rsidR="001E5C8B">
              <w:t xml:space="preserve">routinely </w:t>
            </w:r>
            <w:r w:rsidR="00B30B26" w:rsidRPr="008A5F96">
              <w:t>shared with relevant committees, some progress towards this goal has been realised in most countries.</w:t>
            </w:r>
            <w:r w:rsidR="00B30B26" w:rsidRPr="008A5F96" w:rsidDel="007D2E99">
              <w:t xml:space="preserve"> </w:t>
            </w:r>
            <w:r w:rsidR="00A667C7" w:rsidRPr="008A5F96">
              <w:t>Despite progress, Fleming Fund</w:t>
            </w:r>
            <w:r w:rsidR="00AA6A7B">
              <w:t>’</w:t>
            </w:r>
            <w:r w:rsidR="00A667C7" w:rsidRPr="008A5F96">
              <w:t>s performance on AMR data sharing</w:t>
            </w:r>
            <w:r w:rsidR="00A667C7" w:rsidRPr="00C75B24">
              <w:t xml:space="preserve"> at the national level</w:t>
            </w:r>
            <w:r w:rsidR="00A667C7" w:rsidRPr="008A5F96">
              <w:t xml:space="preserve"> falls short of the targets set out in the MA</w:t>
            </w:r>
            <w:r w:rsidR="00AA6A7B">
              <w:t>’</w:t>
            </w:r>
            <w:r w:rsidR="00A667C7" w:rsidRPr="008A5F96">
              <w:t>s implementation plan, although this assessment differs from MA reporting because it is undertaken on a different basis</w:t>
            </w:r>
            <w:r w:rsidR="00A667C7">
              <w:t xml:space="preserve">. </w:t>
            </w:r>
            <w:r w:rsidR="00A667C7" w:rsidRPr="00C75B24">
              <w:t>Despite progress with sharing, AMR surveillance data from laboratory AST is not yet playing a prominent role in relevant decision</w:t>
            </w:r>
            <w:r w:rsidR="00E278CD" w:rsidRPr="00C75B24">
              <w:t>-making</w:t>
            </w:r>
            <w:r w:rsidR="00A667C7" w:rsidRPr="00C75B24">
              <w:t xml:space="preserve"> at the national level. Some countries are taking action using different data.</w:t>
            </w:r>
            <w:bookmarkEnd w:id="235"/>
          </w:p>
          <w:p w14:paraId="08DE7E1D" w14:textId="71FB938C" w:rsidR="00D44C42" w:rsidRPr="00D44C42" w:rsidRDefault="00D8583D" w:rsidP="00D8583D">
            <w:pPr>
              <w:pStyle w:val="FFBoxText"/>
            </w:pPr>
            <w:bookmarkStart w:id="236" w:name="_Toc144049371"/>
            <w:r w:rsidRPr="00D8583D">
              <w:rPr>
                <w:color w:val="3FB84E"/>
              </w:rPr>
              <w:t>2.2.3</w:t>
            </w:r>
            <w:r>
              <w:tab/>
            </w:r>
            <w:r w:rsidR="002D6706" w:rsidRPr="008A5F96">
              <w:t xml:space="preserve">At the </w:t>
            </w:r>
            <w:r w:rsidR="002D6706" w:rsidRPr="00C75B24">
              <w:t>international level</w:t>
            </w:r>
            <w:r w:rsidR="002D6706" w:rsidRPr="008A5F96">
              <w:t xml:space="preserve">, for HH more AMR data has been made available, with nearly </w:t>
            </w:r>
            <w:r w:rsidR="007B50AD">
              <w:t>three quarters</w:t>
            </w:r>
            <w:r w:rsidR="002D6706" w:rsidRPr="008A5F96">
              <w:t xml:space="preserve"> of Fleming Fund countries sharing data to GLASS since 2018.</w:t>
            </w:r>
            <w:r w:rsidR="002D6706" w:rsidRPr="008A5F96" w:rsidDel="007D2E99">
              <w:t xml:space="preserve"> </w:t>
            </w:r>
            <w:r w:rsidR="00A667C7" w:rsidRPr="008A5F96">
              <w:t xml:space="preserve">In the AH sector: by May 2022, 14 out of 16 of the evaluation focus countries (88%) reported </w:t>
            </w:r>
            <w:r w:rsidR="00A667C7">
              <w:t xml:space="preserve">internationally </w:t>
            </w:r>
            <w:r w:rsidR="00A667C7" w:rsidRPr="008A5F96">
              <w:t>to WOAH, with a reduction in the number reporting the most basic level of data and an increase in the number providing more sophisticated data</w:t>
            </w:r>
            <w:r w:rsidR="00A667C7">
              <w:t>.</w:t>
            </w:r>
            <w:bookmarkStart w:id="237" w:name="_Hlk143864412"/>
            <w:bookmarkEnd w:id="236"/>
          </w:p>
          <w:p w14:paraId="23FD9FAD" w14:textId="278C6AC0" w:rsidR="00D44C42" w:rsidRPr="00C75B24" w:rsidRDefault="00D8583D" w:rsidP="00D8583D">
            <w:pPr>
              <w:pStyle w:val="FFBoxText"/>
            </w:pPr>
            <w:bookmarkStart w:id="238" w:name="_Toc144049372"/>
            <w:bookmarkEnd w:id="237"/>
            <w:r w:rsidRPr="00D8583D">
              <w:rPr>
                <w:color w:val="3FB84E"/>
              </w:rPr>
              <w:t>2.2.4</w:t>
            </w:r>
            <w:r>
              <w:tab/>
            </w:r>
            <w:r w:rsidR="002D6706" w:rsidRPr="008A5F96">
              <w:t xml:space="preserve">At the </w:t>
            </w:r>
            <w:r w:rsidR="002D6706" w:rsidRPr="00C75B24">
              <w:t>facility level</w:t>
            </w:r>
            <w:r w:rsidR="002D6706" w:rsidRPr="008A5F96">
              <w:t xml:space="preserve">, there is emergent evidence that Fleming Fund interventions are stimulating positive changes to practices and attitudes as clinicians and other stakeholders start to interact differently with improved </w:t>
            </w:r>
            <w:r w:rsidR="002D6706" w:rsidRPr="007D1B55">
              <w:t xml:space="preserve">laboratories. </w:t>
            </w:r>
            <w:r w:rsidR="00D427F7" w:rsidRPr="00EE36B0">
              <w:rPr>
                <w:lang w:eastAsia="en-US"/>
              </w:rPr>
              <w:t xml:space="preserve">Emergent evidence from this evaluation about facility-level changes is subject to methodological limitations. </w:t>
            </w:r>
            <w:r w:rsidR="00A667C7" w:rsidRPr="008A5F96">
              <w:t>Many examples across both HH and AH involved the use of AMC/U data rather than laboratory-derived AST data of the type prioritised in Fleming Fund phase 1</w:t>
            </w:r>
            <w:r w:rsidR="00A667C7">
              <w:t>.</w:t>
            </w:r>
            <w:bookmarkEnd w:id="238"/>
          </w:p>
          <w:p w14:paraId="5734B991" w14:textId="477080D4" w:rsidR="00D44C42" w:rsidRPr="00C75B24" w:rsidRDefault="00D8583D" w:rsidP="00D8583D">
            <w:pPr>
              <w:pStyle w:val="FFBoxText"/>
            </w:pPr>
            <w:bookmarkStart w:id="239" w:name="_Toc144049373"/>
            <w:r w:rsidRPr="00D8583D">
              <w:rPr>
                <w:color w:val="3FB84E"/>
              </w:rPr>
              <w:t>2.2.5</w:t>
            </w:r>
            <w:r w:rsidRPr="00D8583D">
              <w:rPr>
                <w:color w:val="3FB84E"/>
              </w:rPr>
              <w:tab/>
            </w:r>
            <w:r w:rsidR="002D6706" w:rsidRPr="008A5F96">
              <w:t xml:space="preserve">We have identified </w:t>
            </w:r>
            <w:r w:rsidR="002D6706">
              <w:t>several</w:t>
            </w:r>
            <w:r w:rsidR="002D6706" w:rsidRPr="008A5F96">
              <w:t xml:space="preserve"> factors that have driven examples of data sharing noted above.</w:t>
            </w:r>
            <w:r w:rsidR="002D6706" w:rsidRPr="008A5F96" w:rsidDel="007D2E99">
              <w:t xml:space="preserve"> </w:t>
            </w:r>
            <w:r w:rsidR="002D6706" w:rsidRPr="008A5F96">
              <w:t xml:space="preserve">For data sharing at </w:t>
            </w:r>
            <w:r w:rsidR="002D6706">
              <w:t xml:space="preserve">the </w:t>
            </w:r>
            <w:r w:rsidR="002D6706" w:rsidRPr="008A5F96">
              <w:t xml:space="preserve">national level these include increases in </w:t>
            </w:r>
            <w:r w:rsidR="002D6706">
              <w:t xml:space="preserve">the </w:t>
            </w:r>
            <w:r w:rsidR="002D6706" w:rsidRPr="008A5F96">
              <w:t>quantity of data, development of surveillance functions to link data to governance structures, and formal governance structures (albeit with important limitations observed)</w:t>
            </w:r>
            <w:r w:rsidR="002D6706">
              <w:t>.</w:t>
            </w:r>
            <w:bookmarkEnd w:id="239"/>
          </w:p>
          <w:p w14:paraId="5DF0F30A" w14:textId="6138A3E0" w:rsidR="00D44C42" w:rsidRPr="00C75B24" w:rsidRDefault="00D8583D" w:rsidP="00D8583D">
            <w:pPr>
              <w:pStyle w:val="FFBoxText"/>
            </w:pPr>
            <w:bookmarkStart w:id="240" w:name="_Toc144049374"/>
            <w:r w:rsidRPr="00D8583D">
              <w:rPr>
                <w:color w:val="3FB84E"/>
              </w:rPr>
              <w:t>2.2.6</w:t>
            </w:r>
            <w:r>
              <w:tab/>
            </w:r>
            <w:r w:rsidR="002D6706" w:rsidRPr="008A5F96">
              <w:t>A wider range of drivers are relevant to the actual use of data (i.e. beyond data sharing) at the national level, recognising the limits of surveillance data itself and the complexity of non-linear policy processes. Key drivers include the availability of other forms of information and broader conditions for prioritisation of AMR being in place</w:t>
            </w:r>
            <w:r w:rsidR="002D6706">
              <w:t>.</w:t>
            </w:r>
            <w:bookmarkEnd w:id="240"/>
          </w:p>
          <w:p w14:paraId="68D0A5E9" w14:textId="04204D45" w:rsidR="00D44C42" w:rsidRPr="00C75B24" w:rsidRDefault="00D8583D" w:rsidP="00D8583D">
            <w:pPr>
              <w:pStyle w:val="FFBoxText"/>
            </w:pPr>
            <w:bookmarkStart w:id="241" w:name="_Toc144049375"/>
            <w:r w:rsidRPr="00D8583D">
              <w:rPr>
                <w:color w:val="3FB84E"/>
              </w:rPr>
              <w:t>2.2.7</w:t>
            </w:r>
            <w:r>
              <w:tab/>
            </w:r>
            <w:r w:rsidR="00D44C42" w:rsidRPr="00C75B24">
              <w:t>Similar</w:t>
            </w:r>
            <w:r w:rsidR="002D6706" w:rsidRPr="008A5F96">
              <w:t xml:space="preserve"> drivers for data sharing at the international level were identified to those described at the national level – in terms of quantity of data and development of surveillance functions, with some differences in emphasis (e.g. governance structures</w:t>
            </w:r>
            <w:r w:rsidR="006D010D">
              <w:t xml:space="preserve"> were less important for international sharing</w:t>
            </w:r>
            <w:r w:rsidR="002D6706" w:rsidRPr="008A5F96">
              <w:t>)</w:t>
            </w:r>
            <w:r w:rsidR="002D6706">
              <w:t>.</w:t>
            </w:r>
            <w:bookmarkEnd w:id="241"/>
          </w:p>
          <w:p w14:paraId="7C0083DA" w14:textId="20865700" w:rsidR="00D44C42" w:rsidRPr="00C75B24" w:rsidRDefault="00D8583D" w:rsidP="00D8583D">
            <w:pPr>
              <w:pStyle w:val="FFBoxText"/>
            </w:pPr>
            <w:bookmarkStart w:id="242" w:name="_Toc144049376"/>
            <w:r w:rsidRPr="00D8583D">
              <w:rPr>
                <w:color w:val="3FB84E"/>
              </w:rPr>
              <w:t>2.2.8</w:t>
            </w:r>
            <w:r>
              <w:tab/>
            </w:r>
            <w:r w:rsidR="002D6706" w:rsidRPr="008A5F96">
              <w:t>Facility-level drivers are less clear so far, although there is some indication that</w:t>
            </w:r>
            <w:r w:rsidR="002D6706">
              <w:t xml:space="preserve"> an</w:t>
            </w:r>
            <w:r w:rsidR="002D6706" w:rsidRPr="008A5F96">
              <w:t xml:space="preserve"> increased quantity of data is important and clinical engagement feedback loops have the potential to drive use.</w:t>
            </w:r>
            <w:bookmarkEnd w:id="242"/>
          </w:p>
          <w:p w14:paraId="6449C7C2" w14:textId="26FBD3B8" w:rsidR="00D44C42" w:rsidRPr="00C75B24" w:rsidRDefault="00D8583D" w:rsidP="00D8583D">
            <w:pPr>
              <w:pStyle w:val="FFBoxText"/>
            </w:pPr>
            <w:r w:rsidRPr="00D8583D">
              <w:rPr>
                <w:color w:val="3FB84E"/>
              </w:rPr>
              <w:t>2.2.9</w:t>
            </w:r>
            <w:bookmarkStart w:id="243" w:name="_Toc144049377"/>
            <w:r>
              <w:tab/>
            </w:r>
            <w:r w:rsidR="00D44C42" w:rsidRPr="00C75B24">
              <w:t>The</w:t>
            </w:r>
            <w:r w:rsidR="002D6706" w:rsidRPr="008A5F96">
              <w:t xml:space="preserve"> Fleming Fund has made very substantial contributions to the main drivers of data sharing at the national level, primarily through CGs</w:t>
            </w:r>
            <w:r w:rsidR="00AA6A7B">
              <w:t>’</w:t>
            </w:r>
            <w:r w:rsidR="002D6706" w:rsidRPr="008A5F96">
              <w:t xml:space="preserve"> engagement with AMRCCs or equivalent committees</w:t>
            </w:r>
            <w:r w:rsidR="002D6706">
              <w:t>.</w:t>
            </w:r>
            <w:bookmarkEnd w:id="243"/>
          </w:p>
          <w:p w14:paraId="462A1A2D" w14:textId="23306EFA" w:rsidR="00D44C42" w:rsidRPr="00C75B24" w:rsidRDefault="00D8583D" w:rsidP="00D8583D">
            <w:pPr>
              <w:pStyle w:val="FFBoxText"/>
            </w:pPr>
            <w:bookmarkStart w:id="244" w:name="_Toc144049378"/>
            <w:r w:rsidRPr="00D8583D">
              <w:rPr>
                <w:color w:val="3FB84E"/>
              </w:rPr>
              <w:t>2.2.10</w:t>
            </w:r>
            <w:r>
              <w:tab/>
            </w:r>
            <w:r w:rsidR="00D44C42" w:rsidRPr="00C75B24">
              <w:t>Fleming</w:t>
            </w:r>
            <w:r w:rsidR="002D6706" w:rsidRPr="008A5F96">
              <w:t xml:space="preserve"> Fund</w:t>
            </w:r>
            <w:r w:rsidR="00AA6A7B">
              <w:t>’</w:t>
            </w:r>
            <w:r w:rsidR="002D6706" w:rsidRPr="008A5F96">
              <w:t>s approach in phase 1, especially emphasising One Health and Fellowships, has contributed positively to the prospects for data use.</w:t>
            </w:r>
            <w:r w:rsidR="002D6706" w:rsidRPr="008A5F96" w:rsidDel="007D2E99">
              <w:t xml:space="preserve"> </w:t>
            </w:r>
            <w:r w:rsidR="002D6706" w:rsidRPr="008A5F96">
              <w:t>However, limitations in the MA</w:t>
            </w:r>
            <w:r w:rsidR="00AA6A7B">
              <w:t>’</w:t>
            </w:r>
            <w:r w:rsidR="002D6706" w:rsidRPr="008A5F96">
              <w:t>s conceptual frameworks currently limit the prospects for Fleming Fund contributions to data use as part of a sustainable, aligned, country-owned approach.</w:t>
            </w:r>
            <w:r w:rsidR="002D6706" w:rsidRPr="008A5F96" w:rsidDel="007D2E99">
              <w:t xml:space="preserve"> </w:t>
            </w:r>
            <w:r w:rsidR="002D6706" w:rsidRPr="008A5F96">
              <w:t>As a result, the Fleming Fund has so far only made a limited contribution to advancing the prospects for sustainable country-owned data use</w:t>
            </w:r>
            <w:r w:rsidR="002D6706">
              <w:t>.</w:t>
            </w:r>
            <w:bookmarkEnd w:id="244"/>
          </w:p>
          <w:p w14:paraId="642F3216" w14:textId="5EE414DC" w:rsidR="00986306" w:rsidRDefault="00D8583D" w:rsidP="00D8583D">
            <w:pPr>
              <w:pStyle w:val="FFBoxText"/>
            </w:pPr>
            <w:bookmarkStart w:id="245" w:name="_Toc144049379"/>
            <w:r w:rsidRPr="00D8583D">
              <w:rPr>
                <w:color w:val="3FB84E"/>
              </w:rPr>
              <w:t>2.2.11</w:t>
            </w:r>
            <w:r w:rsidRPr="00D8583D">
              <w:rPr>
                <w:color w:val="3FB84E"/>
              </w:rPr>
              <w:tab/>
            </w:r>
            <w:r w:rsidR="00D44C42" w:rsidRPr="00C75B24">
              <w:t>For</w:t>
            </w:r>
            <w:r w:rsidR="002D6706" w:rsidRPr="008A5F96">
              <w:t xml:space="preserve"> changes in reporting to GLASS, the Fleming Fund has contributed to most but not all key drivers of data sharing in all countries, albeit with less significance than the Fleming Fund</w:t>
            </w:r>
            <w:r w:rsidR="00AA6A7B">
              <w:t>’</w:t>
            </w:r>
            <w:r w:rsidR="002D6706" w:rsidRPr="008A5F96">
              <w:t>s contribution to changes in data availability.</w:t>
            </w:r>
            <w:bookmarkEnd w:id="245"/>
          </w:p>
          <w:p w14:paraId="37EDBFFD" w14:textId="715C2E76" w:rsidR="00B30B26" w:rsidRPr="00C75B24" w:rsidRDefault="00D8583D" w:rsidP="00D8583D">
            <w:pPr>
              <w:pStyle w:val="FFBoxText"/>
            </w:pPr>
            <w:bookmarkStart w:id="246" w:name="_Toc144049380"/>
            <w:r w:rsidRPr="00D8583D">
              <w:rPr>
                <w:color w:val="3FB84E"/>
              </w:rPr>
              <w:t>2.2.12</w:t>
            </w:r>
            <w:r>
              <w:tab/>
            </w:r>
            <w:r w:rsidR="00986306" w:rsidRPr="008A5F96">
              <w:t>For reporting to WOAH, the Fleming Fund has contributed to some drivers of data sharing in some countries, with limited contribution understandable given that this was not an area of focus for phase 1</w:t>
            </w:r>
            <w:r w:rsidR="00986306">
              <w:t>.</w:t>
            </w:r>
            <w:bookmarkEnd w:id="246"/>
            <w:r w:rsidR="002D6706" w:rsidRPr="008A5F96" w:rsidDel="007D2E99">
              <w:t xml:space="preserve"> </w:t>
            </w:r>
          </w:p>
        </w:tc>
      </w:tr>
    </w:tbl>
    <w:p w14:paraId="7BC8EB59" w14:textId="77777777" w:rsidR="00FF2998" w:rsidRPr="008343D7" w:rsidRDefault="00FF2998" w:rsidP="00F7274E">
      <w:pPr>
        <w:pStyle w:val="ItadH3"/>
      </w:pPr>
      <w:bookmarkStart w:id="247" w:name="_Toc129349693"/>
      <w:bookmarkStart w:id="248" w:name="_Toc144715814"/>
      <w:bookmarkStart w:id="249" w:name="_Toc144049381"/>
      <w:bookmarkEnd w:id="233"/>
      <w:bookmarkEnd w:id="247"/>
      <w:r w:rsidRPr="008A5F96">
        <w:t>Data</w:t>
      </w:r>
      <w:r w:rsidRPr="008343D7">
        <w:t xml:space="preserve"> use baseline – the position in 2018</w:t>
      </w:r>
      <w:bookmarkEnd w:id="248"/>
      <w:r w:rsidRPr="008343D7">
        <w:t xml:space="preserve"> </w:t>
      </w:r>
      <w:bookmarkEnd w:id="249"/>
    </w:p>
    <w:p w14:paraId="65F9BB27" w14:textId="5240DF4C" w:rsidR="00FF2998" w:rsidRPr="008A5F96" w:rsidRDefault="00FF2998" w:rsidP="008A5F96">
      <w:pPr>
        <w:pStyle w:val="ItadNormalText"/>
        <w:rPr>
          <w:color w:val="3B3B3C" w:themeColor="text1"/>
        </w:rPr>
      </w:pPr>
      <w:bookmarkStart w:id="250" w:name="_Hlk136469967"/>
      <w:bookmarkStart w:id="251" w:name="_Hlk129301426"/>
      <w:r w:rsidRPr="006D010D">
        <w:rPr>
          <w:b/>
          <w:color w:val="3B3B3C" w:themeColor="text1"/>
        </w:rPr>
        <w:t xml:space="preserve">Data existed in-country in 2018, but AMR surveillance systems, even when </w:t>
      </w:r>
      <w:r w:rsidRPr="00CB167C">
        <w:rPr>
          <w:b/>
          <w:color w:val="3B3B3C" w:themeColor="text1"/>
        </w:rPr>
        <w:t>formally in place, were lacking in the sense of mobilising data for national decision-making purposes.</w:t>
      </w:r>
      <w:r w:rsidRPr="008A5F96">
        <w:rPr>
          <w:color w:val="3B3B3C" w:themeColor="text1"/>
        </w:rPr>
        <w:t xml:space="preserve"> At the second Call to Action event in 2018 in Accra, </w:t>
      </w:r>
      <w:r w:rsidR="0044387F">
        <w:t xml:space="preserve">a </w:t>
      </w:r>
      <w:r w:rsidR="00AA6A7B">
        <w:rPr>
          <w:color w:val="3B3B3C" w:themeColor="text1"/>
        </w:rPr>
        <w:t>‘</w:t>
      </w:r>
      <w:r w:rsidRPr="008A5F96">
        <w:rPr>
          <w:color w:val="3B3B3C" w:themeColor="text1"/>
        </w:rPr>
        <w:t>lack of data</w:t>
      </w:r>
      <w:r w:rsidR="00AA6A7B">
        <w:rPr>
          <w:color w:val="3B3B3C" w:themeColor="text1"/>
        </w:rPr>
        <w:t>’</w:t>
      </w:r>
      <w:r w:rsidRPr="008A5F96">
        <w:rPr>
          <w:color w:val="3B3B3C" w:themeColor="text1"/>
        </w:rPr>
        <w:t xml:space="preserve"> was identified as a major constraint to the optimised use of antimicrobials. Implicit was the assumption that this gap would be filled through </w:t>
      </w:r>
      <w:r w:rsidR="0044387F">
        <w:t xml:space="preserve">the </w:t>
      </w:r>
      <w:r w:rsidRPr="008A5F96">
        <w:rPr>
          <w:color w:val="3B3B3C" w:themeColor="text1"/>
        </w:rPr>
        <w:t>development of effective surveillance systems. In practice, in 2018, a significant challenge was the lack of common understanding of what constitutes a country</w:t>
      </w:r>
      <w:r w:rsidR="00AA6A7B">
        <w:rPr>
          <w:color w:val="3B3B3C" w:themeColor="text1"/>
        </w:rPr>
        <w:t>’</w:t>
      </w:r>
      <w:r w:rsidRPr="008A5F96">
        <w:rPr>
          <w:color w:val="3B3B3C" w:themeColor="text1"/>
        </w:rPr>
        <w:t xml:space="preserve">s surveillance system across stakeholders and agreement on what data the surveillance system should prioritise </w:t>
      </w:r>
      <w:r w:rsidR="0044387F">
        <w:t xml:space="preserve">the </w:t>
      </w:r>
      <w:r w:rsidRPr="008A5F96">
        <w:rPr>
          <w:color w:val="3B3B3C" w:themeColor="text1"/>
        </w:rPr>
        <w:t xml:space="preserve">collection of (see </w:t>
      </w:r>
      <w:r w:rsidR="00D442A5">
        <w:rPr>
          <w:color w:val="3B3B3C" w:themeColor="text1"/>
        </w:rPr>
        <w:fldChar w:fldCharType="begin"/>
      </w:r>
      <w:r w:rsidR="00D442A5">
        <w:rPr>
          <w:color w:val="3B3B3C" w:themeColor="text1"/>
        </w:rPr>
        <w:instrText xml:space="preserve"> REF _Ref144719903 \h </w:instrText>
      </w:r>
      <w:r w:rsidR="00D442A5">
        <w:rPr>
          <w:color w:val="3B3B3C" w:themeColor="text1"/>
        </w:rPr>
      </w:r>
      <w:r w:rsidR="00D442A5">
        <w:rPr>
          <w:color w:val="3B3B3C" w:themeColor="text1"/>
        </w:rPr>
        <w:fldChar w:fldCharType="separate"/>
      </w:r>
      <w:r w:rsidR="00076E67">
        <w:t xml:space="preserve">Box </w:t>
      </w:r>
      <w:r w:rsidR="00076E67">
        <w:rPr>
          <w:noProof/>
        </w:rPr>
        <w:t>1</w:t>
      </w:r>
      <w:r w:rsidR="00D442A5">
        <w:rPr>
          <w:color w:val="3B3B3C" w:themeColor="text1"/>
        </w:rPr>
        <w:fldChar w:fldCharType="end"/>
      </w:r>
      <w:r w:rsidR="00D442A5">
        <w:rPr>
          <w:color w:val="3B3B3C" w:themeColor="text1"/>
        </w:rPr>
        <w:t xml:space="preserve"> </w:t>
      </w:r>
      <w:r w:rsidRPr="008A5F96">
        <w:rPr>
          <w:color w:val="3B3B3C" w:themeColor="text1"/>
        </w:rPr>
        <w:t>discussion of this).</w:t>
      </w:r>
      <w:r w:rsidR="00DC1D8D" w:rsidRPr="008A5F96">
        <w:rPr>
          <w:color w:val="3B3B3C" w:themeColor="text1"/>
        </w:rPr>
        <w:t xml:space="preserve"> </w:t>
      </w:r>
      <w:r w:rsidR="00AC26BD">
        <w:t xml:space="preserve">A </w:t>
      </w:r>
      <w:r w:rsidR="00AC26BD" w:rsidRPr="00FF565D">
        <w:rPr>
          <w:rFonts w:eastAsia="Times New Roman"/>
          <w:lang w:eastAsia="en-GB"/>
        </w:rPr>
        <w:t>review</w:t>
      </w:r>
      <w:r w:rsidRPr="008A5F96">
        <w:rPr>
          <w:rFonts w:eastAsia="Times New Roman"/>
          <w:color w:val="3B3B3C" w:themeColor="text1"/>
          <w:lang w:eastAsia="en-GB"/>
        </w:rPr>
        <w:t xml:space="preserve"> of NAP documents showed that the surveillance system and how it was expected to develop was not well specified in these documents.</w:t>
      </w:r>
      <w:r w:rsidR="00DC1D8D" w:rsidRPr="008A5F96">
        <w:rPr>
          <w:rFonts w:eastAsia="Times New Roman"/>
          <w:color w:val="3B3B3C" w:themeColor="text1"/>
          <w:lang w:eastAsia="en-GB"/>
        </w:rPr>
        <w:t xml:space="preserve"> </w:t>
      </w:r>
      <w:r w:rsidRPr="008A5F96">
        <w:rPr>
          <w:rFonts w:eastAsia="Times New Roman"/>
          <w:color w:val="3B3B3C" w:themeColor="text1"/>
          <w:lang w:eastAsia="en-GB"/>
        </w:rPr>
        <w:t>Even if formally in place, KIIs revealed significant differences in opinion between in-country stakeholders on which facilities were and were not within the surveillance system and should be prioritised for capacity development.</w:t>
      </w:r>
      <w:r w:rsidR="00DC1D8D" w:rsidRPr="008A5F96">
        <w:rPr>
          <w:rFonts w:eastAsia="Times New Roman"/>
          <w:color w:val="3B3B3C" w:themeColor="text1"/>
          <w:lang w:eastAsia="en-GB"/>
        </w:rPr>
        <w:t xml:space="preserve"> </w:t>
      </w:r>
      <w:r w:rsidRPr="008A5F96">
        <w:rPr>
          <w:rFonts w:eastAsia="Times New Roman"/>
          <w:color w:val="3B3B3C" w:themeColor="text1"/>
          <w:lang w:eastAsia="en-GB"/>
        </w:rPr>
        <w:t>Agreement on what data the systems were expected to collect</w:t>
      </w:r>
      <w:r w:rsidR="0042546B">
        <w:rPr>
          <w:rFonts w:eastAsia="Times New Roman"/>
          <w:color w:val="3B3B3C" w:themeColor="text1"/>
          <w:lang w:eastAsia="en-GB"/>
        </w:rPr>
        <w:t>,</w:t>
      </w:r>
      <w:r w:rsidRPr="008A5F96">
        <w:rPr>
          <w:rFonts w:eastAsia="Times New Roman"/>
          <w:color w:val="3B3B3C" w:themeColor="text1"/>
          <w:lang w:eastAsia="en-GB"/>
        </w:rPr>
        <w:t xml:space="preserve"> and hence implications for what needed to be in place</w:t>
      </w:r>
      <w:r w:rsidR="0042546B">
        <w:rPr>
          <w:rFonts w:eastAsia="Times New Roman"/>
          <w:color w:val="3B3B3C" w:themeColor="text1"/>
          <w:lang w:eastAsia="en-GB"/>
        </w:rPr>
        <w:t>,</w:t>
      </w:r>
      <w:r w:rsidRPr="008A5F96">
        <w:rPr>
          <w:rFonts w:eastAsia="Times New Roman"/>
          <w:color w:val="3B3B3C" w:themeColor="text1"/>
          <w:lang w:eastAsia="en-GB"/>
        </w:rPr>
        <w:t xml:space="preserve"> had also not been thoroughly discussed and agreed</w:t>
      </w:r>
      <w:r w:rsidR="00CF2070">
        <w:rPr>
          <w:rFonts w:eastAsia="Times New Roman"/>
          <w:lang w:eastAsia="en-GB"/>
        </w:rPr>
        <w:t xml:space="preserve"> upon</w:t>
      </w:r>
      <w:r w:rsidRPr="008A5F96">
        <w:rPr>
          <w:rFonts w:eastAsia="Times New Roman"/>
          <w:color w:val="3B3B3C" w:themeColor="text1"/>
          <w:lang w:eastAsia="en-GB"/>
        </w:rPr>
        <w:t>. Irrespective of whether formal surveillance systems were, or were not, in place, across all 16 focus countries a system to regularly and systematically collate quality</w:t>
      </w:r>
      <w:r w:rsidR="0044387F">
        <w:rPr>
          <w:rFonts w:eastAsia="Times New Roman"/>
          <w:lang w:eastAsia="en-GB"/>
        </w:rPr>
        <w:t>-</w:t>
      </w:r>
      <w:r w:rsidRPr="008A5F96">
        <w:rPr>
          <w:rFonts w:eastAsia="Times New Roman"/>
          <w:color w:val="3B3B3C" w:themeColor="text1"/>
          <w:lang w:eastAsia="en-GB"/>
        </w:rPr>
        <w:t xml:space="preserve">assured AST, and other, data needed for strong analysis was not in place </w:t>
      </w:r>
      <w:r w:rsidRPr="008A5F96">
        <w:rPr>
          <w:color w:val="3B3B3C" w:themeColor="text1"/>
        </w:rPr>
        <w:t>for use at the national level</w:t>
      </w:r>
      <w:r w:rsidRPr="008A5F96">
        <w:rPr>
          <w:rFonts w:eastAsia="Times New Roman"/>
          <w:color w:val="3B3B3C" w:themeColor="text1"/>
          <w:lang w:eastAsia="en-GB"/>
        </w:rPr>
        <w:t xml:space="preserve"> in most countries.</w:t>
      </w:r>
      <w:r w:rsidRPr="008A5F96">
        <w:rPr>
          <w:color w:val="3B3B3C" w:themeColor="text1"/>
        </w:rPr>
        <w:t xml:space="preserve"> The Fleming Fund did not attempt to directly address these ambiguities, but rather accepted them as the then working context that would be addressed through strengthened governance.</w:t>
      </w:r>
    </w:p>
    <w:p w14:paraId="388DB0E4" w14:textId="48EE8625" w:rsidR="00FF2998" w:rsidRPr="008A5F96" w:rsidRDefault="00FF2998" w:rsidP="0042546B">
      <w:pPr>
        <w:pStyle w:val="ItadNormalText"/>
      </w:pPr>
      <w:bookmarkStart w:id="252" w:name="_Hlk136470077"/>
      <w:bookmarkEnd w:id="250"/>
      <w:r w:rsidRPr="0042546B">
        <w:rPr>
          <w:b/>
          <w:bCs/>
        </w:rPr>
        <w:t>Governance issues in the form of NAP implementation challenges were recognised by the Fleming Fund as crucial contexts for surveillance efforts and associated data use</w:t>
      </w:r>
      <w:r w:rsidRPr="008A5F96">
        <w:t>. As noted above (</w:t>
      </w:r>
      <w:r w:rsidR="00315740">
        <w:t>section 2.1)</w:t>
      </w:r>
      <w:r w:rsidRPr="008A5F96">
        <w:t xml:space="preserve">, most Fleming Fund countries had developed NAPs by 2018; but attention internationally had already started to shift to their implementation challenges (including considerations of </w:t>
      </w:r>
      <w:r w:rsidR="00AA6A7B">
        <w:t>‘</w:t>
      </w:r>
      <w:r w:rsidRPr="008A5F96">
        <w:t>political will</w:t>
      </w:r>
      <w:r w:rsidR="00AA6A7B">
        <w:t>’</w:t>
      </w:r>
      <w:r w:rsidRPr="008A5F96">
        <w:t>, financing, coordination</w:t>
      </w:r>
      <w:r w:rsidR="00DF79AD">
        <w:t>,</w:t>
      </w:r>
      <w:r w:rsidRPr="008A5F96">
        <w:t xml:space="preserve"> and technical capacity as well as data).</w:t>
      </w:r>
      <w:r w:rsidRPr="008A5F96">
        <w:rPr>
          <w:sz w:val="20"/>
          <w:szCs w:val="20"/>
          <w:vertAlign w:val="superscript"/>
        </w:rPr>
        <w:footnoteReference w:id="96"/>
      </w:r>
      <w:r w:rsidRPr="008A5F96">
        <w:t xml:space="preserve"> The Fleming Fund 2019 Annual Review emphasised that </w:t>
      </w:r>
      <w:r w:rsidR="00AA6A7B">
        <w:t>‘</w:t>
      </w:r>
      <w:r w:rsidRPr="008A5F96">
        <w:t>we are unlikely to see evidence of the use of AMR analysis/data at a country level before 2021</w:t>
      </w:r>
      <w:r w:rsidR="00AA6A7B">
        <w:t>’</w:t>
      </w:r>
      <w:r w:rsidRPr="008A5F96">
        <w:t>; although some specific examples of intended/emergent use were identified, especially in HH.</w:t>
      </w:r>
      <w:r w:rsidRPr="008A5F96">
        <w:rPr>
          <w:sz w:val="20"/>
          <w:szCs w:val="20"/>
          <w:vertAlign w:val="superscript"/>
        </w:rPr>
        <w:footnoteReference w:id="97"/>
      </w:r>
    </w:p>
    <w:p w14:paraId="2EC7FFFC" w14:textId="4C427B23" w:rsidR="00FF2998" w:rsidRPr="008A5F96" w:rsidRDefault="4BD3A707" w:rsidP="0042546B">
      <w:pPr>
        <w:pStyle w:val="ItadNormalText"/>
      </w:pPr>
      <w:bookmarkStart w:id="253" w:name="_Hlk136470161"/>
      <w:bookmarkEnd w:id="252"/>
      <w:r w:rsidRPr="4EF651D4">
        <w:rPr>
          <w:b/>
          <w:bCs/>
        </w:rPr>
        <w:t>In 2018, evidence suggested a willingness of some governments to act but there was no track record of acting in response to AMR analysis drawing on data from their own surveillance system.</w:t>
      </w:r>
      <w:r>
        <w:t xml:space="preserve"> KIIs identified that some countries had started to take national action on AMR by the start of </w:t>
      </w:r>
      <w:r w:rsidR="2658EF50">
        <w:t>phase 1</w:t>
      </w:r>
      <w:r>
        <w:t>, notably on import regulations in the AH sector  but driven by international initiatives. Thus showing that action might be take</w:t>
      </w:r>
      <w:r w:rsidR="73829203">
        <w:t>n</w:t>
      </w:r>
      <w:r>
        <w:t xml:space="preserve">. But there were no examples yet of </w:t>
      </w:r>
      <w:bookmarkStart w:id="254" w:name="_Hlk128406900"/>
      <w:r>
        <w:t xml:space="preserve">AMR analysis drawing on data from a surveillance system </w:t>
      </w:r>
      <w:bookmarkEnd w:id="254"/>
      <w:r>
        <w:t>influencing any change in national policy/</w:t>
      </w:r>
      <w:r w:rsidR="79BC3DDE">
        <w:t xml:space="preserve"> </w:t>
      </w:r>
      <w:r>
        <w:t>regulation or practice and attitude in</w:t>
      </w:r>
      <w:r w:rsidR="37988872">
        <w:t>-</w:t>
      </w:r>
      <w:r>
        <w:t xml:space="preserve">country. It was anticipated that any such results would be difficult to achieve during </w:t>
      </w:r>
      <w:r w:rsidR="2658EF50">
        <w:t>phase 1</w:t>
      </w:r>
      <w:r>
        <w:t>.</w:t>
      </w:r>
    </w:p>
    <w:p w14:paraId="49B42244" w14:textId="2D7AC84E" w:rsidR="00FF2998" w:rsidRPr="008A5F96" w:rsidRDefault="4BD3A707" w:rsidP="0042546B">
      <w:pPr>
        <w:pStyle w:val="ItadNormalText"/>
      </w:pPr>
      <w:bookmarkStart w:id="255" w:name="_Hlk136470244"/>
      <w:bookmarkEnd w:id="253"/>
      <w:r w:rsidRPr="0042546B">
        <w:rPr>
          <w:b/>
          <w:bCs/>
        </w:rPr>
        <w:t>The gap in terms of collating AMR evidence for national use was echoed in international reporting, at least for HH (although better in AH).</w:t>
      </w:r>
      <w:r w:rsidRPr="008A5F96">
        <w:t xml:space="preserve"> In 2018, only </w:t>
      </w:r>
      <w:r w:rsidR="79BC3DDE" w:rsidRPr="008A5F96">
        <w:t xml:space="preserve">one </w:t>
      </w:r>
      <w:r w:rsidR="651648D6">
        <w:t xml:space="preserve"> </w:t>
      </w:r>
      <w:r w:rsidRPr="008A5F96">
        <w:t>of the 16 countries (6%) reported some HH AMR data to GLASS,</w:t>
      </w:r>
      <w:r w:rsidR="00FF2998" w:rsidRPr="008A5F96">
        <w:rPr>
          <w:sz w:val="20"/>
          <w:szCs w:val="20"/>
          <w:vertAlign w:val="superscript"/>
        </w:rPr>
        <w:footnoteReference w:id="98"/>
      </w:r>
      <w:r w:rsidRPr="008A5F96">
        <w:t xml:space="preserve"> despite our finding that relevant HH data existed in all 16 countries.</w:t>
      </w:r>
      <w:r w:rsidR="46C0A282" w:rsidRPr="008A5F96">
        <w:t xml:space="preserve"> </w:t>
      </w:r>
      <w:r w:rsidRPr="008A5F96">
        <w:t xml:space="preserve">A further four out of 16 </w:t>
      </w:r>
      <w:r w:rsidRPr="00D00EC5">
        <w:t>countries (25%) provided information about the status of their surveillance systems.</w:t>
      </w:r>
      <w:r w:rsidRPr="00D00EC5" w:rsidDel="007D2E99">
        <w:t xml:space="preserve"> </w:t>
      </w:r>
      <w:r w:rsidR="0698403F" w:rsidRPr="00D00EC5">
        <w:t xml:space="preserve">See Annex 8.1, </w:t>
      </w:r>
      <w:r w:rsidR="12EABA28" w:rsidRPr="00D00EC5">
        <w:t>Table</w:t>
      </w:r>
      <w:r w:rsidR="0698403F" w:rsidRPr="00D00EC5">
        <w:t xml:space="preserve"> 2</w:t>
      </w:r>
      <w:r w:rsidR="62CFD517" w:rsidRPr="00D00EC5">
        <w:t>9</w:t>
      </w:r>
      <w:r w:rsidR="0698403F" w:rsidRPr="00D00EC5">
        <w:t xml:space="preserve"> for details. </w:t>
      </w:r>
      <w:r w:rsidRPr="00D00EC5">
        <w:t>For AH, AMR data are not collated internationally, but WOAH (formerly OIE</w:t>
      </w:r>
      <w:r w:rsidR="00FF2998" w:rsidRPr="00D00EC5">
        <w:rPr>
          <w:rStyle w:val="FootnoteReference"/>
          <w:rFonts w:eastAsia="Calibri"/>
          <w:color w:val="3B3B3C" w:themeColor="text1"/>
        </w:rPr>
        <w:footnoteReference w:id="99"/>
      </w:r>
      <w:r w:rsidRPr="00D00EC5">
        <w:t>) collates the reporting</w:t>
      </w:r>
      <w:r w:rsidRPr="008A5F96">
        <w:t xml:space="preserve"> of AMU.</w:t>
      </w:r>
      <w:r w:rsidR="46C0A282" w:rsidRPr="008A5F96">
        <w:t xml:space="preserve"> </w:t>
      </w:r>
      <w:r w:rsidRPr="008A5F96">
        <w:t>Evidence reported by countries to WOAH is confidential</w:t>
      </w:r>
      <w:r w:rsidR="00FF2998" w:rsidRPr="008A5F96">
        <w:rPr>
          <w:sz w:val="20"/>
          <w:szCs w:val="20"/>
          <w:vertAlign w:val="superscript"/>
        </w:rPr>
        <w:footnoteReference w:id="100"/>
      </w:r>
      <w:r w:rsidRPr="008A5F96">
        <w:t xml:space="preserve"> (commercially sensitive)</w:t>
      </w:r>
      <w:r w:rsidR="73829203">
        <w:t>,</w:t>
      </w:r>
      <w:r w:rsidRPr="008A5F96">
        <w:t xml:space="preserve"> not reported by country in WOAH compilations and can be difficult to obtain from countries.</w:t>
      </w:r>
      <w:r w:rsidR="46C0A282" w:rsidRPr="008A5F96">
        <w:t xml:space="preserve"> </w:t>
      </w:r>
      <w:r w:rsidRPr="008A5F96">
        <w:t xml:space="preserve">Nevertheless, our understanding </w:t>
      </w:r>
      <w:r w:rsidR="79BC3DDE">
        <w:t>data</w:t>
      </w:r>
      <w:r w:rsidR="79BC3DDE" w:rsidRPr="008A5F96">
        <w:t xml:space="preserve"> </w:t>
      </w:r>
      <w:r w:rsidR="79BC3DDE">
        <w:t>supplied by</w:t>
      </w:r>
      <w:r w:rsidR="2551E18B">
        <w:t xml:space="preserve"> WOAH</w:t>
      </w:r>
      <w:r w:rsidR="0698403F">
        <w:t xml:space="preserve"> </w:t>
      </w:r>
      <w:r w:rsidRPr="008A5F96">
        <w:t>is that in 2018, 19</w:t>
      </w:r>
      <w:r w:rsidR="5534417F">
        <w:t xml:space="preserve"> out of </w:t>
      </w:r>
      <w:r w:rsidR="5534417F" w:rsidRPr="001C1ADF">
        <w:t xml:space="preserve">the </w:t>
      </w:r>
      <w:r w:rsidRPr="008A5F96">
        <w:t xml:space="preserve">23 </w:t>
      </w:r>
      <w:r w:rsidR="5534417F" w:rsidRPr="001C1ADF">
        <w:t>Fleming Fund countries</w:t>
      </w:r>
      <w:r w:rsidR="5534417F">
        <w:t xml:space="preserve"> </w:t>
      </w:r>
      <w:r w:rsidRPr="008A5F96">
        <w:t>(82%) reported to WOAH using one of three reporting options.</w:t>
      </w:r>
      <w:r w:rsidR="00FF2998" w:rsidRPr="008A5F96">
        <w:rPr>
          <w:vertAlign w:val="superscript"/>
        </w:rPr>
        <w:footnoteReference w:id="101"/>
      </w:r>
    </w:p>
    <w:bookmarkEnd w:id="255"/>
    <w:p w14:paraId="1E935BA1" w14:textId="22CC6D2F" w:rsidR="00FF2998" w:rsidRPr="008A5F96" w:rsidRDefault="00FF2998" w:rsidP="0042546B">
      <w:pPr>
        <w:pStyle w:val="ItadNormalText"/>
      </w:pPr>
      <w:r w:rsidRPr="008A5F96">
        <w:rPr>
          <w:b/>
          <w:bCs/>
        </w:rPr>
        <w:t xml:space="preserve">No baseline is available for facility-level data use in 2018 to enhance clinical practice. </w:t>
      </w:r>
      <w:r w:rsidRPr="008A5F96">
        <w:t>The use of data for decision</w:t>
      </w:r>
      <w:r w:rsidR="00E278CD">
        <w:t>-</w:t>
      </w:r>
      <w:r w:rsidRPr="008A5F96">
        <w:t xml:space="preserve">making at the facility level, especially in terms of the potential impact on clinical practice, was understood to be relevant from the outset of </w:t>
      </w:r>
      <w:r w:rsidR="00222C91" w:rsidRPr="008A5F96">
        <w:t>phase 1</w:t>
      </w:r>
      <w:r w:rsidRPr="008A5F96">
        <w:t>.</w:t>
      </w:r>
      <w:r w:rsidRPr="008A5F96">
        <w:rPr>
          <w:sz w:val="20"/>
          <w:szCs w:val="20"/>
          <w:vertAlign w:val="superscript"/>
        </w:rPr>
        <w:footnoteReference w:id="102"/>
      </w:r>
      <w:r w:rsidRPr="008A5F96">
        <w:t xml:space="preserve"> However</w:t>
      </w:r>
      <w:r w:rsidR="0042546B">
        <w:t>,</w:t>
      </w:r>
      <w:r w:rsidRPr="008A5F96">
        <w:t xml:space="preserve"> no information was gathered to set a baseline at this level through either of the two main causal pathways – directly through treatment of an individual patient or through revision of the treatment guidelines issued nationally.</w:t>
      </w:r>
    </w:p>
    <w:p w14:paraId="162EE990" w14:textId="77777777" w:rsidR="00FF2998" w:rsidRPr="008343D7" w:rsidRDefault="00FF2998" w:rsidP="008B22DD">
      <w:pPr>
        <w:pStyle w:val="ItadH3"/>
      </w:pPr>
      <w:bookmarkStart w:id="256" w:name="_Toc144049382"/>
      <w:bookmarkStart w:id="257" w:name="_Toc144715815"/>
      <w:bookmarkEnd w:id="251"/>
      <w:r w:rsidRPr="008343D7">
        <w:t>Changes in data use at national, international and local levels</w:t>
      </w:r>
      <w:bookmarkEnd w:id="256"/>
      <w:bookmarkEnd w:id="257"/>
    </w:p>
    <w:p w14:paraId="20C2E406" w14:textId="4F53518E" w:rsidR="00FF2998" w:rsidRPr="008343D7" w:rsidRDefault="001306B2" w:rsidP="0042546B">
      <w:pPr>
        <w:pStyle w:val="ItadNormalText"/>
      </w:pPr>
      <w:bookmarkStart w:id="258" w:name="_Hlk136470626"/>
      <w:bookmarkStart w:id="259" w:name="_Hlk129302710"/>
      <w:r w:rsidRPr="0042546B">
        <w:rPr>
          <w:b/>
          <w:bCs/>
        </w:rPr>
        <w:t>Finding 2.2.1: In Summary, f</w:t>
      </w:r>
      <w:r w:rsidR="00FF2998" w:rsidRPr="0042546B">
        <w:rPr>
          <w:b/>
          <w:bCs/>
        </w:rPr>
        <w:t xml:space="preserve">or </w:t>
      </w:r>
      <w:r w:rsidR="00222C91" w:rsidRPr="0042546B">
        <w:rPr>
          <w:b/>
          <w:bCs/>
        </w:rPr>
        <w:t>phase 1</w:t>
      </w:r>
      <w:r w:rsidR="00FF2998" w:rsidRPr="0042546B">
        <w:rPr>
          <w:b/>
          <w:bCs/>
        </w:rPr>
        <w:t xml:space="preserve"> overall, there are initial indications that data from AMR surveillance systems are starting to be collated and shared at </w:t>
      </w:r>
      <w:r w:rsidR="006E5B16" w:rsidRPr="0042546B">
        <w:rPr>
          <w:b/>
          <w:bCs/>
        </w:rPr>
        <w:t xml:space="preserve">the </w:t>
      </w:r>
      <w:r w:rsidR="00FF2998" w:rsidRPr="0042546B">
        <w:rPr>
          <w:b/>
          <w:bCs/>
        </w:rPr>
        <w:t>national level</w:t>
      </w:r>
      <w:r w:rsidR="00FF2998" w:rsidRPr="008343D7">
        <w:t>. However, progress has been slower than anticipated. Data is starting to be shared with AMRCCs for national decision-making purposes</w:t>
      </w:r>
      <w:r w:rsidR="00FF2998">
        <w:t xml:space="preserve">, but as discussed under findings related to </w:t>
      </w:r>
      <w:r w:rsidR="006E5B16">
        <w:t xml:space="preserve">the </w:t>
      </w:r>
      <w:r w:rsidR="00FF2998">
        <w:t xml:space="preserve">quantity of data and initial </w:t>
      </w:r>
      <w:r w:rsidR="00035C4E">
        <w:t>overestimat</w:t>
      </w:r>
      <w:r w:rsidR="00FF2998">
        <w:t>ion of the status of facilities, later than initially assumed.</w:t>
      </w:r>
      <w:r w:rsidR="00FF2998" w:rsidRPr="008343D7">
        <w:rPr>
          <w:vertAlign w:val="superscript"/>
        </w:rPr>
        <w:footnoteReference w:id="103"/>
      </w:r>
      <w:r w:rsidR="00DC1D8D">
        <w:rPr>
          <w:vertAlign w:val="superscript"/>
        </w:rPr>
        <w:t xml:space="preserve"> </w:t>
      </w:r>
      <w:r w:rsidR="00FF2998" w:rsidRPr="008343D7">
        <w:t xml:space="preserve">The </w:t>
      </w:r>
      <w:r w:rsidR="00FF2998">
        <w:t>Fleming Fund</w:t>
      </w:r>
      <w:r w:rsidR="00AA6A7B">
        <w:t>’</w:t>
      </w:r>
      <w:r w:rsidR="00FF2998">
        <w:t xml:space="preserve">s </w:t>
      </w:r>
      <w:r w:rsidR="00FF2998" w:rsidRPr="008343D7">
        <w:t>assumptions that data, once shared, will be used for decision</w:t>
      </w:r>
      <w:r w:rsidR="00E278CD">
        <w:t>-</w:t>
      </w:r>
      <w:r w:rsidR="00FF2998" w:rsidRPr="008343D7">
        <w:t>making and then motivate action have not</w:t>
      </w:r>
      <w:r w:rsidR="000A5529">
        <w:t xml:space="preserve"> yet</w:t>
      </w:r>
      <w:r w:rsidR="00FF2998">
        <w:t xml:space="preserve">, based on KIIs, proven to be </w:t>
      </w:r>
      <w:r w:rsidR="00FF2998" w:rsidRPr="008343D7">
        <w:t>valid.</w:t>
      </w:r>
      <w:r w:rsidR="00FF2998">
        <w:t xml:space="preserve"> For </w:t>
      </w:r>
      <w:r w:rsidR="00222C91">
        <w:t>phase 1</w:t>
      </w:r>
      <w:r w:rsidR="00FF2998">
        <w:t xml:space="preserve">, </w:t>
      </w:r>
      <w:r w:rsidR="00FF2998" w:rsidRPr="008343D7">
        <w:t xml:space="preserve">there have been forward steps with international reporting and signs of </w:t>
      </w:r>
      <w:r w:rsidR="00FF2998">
        <w:t>use</w:t>
      </w:r>
      <w:r w:rsidR="00FF2998" w:rsidRPr="008343D7">
        <w:t xml:space="preserve"> at </w:t>
      </w:r>
      <w:r w:rsidR="000A5529">
        <w:t xml:space="preserve">the </w:t>
      </w:r>
      <w:r w:rsidR="00FF2998" w:rsidRPr="008343D7">
        <w:t>facility level.</w:t>
      </w:r>
      <w:r w:rsidR="00FF2998" w:rsidRPr="008343D7" w:rsidDel="007D2E99">
        <w:t xml:space="preserve"> </w:t>
      </w:r>
      <w:r w:rsidR="00FF2998" w:rsidRPr="008343D7">
        <w:t>We present below, a detailed analysis for national, international and facility-level use.</w:t>
      </w:r>
    </w:p>
    <w:p w14:paraId="6FB2822F" w14:textId="77777777" w:rsidR="00FF2998" w:rsidRPr="008A5F96" w:rsidRDefault="00FF2998" w:rsidP="008B22DD">
      <w:pPr>
        <w:pStyle w:val="ItadH3"/>
      </w:pPr>
      <w:bookmarkStart w:id="260" w:name="_Ref129331366"/>
      <w:bookmarkStart w:id="261" w:name="_Toc144049383"/>
      <w:bookmarkStart w:id="262" w:name="_Toc144715816"/>
      <w:bookmarkEnd w:id="258"/>
      <w:r w:rsidRPr="008A5F96">
        <w:t>Data use: progress at the national level</w:t>
      </w:r>
      <w:bookmarkEnd w:id="260"/>
      <w:bookmarkEnd w:id="261"/>
      <w:bookmarkEnd w:id="262"/>
    </w:p>
    <w:p w14:paraId="77EBC5D1" w14:textId="5881B874" w:rsidR="00D427F7" w:rsidRPr="008B22DD" w:rsidRDefault="007D5AF6" w:rsidP="0042546B">
      <w:pPr>
        <w:pStyle w:val="ItadNormalTextBold"/>
      </w:pPr>
      <w:bookmarkStart w:id="263" w:name="_Hlk136470832"/>
      <w:r w:rsidRPr="00C75B24">
        <w:t xml:space="preserve">Finding 2.2.2: </w:t>
      </w:r>
      <w:r w:rsidR="00FF2998" w:rsidRPr="00C75B24">
        <w:t>At the national level, data sharing with relevant committees is happening in six of the 16 focus countries.</w:t>
      </w:r>
      <w:r w:rsidR="00FF2998" w:rsidRPr="00C75B24" w:rsidDel="007D2E99">
        <w:t xml:space="preserve"> </w:t>
      </w:r>
      <w:r w:rsidR="00FF2998" w:rsidRPr="00C75B24">
        <w:t>Even where</w:t>
      </w:r>
      <w:r w:rsidR="001306B2" w:rsidRPr="00C75B24">
        <w:t xml:space="preserve"> AMR/C/U</w:t>
      </w:r>
      <w:r w:rsidR="00FF2998" w:rsidRPr="00C75B24">
        <w:t xml:space="preserve"> data is not yet being shared with relevant committees on a routine basis, some progress towards this goal has been realised in most countries. </w:t>
      </w:r>
      <w:r w:rsidR="0077278F" w:rsidRPr="00C75B24">
        <w:t>Despite progress, Fleming Fund</w:t>
      </w:r>
      <w:r w:rsidR="00AA6A7B">
        <w:t>’</w:t>
      </w:r>
      <w:r w:rsidR="0077278F" w:rsidRPr="00C75B24">
        <w:t>s performance on AMR data sharing at the national level falls short of the targets set out in the MA</w:t>
      </w:r>
      <w:r w:rsidR="00AA6A7B">
        <w:t>’</w:t>
      </w:r>
      <w:r w:rsidR="0077278F" w:rsidRPr="00C75B24">
        <w:t>s implementation plan, although this assessment differs from MA reporting because it is undertaken on a different basis. Despite progress with sharing, AMR surveillance data from laboratory AST is not yet playing a prominent role in relevant decision</w:t>
      </w:r>
      <w:r w:rsidR="00E278CD">
        <w:t>-making</w:t>
      </w:r>
      <w:r w:rsidR="0077278F" w:rsidRPr="00C75B24">
        <w:t xml:space="preserve"> at the national level. Some countries are taking action using different data.</w:t>
      </w:r>
    </w:p>
    <w:p w14:paraId="2E393445" w14:textId="06E65021" w:rsidR="00FF2998" w:rsidRPr="008343D7" w:rsidRDefault="4BD3A707" w:rsidP="00C75B24">
      <w:pPr>
        <w:pStyle w:val="ItadNormalText"/>
      </w:pPr>
      <w:r w:rsidRPr="00C75B24">
        <w:rPr>
          <w:rFonts w:eastAsia="Yu Mincho"/>
          <w:b/>
          <w:bCs/>
        </w:rPr>
        <w:t>At the</w:t>
      </w:r>
      <w:r w:rsidRPr="4EF651D4">
        <w:rPr>
          <w:rFonts w:eastAsia="Yu Mincho"/>
          <w:b/>
          <w:bCs/>
          <w:i/>
          <w:iCs/>
        </w:rPr>
        <w:t xml:space="preserve"> </w:t>
      </w:r>
      <w:r w:rsidRPr="4EF651D4">
        <w:rPr>
          <w:rFonts w:eastAsia="Yu Mincho"/>
          <w:b/>
          <w:bCs/>
        </w:rPr>
        <w:t>national level</w:t>
      </w:r>
      <w:r w:rsidRPr="00C75B24">
        <w:rPr>
          <w:rFonts w:eastAsia="Yu Mincho"/>
          <w:b/>
          <w:bCs/>
        </w:rPr>
        <w:t>, data sharing with relevant committees is happening in six of the 16 focus countries.</w:t>
      </w:r>
      <w:r w:rsidRPr="00C75B24" w:rsidDel="007D2E99">
        <w:rPr>
          <w:b/>
          <w:bCs/>
        </w:rPr>
        <w:t xml:space="preserve"> </w:t>
      </w:r>
      <w:r w:rsidRPr="00C75B24">
        <w:rPr>
          <w:b/>
          <w:bCs/>
        </w:rPr>
        <w:t>Even where</w:t>
      </w:r>
      <w:r w:rsidR="69CF64FA" w:rsidRPr="00C75B24">
        <w:rPr>
          <w:b/>
          <w:bCs/>
        </w:rPr>
        <w:t xml:space="preserve"> AMR/C/U</w:t>
      </w:r>
      <w:r w:rsidRPr="00C75B24">
        <w:rPr>
          <w:b/>
          <w:bCs/>
        </w:rPr>
        <w:t xml:space="preserve"> data is not yet being shared with relevant committees on a routine basis, some progress towards this goal has been realised in most countries</w:t>
      </w:r>
      <w:r w:rsidRPr="008343D7">
        <w:t>. Our assessment</w:t>
      </w:r>
      <w:r>
        <w:t>, based on KIIs,</w:t>
      </w:r>
      <w:r w:rsidRPr="008343D7">
        <w:t xml:space="preserve"> was that data sharing has been established to date in</w:t>
      </w:r>
      <w:r w:rsidRPr="008343D7" w:rsidDel="00DD0D95">
        <w:t xml:space="preserve"> </w:t>
      </w:r>
      <w:r w:rsidRPr="008343D7">
        <w:t>six of the 16 focus countries, including evidence</w:t>
      </w:r>
      <w:r>
        <w:t xml:space="preserve"> from documents and KIs on </w:t>
      </w:r>
      <w:r w:rsidR="2145B2F1">
        <w:t xml:space="preserve">the </w:t>
      </w:r>
      <w:r w:rsidRPr="008343D7">
        <w:t>use of applicable data for decision</w:t>
      </w:r>
      <w:r w:rsidR="37988872">
        <w:t>-</w:t>
      </w:r>
      <w:r w:rsidRPr="008343D7">
        <w:t>making in</w:t>
      </w:r>
      <w:r w:rsidRPr="008343D7" w:rsidDel="00DD0D95">
        <w:t xml:space="preserve"> </w:t>
      </w:r>
      <w:r w:rsidRPr="008343D7">
        <w:t xml:space="preserve">four of those countries  and </w:t>
      </w:r>
      <w:r w:rsidR="2B406368">
        <w:t xml:space="preserve">substantial </w:t>
      </w:r>
      <w:r w:rsidR="4EC4A703">
        <w:t xml:space="preserve">progress towards </w:t>
      </w:r>
      <w:r w:rsidRPr="008343D7">
        <w:t>future use of data in the remaining two . Applicable data is now being systematically collated and analysed for intended routine sharing in a further four Fleming Fund countries . In addition, there have been some concrete steps forward in relevant national collation and analysis processes in another three countries . Currently, only three</w:t>
      </w:r>
      <w:r w:rsidR="00FF2998" w:rsidRPr="008343D7">
        <w:rPr>
          <w:sz w:val="20"/>
          <w:szCs w:val="20"/>
          <w:vertAlign w:val="superscript"/>
        </w:rPr>
        <w:footnoteReference w:id="104"/>
      </w:r>
      <w:r w:rsidRPr="008343D7">
        <w:t xml:space="preserve"> countries from the 16 considered do not exhibit substantial progress towards programme national data sharing objectives .</w:t>
      </w:r>
      <w:r w:rsidRPr="008343D7" w:rsidDel="007D2E99">
        <w:t xml:space="preserve"> </w:t>
      </w:r>
      <w:r>
        <w:t xml:space="preserve">Note that data sharing reported here may reflect broader data than AMR from surveillance sites, </w:t>
      </w:r>
      <w:r w:rsidRPr="00554839">
        <w:t xml:space="preserve">and is separate from the consideration of whether the quantity of data is increasing as discussed in section </w:t>
      </w:r>
      <w:r w:rsidR="007A020D" w:rsidRPr="00554839">
        <w:fldChar w:fldCharType="begin"/>
      </w:r>
      <w:r w:rsidR="007A020D" w:rsidRPr="00554839">
        <w:instrText xml:space="preserve"> REF _Ref128746797 \r \h </w:instrText>
      </w:r>
      <w:r w:rsidR="00554839">
        <w:instrText xml:space="preserve"> \* MERGEFORMAT </w:instrText>
      </w:r>
      <w:r w:rsidR="007A020D" w:rsidRPr="00554839">
        <w:fldChar w:fldCharType="separate"/>
      </w:r>
      <w:r w:rsidR="5534417F">
        <w:t>2.1.2</w:t>
      </w:r>
      <w:r w:rsidR="007A020D" w:rsidRPr="00554839">
        <w:fldChar w:fldCharType="end"/>
      </w:r>
      <w:r w:rsidRPr="00554839">
        <w:t>.</w:t>
      </w:r>
    </w:p>
    <w:p w14:paraId="639703D2" w14:textId="7BA07453" w:rsidR="00FF2998" w:rsidRPr="008343D7" w:rsidRDefault="00FF2998" w:rsidP="00C75B24">
      <w:pPr>
        <w:pStyle w:val="ItadNormalTextBold"/>
      </w:pPr>
      <w:bookmarkStart w:id="264" w:name="_Hlk136471110"/>
      <w:bookmarkEnd w:id="263"/>
      <w:r w:rsidRPr="008343D7">
        <w:t>Despite progress, the Fleming Fund</w:t>
      </w:r>
      <w:r w:rsidR="00AA6A7B">
        <w:t>’</w:t>
      </w:r>
      <w:r w:rsidRPr="008343D7">
        <w:t xml:space="preserve">s performance on </w:t>
      </w:r>
      <w:r>
        <w:t xml:space="preserve">AMR </w:t>
      </w:r>
      <w:r w:rsidRPr="008343D7">
        <w:t xml:space="preserve">data sharing </w:t>
      </w:r>
      <w:r w:rsidR="0078658E" w:rsidRPr="007D189C">
        <w:rPr>
          <w:i/>
          <w:iCs/>
        </w:rPr>
        <w:t xml:space="preserve">at the national level </w:t>
      </w:r>
      <w:r w:rsidRPr="008343D7">
        <w:t>falls short of the targets set out in the MA</w:t>
      </w:r>
      <w:r w:rsidR="00AA6A7B">
        <w:t>’</w:t>
      </w:r>
      <w:r w:rsidRPr="008343D7">
        <w:t>s implementation plan</w:t>
      </w:r>
      <w:r w:rsidR="00DF3A22">
        <w:t>, although this assessment differs from MA reporting because it is undertaken on a different basis. S</w:t>
      </w:r>
      <w:r w:rsidRPr="008343D7">
        <w:t>ix out of 16 achieved against a</w:t>
      </w:r>
      <w:r>
        <w:t>n initial Fleming Fund</w:t>
      </w:r>
      <w:r w:rsidRPr="008343D7">
        <w:t xml:space="preserve"> target of 11 of 16 countries for </w:t>
      </w:r>
      <w:r w:rsidR="00103A03">
        <w:t>‘</w:t>
      </w:r>
      <w:r w:rsidR="00E45B4D" w:rsidRPr="008343D7">
        <w:t>primar</w:t>
      </w:r>
      <w:r w:rsidRPr="008343D7">
        <w:t xml:space="preserve">y data generated… </w:t>
      </w:r>
      <w:r w:rsidRPr="008343D7">
        <w:rPr>
          <w:i/>
          <w:iCs/>
        </w:rPr>
        <w:t>and used for policy</w:t>
      </w:r>
      <w:r w:rsidR="00E45B4D" w:rsidRPr="008343D7">
        <w:rPr>
          <w:i/>
          <w:iCs/>
        </w:rPr>
        <w:t>making</w:t>
      </w:r>
      <w:r w:rsidR="00103A03">
        <w:t>’</w:t>
      </w:r>
      <w:r>
        <w:rPr>
          <w:rStyle w:val="FootnoteReference"/>
          <w:rFonts w:eastAsia="Calibri"/>
        </w:rPr>
        <w:footnoteReference w:id="105"/>
      </w:r>
      <w:r w:rsidRPr="008343D7">
        <w:t xml:space="preserve"> [emphasis added]. </w:t>
      </w:r>
      <w:r w:rsidR="00DF3A22">
        <w:t>T</w:t>
      </w:r>
      <w:r w:rsidRPr="008343D7">
        <w:t>his assessment differs from MA</w:t>
      </w:r>
      <w:r w:rsidR="00AA6A7B">
        <w:t>’</w:t>
      </w:r>
      <w:r w:rsidRPr="008343D7">
        <w:t xml:space="preserve">s reporting </w:t>
      </w:r>
      <w:r>
        <w:t>which tracks the sharing of data, and in mid</w:t>
      </w:r>
      <w:r w:rsidR="000A5529">
        <w:t>-</w:t>
      </w:r>
      <w:r>
        <w:t xml:space="preserve">2022 reported sharing of data in 13 out of the </w:t>
      </w:r>
      <w:r w:rsidR="000A5529">
        <w:t>16</w:t>
      </w:r>
      <w:r>
        <w:t xml:space="preserve"> countries, but does</w:t>
      </w:r>
      <w:r w:rsidR="000A5529">
        <w:t xml:space="preserve"> </w:t>
      </w:r>
      <w:r>
        <w:t>n</w:t>
      </w:r>
      <w:r w:rsidR="000A5529">
        <w:t>o</w:t>
      </w:r>
      <w:r>
        <w:t>t track use</w:t>
      </w:r>
      <w:r w:rsidRPr="008343D7">
        <w:t>.</w:t>
      </w:r>
      <w:r w:rsidRPr="008343D7">
        <w:rPr>
          <w:sz w:val="20"/>
          <w:szCs w:val="20"/>
          <w:vertAlign w:val="superscript"/>
        </w:rPr>
        <w:footnoteReference w:id="106"/>
      </w:r>
    </w:p>
    <w:p w14:paraId="59CDFD85" w14:textId="3A6F2328" w:rsidR="00B8279C" w:rsidRDefault="4BD3A707" w:rsidP="00C75B24">
      <w:pPr>
        <w:pStyle w:val="ItadNormalText"/>
      </w:pPr>
      <w:bookmarkStart w:id="265" w:name="_Hlk136471235"/>
      <w:bookmarkEnd w:id="264"/>
      <w:r w:rsidRPr="4EF651D4">
        <w:rPr>
          <w:b/>
          <w:bCs/>
        </w:rPr>
        <w:t>Despite progress with sharing, AMR surveillance data from laboratory AST is not yet playing a prominent role in relevant decision</w:t>
      </w:r>
      <w:r w:rsidR="37988872" w:rsidRPr="4EF651D4">
        <w:rPr>
          <w:b/>
          <w:bCs/>
        </w:rPr>
        <w:t>-</w:t>
      </w:r>
      <w:r w:rsidRPr="4EF651D4">
        <w:rPr>
          <w:b/>
          <w:bCs/>
        </w:rPr>
        <w:t>making at the national level</w:t>
      </w:r>
      <w:r w:rsidR="6E725A8F" w:rsidRPr="4EF651D4">
        <w:rPr>
          <w:b/>
          <w:bCs/>
          <w:i/>
          <w:iCs/>
        </w:rPr>
        <w:t>.</w:t>
      </w:r>
      <w:r w:rsidRPr="4EF651D4">
        <w:rPr>
          <w:b/>
          <w:bCs/>
        </w:rPr>
        <w:t xml:space="preserve"> </w:t>
      </w:r>
      <w:r w:rsidR="6E725A8F" w:rsidRPr="4EF651D4">
        <w:rPr>
          <w:b/>
          <w:bCs/>
        </w:rPr>
        <w:t>S</w:t>
      </w:r>
      <w:r w:rsidRPr="4EF651D4">
        <w:rPr>
          <w:b/>
          <w:bCs/>
        </w:rPr>
        <w:t>ome countries are taking action using different data</w:t>
      </w:r>
      <w:r>
        <w:t xml:space="preserve"> </w:t>
      </w:r>
      <w:r w:rsidR="3C66AC0A">
        <w:t>(s</w:t>
      </w:r>
      <w:r w:rsidR="570AF385">
        <w:t xml:space="preserve">ee </w:t>
      </w:r>
      <w:r w:rsidR="00FF2998">
        <w:fldChar w:fldCharType="begin"/>
      </w:r>
      <w:r w:rsidR="00FF2998">
        <w:instrText xml:space="preserve"> REF _Ref144719097 \h </w:instrText>
      </w:r>
      <w:r w:rsidR="00FF2998">
        <w:fldChar w:fldCharType="separate"/>
      </w:r>
      <w:r w:rsidR="3B3019BC">
        <w:t xml:space="preserve">Figure </w:t>
      </w:r>
      <w:r w:rsidR="3B3019BC" w:rsidRPr="4EF651D4">
        <w:rPr>
          <w:noProof/>
        </w:rPr>
        <w:t>15</w:t>
      </w:r>
      <w:r w:rsidR="00FF2998">
        <w:fldChar w:fldCharType="end"/>
      </w:r>
      <w:r w:rsidR="3B3019BC">
        <w:t xml:space="preserve"> </w:t>
      </w:r>
      <w:r w:rsidR="2AD2EC1D">
        <w:t>below</w:t>
      </w:r>
      <w:r w:rsidR="3C66AC0A">
        <w:t>)</w:t>
      </w:r>
      <w:r w:rsidR="570AF385">
        <w:t xml:space="preserve">. </w:t>
      </w:r>
      <w:r w:rsidR="2848CB95">
        <w:t>Evidence from KIIs and document review suggests that over</w:t>
      </w:r>
      <w:r>
        <w:t xml:space="preserve"> half (9/16) of the focus countries have initiated significant policy and regulatory action on AMR</w:t>
      </w:r>
      <w:r w:rsidRPr="4EF651D4">
        <w:rPr>
          <w:i/>
          <w:iCs/>
        </w:rPr>
        <w:t xml:space="preserve"> at the national level </w:t>
      </w:r>
      <w:r>
        <w:t xml:space="preserve">since 2018. Typically, this comprised both HH policy changes to treatment and other Antimicrobial Stewardship (AMS) related guidelines plus national essential medicines lists, and AH regulatory adjustments prohibiting certain uses of specific antimicrobial products. The latter type of action in AH regulation was more common, </w:t>
      </w:r>
      <w:r w:rsidR="3C66AC0A">
        <w:t xml:space="preserve">and applied </w:t>
      </w:r>
      <w:r>
        <w:t xml:space="preserve">in eight countries, whereas the former type of action in HH regulation </w:t>
      </w:r>
      <w:r w:rsidR="2145B2F1">
        <w:t>only applied</w:t>
      </w:r>
      <w:r>
        <w:t xml:space="preserve"> in five countries. Notwithstanding action, only two countries have so far used AMR surveillance data from laboratory AST directly in national decision</w:t>
      </w:r>
      <w:r w:rsidR="37988872">
        <w:t>-</w:t>
      </w:r>
      <w:r>
        <w:t>making leading to concrete national action (both in HH policy). In general, AMC/U data appears more commonly used for national decision</w:t>
      </w:r>
      <w:r w:rsidR="37988872">
        <w:t>-</w:t>
      </w:r>
      <w:r>
        <w:t>making , including through existing sectoral rather than AMR-specific committee processes .</w:t>
      </w:r>
    </w:p>
    <w:bookmarkEnd w:id="259"/>
    <w:bookmarkEnd w:id="265"/>
    <w:p w14:paraId="6367CEEE" w14:textId="77777777" w:rsidR="00EE36B0" w:rsidRDefault="00202259" w:rsidP="00EE36B0">
      <w:pPr>
        <w:keepNext/>
        <w:spacing w:after="120"/>
      </w:pPr>
      <w:r>
        <w:rPr>
          <w:noProof/>
          <w:sz w:val="16"/>
          <w:szCs w:val="16"/>
        </w:rPr>
        <w:drawing>
          <wp:inline distT="0" distB="0" distL="0" distR="0" wp14:anchorId="50649B95" wp14:editId="1C3E0E81">
            <wp:extent cx="6043930" cy="3157855"/>
            <wp:effectExtent l="0" t="0" r="0" b="4445"/>
            <wp:docPr id="7" name="Picture 7"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with low confidence"/>
                    <pic:cNvPicPr/>
                  </pic:nvPicPr>
                  <pic:blipFill>
                    <a:blip r:embed="rId38">
                      <a:extLst>
                        <a:ext uri="{28A0092B-C50C-407E-A947-70E740481C1C}">
                          <a14:useLocalDpi xmlns:a14="http://schemas.microsoft.com/office/drawing/2010/main" val="0"/>
                        </a:ext>
                      </a:extLst>
                    </a:blip>
                    <a:stretch>
                      <a:fillRect/>
                    </a:stretch>
                  </pic:blipFill>
                  <pic:spPr>
                    <a:xfrm>
                      <a:off x="0" y="0"/>
                      <a:ext cx="6043930" cy="3157855"/>
                    </a:xfrm>
                    <a:prstGeom prst="rect">
                      <a:avLst/>
                    </a:prstGeom>
                  </pic:spPr>
                </pic:pic>
              </a:graphicData>
            </a:graphic>
          </wp:inline>
        </w:drawing>
      </w:r>
    </w:p>
    <w:p w14:paraId="6AE8750F" w14:textId="60C0D68B" w:rsidR="004014F4" w:rsidRDefault="00EE36B0" w:rsidP="00EE36B0">
      <w:pPr>
        <w:pStyle w:val="ItadFigureCap"/>
        <w:rPr>
          <w:rFonts w:eastAsia="Calibri" w:cs="Calibri"/>
          <w:color w:val="3B3B3C"/>
        </w:rPr>
      </w:pPr>
      <w:bookmarkStart w:id="266" w:name="_Ref144719097"/>
      <w:bookmarkStart w:id="267" w:name="_Toc144717857"/>
      <w:r>
        <w:t xml:space="preserve">Figure </w:t>
      </w:r>
      <w:r>
        <w:fldChar w:fldCharType="begin"/>
      </w:r>
      <w:r>
        <w:instrText>SEQ Figure \* ARABIC</w:instrText>
      </w:r>
      <w:r>
        <w:fldChar w:fldCharType="separate"/>
      </w:r>
      <w:r w:rsidR="00B17EAE">
        <w:rPr>
          <w:noProof/>
        </w:rPr>
        <w:t>15</w:t>
      </w:r>
      <w:r>
        <w:fldChar w:fldCharType="end"/>
      </w:r>
      <w:bookmarkEnd w:id="266"/>
      <w:r>
        <w:t xml:space="preserve">: </w:t>
      </w:r>
      <w:r w:rsidRPr="00905E9A">
        <w:t>Summary of examples of national action from evaluation focus countries and regions</w:t>
      </w:r>
      <w:bookmarkEnd w:id="267"/>
    </w:p>
    <w:p w14:paraId="10A46382" w14:textId="77777777" w:rsidR="00FF2998" w:rsidRPr="008A5F96" w:rsidRDefault="00FF2998" w:rsidP="007D189C">
      <w:pPr>
        <w:pStyle w:val="ItadH3"/>
      </w:pPr>
      <w:bookmarkStart w:id="268" w:name="_Toc129349697"/>
      <w:bookmarkStart w:id="269" w:name="_Toc144049384"/>
      <w:bookmarkStart w:id="270" w:name="_Toc144715817"/>
      <w:bookmarkEnd w:id="268"/>
      <w:r w:rsidRPr="008A5F96">
        <w:t>Data use: changes in quantity of data at international level</w:t>
      </w:r>
      <w:bookmarkEnd w:id="269"/>
      <w:bookmarkEnd w:id="270"/>
    </w:p>
    <w:p w14:paraId="17D99F9C" w14:textId="5B270C93" w:rsidR="00B15704" w:rsidRPr="003473CC" w:rsidRDefault="00331E0E" w:rsidP="00EE36B0">
      <w:pPr>
        <w:pStyle w:val="ItadNormalTextBold"/>
        <w:rPr>
          <w:rFonts w:eastAsia="Calibri"/>
        </w:rPr>
      </w:pPr>
      <w:bookmarkStart w:id="271" w:name="_Hlk136471964"/>
      <w:bookmarkStart w:id="272" w:name="_Hlk129303936"/>
      <w:r w:rsidRPr="003473CC">
        <w:rPr>
          <w:rFonts w:eastAsia="Calibri"/>
        </w:rPr>
        <w:t>Finding 2.2.</w:t>
      </w:r>
      <w:r w:rsidR="005228FB">
        <w:rPr>
          <w:rFonts w:eastAsia="Calibri"/>
        </w:rPr>
        <w:t>3</w:t>
      </w:r>
      <w:r w:rsidRPr="003473CC">
        <w:rPr>
          <w:rFonts w:eastAsia="Calibri"/>
        </w:rPr>
        <w:t xml:space="preserve">: </w:t>
      </w:r>
      <w:r w:rsidR="003473CC" w:rsidRPr="007D189C">
        <w:t xml:space="preserve">At the </w:t>
      </w:r>
      <w:r w:rsidR="003473CC" w:rsidRPr="007D189C">
        <w:rPr>
          <w:i/>
          <w:iCs/>
        </w:rPr>
        <w:t>international level</w:t>
      </w:r>
      <w:r w:rsidR="003473CC" w:rsidRPr="007D189C">
        <w:t xml:space="preserve">, for HH more AMR data has been made available, with nearly </w:t>
      </w:r>
      <w:r w:rsidR="007B50AD">
        <w:t>three quarters</w:t>
      </w:r>
      <w:r w:rsidR="007B50AD" w:rsidRPr="007D189C">
        <w:t xml:space="preserve"> </w:t>
      </w:r>
      <w:r w:rsidR="003473CC" w:rsidRPr="007D189C">
        <w:t>of Fleming Fund countries sharing data to GLASS since 2018.</w:t>
      </w:r>
      <w:r w:rsidR="003473CC" w:rsidRPr="007D189C" w:rsidDel="007D2E99">
        <w:t xml:space="preserve"> </w:t>
      </w:r>
      <w:r w:rsidR="003473CC" w:rsidRPr="007D189C">
        <w:t>In the AH sector: by May 2022, 14 out of 16 of the evaluation focus countries (88%) reported internationally to WOAH, with a reduction in the number reporting the most basic level of data and an increase in the number providing more sophisticated data.</w:t>
      </w:r>
    </w:p>
    <w:p w14:paraId="0D8A3F7B" w14:textId="041A53F3" w:rsidR="00FF2998" w:rsidRPr="008343D7" w:rsidRDefault="00FF2998" w:rsidP="00EE36B0">
      <w:pPr>
        <w:pStyle w:val="ItadNormalText"/>
      </w:pPr>
      <w:r w:rsidRPr="00EE36B0">
        <w:rPr>
          <w:b/>
          <w:bCs/>
        </w:rPr>
        <w:t xml:space="preserve">At the </w:t>
      </w:r>
      <w:r w:rsidRPr="00EE36B0">
        <w:rPr>
          <w:b/>
          <w:bCs/>
          <w:i/>
          <w:iCs/>
        </w:rPr>
        <w:t>international level</w:t>
      </w:r>
      <w:r w:rsidRPr="00EE36B0">
        <w:rPr>
          <w:b/>
          <w:bCs/>
        </w:rPr>
        <w:t xml:space="preserve">, for HH, more AMR data has been made available, with </w:t>
      </w:r>
      <w:r w:rsidR="00446DC4" w:rsidRPr="00EE36B0">
        <w:rPr>
          <w:b/>
          <w:bCs/>
        </w:rPr>
        <w:t xml:space="preserve">nearly </w:t>
      </w:r>
      <w:r w:rsidR="007B50AD">
        <w:rPr>
          <w:b/>
          <w:bCs/>
        </w:rPr>
        <w:t>three quarters</w:t>
      </w:r>
      <w:r w:rsidR="00446DC4" w:rsidRPr="00EE36B0">
        <w:rPr>
          <w:b/>
          <w:bCs/>
        </w:rPr>
        <w:t xml:space="preserve"> of Fleming Fund </w:t>
      </w:r>
      <w:r w:rsidRPr="00EE36B0">
        <w:rPr>
          <w:b/>
          <w:bCs/>
        </w:rPr>
        <w:t>countries sharing data to GLASS since 2018.</w:t>
      </w:r>
      <w:r w:rsidRPr="008343D7">
        <w:t xml:space="preserve"> International reporting in the HH sector is to WHO</w:t>
      </w:r>
      <w:r w:rsidR="00AA6A7B">
        <w:t>’</w:t>
      </w:r>
      <w:r w:rsidRPr="008343D7">
        <w:t>s GLASS database. By December 2022, publicly available data show</w:t>
      </w:r>
      <w:r w:rsidR="00DB3200">
        <w:t>ed</w:t>
      </w:r>
      <w:r w:rsidRPr="008343D7">
        <w:t xml:space="preserve"> that 1</w:t>
      </w:r>
      <w:r>
        <w:t>7</w:t>
      </w:r>
      <w:r w:rsidRPr="008343D7">
        <w:t xml:space="preserve"> of the </w:t>
      </w:r>
      <w:r>
        <w:t>23</w:t>
      </w:r>
      <w:r w:rsidRPr="008343D7">
        <w:t xml:space="preserve"> countries (</w:t>
      </w:r>
      <w:r>
        <w:t>73</w:t>
      </w:r>
      <w:r w:rsidRPr="008343D7">
        <w:t>%) had reported data to GLASS</w:t>
      </w:r>
      <w:r>
        <w:t>.</w:t>
      </w:r>
      <w:r w:rsidRPr="008343D7">
        <w:rPr>
          <w:sz w:val="20"/>
          <w:szCs w:val="20"/>
          <w:vertAlign w:val="superscript"/>
        </w:rPr>
        <w:footnoteReference w:id="107"/>
      </w:r>
      <w:r>
        <w:t xml:space="preserve"> Within the 16 evaluation focus countries, 13 countries reported in the GLASS 2022 report; a</w:t>
      </w:r>
      <w:r w:rsidRPr="008343D7">
        <w:t xml:space="preserve">ll of these increased the number of sites </w:t>
      </w:r>
      <w:r>
        <w:t>reporting to</w:t>
      </w:r>
      <w:r w:rsidRPr="008343D7">
        <w:t xml:space="preserve"> GLASS</w:t>
      </w:r>
      <w:r w:rsidR="00223697">
        <w:t>,</w:t>
      </w:r>
      <w:r w:rsidRPr="008343D7">
        <w:t xml:space="preserve"> and nine out of </w:t>
      </w:r>
      <w:r>
        <w:t xml:space="preserve">13 </w:t>
      </w:r>
      <w:r w:rsidRPr="008343D7">
        <w:t>either increased the number of pathogens reported or maintained a high level of capability to test GLASS priority pathogens.</w:t>
      </w:r>
      <w:r w:rsidRPr="008343D7">
        <w:rPr>
          <w:vertAlign w:val="superscript"/>
        </w:rPr>
        <w:footnoteReference w:id="108"/>
      </w:r>
      <w:r w:rsidR="007B50AD" w:rsidRPr="007B50AD">
        <w:rPr>
          <w:vertAlign w:val="superscript"/>
        </w:rPr>
        <w:t>,</w:t>
      </w:r>
      <w:r w:rsidRPr="007B50AD">
        <w:rPr>
          <w:vertAlign w:val="superscript"/>
        </w:rPr>
        <w:footnoteReference w:id="109"/>
      </w:r>
      <w:r w:rsidRPr="008343D7" w:rsidDel="000C3A3A">
        <w:t xml:space="preserve"> </w:t>
      </w:r>
      <w:r w:rsidRPr="008343D7">
        <w:t>This e</w:t>
      </w:r>
      <w:r>
        <w:t>xceeds</w:t>
      </w:r>
      <w:r w:rsidRPr="008343D7">
        <w:t xml:space="preserve"> the goal </w:t>
      </w:r>
      <w:r>
        <w:t xml:space="preserve">for international data sharing </w:t>
      </w:r>
      <w:r w:rsidRPr="008343D7">
        <w:t xml:space="preserve">set out </w:t>
      </w:r>
      <w:r w:rsidR="00DB3200">
        <w:t>in</w:t>
      </w:r>
      <w:r w:rsidR="00DB3200" w:rsidRPr="008343D7">
        <w:t xml:space="preserve"> </w:t>
      </w:r>
      <w:r w:rsidRPr="008343D7">
        <w:t>the MA</w:t>
      </w:r>
      <w:r w:rsidR="00AA6A7B">
        <w:t>’</w:t>
      </w:r>
      <w:r w:rsidR="00DB3200">
        <w:t>s</w:t>
      </w:r>
      <w:r w:rsidRPr="008343D7">
        <w:t xml:space="preserve"> implementation plan.</w:t>
      </w:r>
      <w:r>
        <w:rPr>
          <w:rStyle w:val="FootnoteReference"/>
          <w:rFonts w:eastAsia="Calibri"/>
        </w:rPr>
        <w:footnoteReference w:id="110"/>
      </w:r>
      <w:r w:rsidRPr="008343D7" w:rsidDel="007D2E99">
        <w:t xml:space="preserve"> </w:t>
      </w:r>
      <w:r>
        <w:t xml:space="preserve">However, as with data generation, </w:t>
      </w:r>
      <w:r w:rsidR="00AE378A">
        <w:t xml:space="preserve">the </w:t>
      </w:r>
      <w:r>
        <w:t xml:space="preserve">capacity that existed </w:t>
      </w:r>
      <w:r w:rsidR="00AE378A">
        <w:t>before</w:t>
      </w:r>
      <w:r>
        <w:t xml:space="preserve"> the start </w:t>
      </w:r>
      <w:r w:rsidR="007835D6">
        <w:t>o</w:t>
      </w:r>
      <w:r>
        <w:t>f Fleming Fund implementation should be noted; nine</w:t>
      </w:r>
      <w:r w:rsidRPr="008343D7">
        <w:t xml:space="preserve"> of</w:t>
      </w:r>
      <w:r>
        <w:t xml:space="preserve"> 17 reporting countries</w:t>
      </w:r>
      <w:r w:rsidRPr="008343D7">
        <w:t xml:space="preserve"> </w:t>
      </w:r>
      <w:r w:rsidR="002068E1">
        <w:t>contributed to</w:t>
      </w:r>
      <w:r w:rsidRPr="008343D7">
        <w:t xml:space="preserve"> the 20</w:t>
      </w:r>
      <w:r>
        <w:t>20</w:t>
      </w:r>
      <w:r w:rsidRPr="008343D7">
        <w:t xml:space="preserve"> report.</w:t>
      </w:r>
      <w:r w:rsidRPr="008343D7">
        <w:rPr>
          <w:sz w:val="20"/>
          <w:szCs w:val="20"/>
          <w:vertAlign w:val="superscript"/>
        </w:rPr>
        <w:footnoteReference w:id="111"/>
      </w:r>
    </w:p>
    <w:p w14:paraId="196D72CD" w14:textId="42AABCC6" w:rsidR="00FF2998" w:rsidRPr="008343D7" w:rsidRDefault="002C3C60" w:rsidP="007B50AD">
      <w:pPr>
        <w:pStyle w:val="ItadNormalText"/>
        <w:rPr>
          <w:highlight w:val="yellow"/>
        </w:rPr>
      </w:pPr>
      <w:bookmarkStart w:id="273" w:name="_Hlk136472506"/>
      <w:bookmarkEnd w:id="271"/>
      <w:r w:rsidRPr="007B50AD">
        <w:rPr>
          <w:b/>
          <w:bCs/>
        </w:rPr>
        <w:t>In the AH sector: by May 2022, 14 out of 16 of the evaluation focus countries (88%) reported internationally to WOAH, with a reduction in the number reporting the most basic level of data and an increase in the number providing more sophisticated data.</w:t>
      </w:r>
      <w:r w:rsidR="00FF2998" w:rsidRPr="008343D7" w:rsidDel="007D2E99">
        <w:t xml:space="preserve"> </w:t>
      </w:r>
      <w:r w:rsidR="00FF2998" w:rsidRPr="008343D7">
        <w:t xml:space="preserve">For the AH sector, countries report to WOAH on AMC/U using one of three reporting options. </w:t>
      </w:r>
      <w:r w:rsidR="00DA7A28">
        <w:t>Data obtained from the WOAH secretariat indicate</w:t>
      </w:r>
      <w:r w:rsidR="007B50AD">
        <w:t>d</w:t>
      </w:r>
      <w:r w:rsidR="00DA7A28">
        <w:t xml:space="preserve"> that, b</w:t>
      </w:r>
      <w:r w:rsidR="00FF2998" w:rsidRPr="008343D7">
        <w:t xml:space="preserve">y May 2022, </w:t>
      </w:r>
      <w:r w:rsidR="00314DD9">
        <w:t>20</w:t>
      </w:r>
      <w:r w:rsidR="00FF2998" w:rsidRPr="008343D7">
        <w:t xml:space="preserve"> out of </w:t>
      </w:r>
      <w:r w:rsidR="00314DD9">
        <w:t>23</w:t>
      </w:r>
      <w:r w:rsidR="00FF2998" w:rsidRPr="008343D7">
        <w:t xml:space="preserve"> </w:t>
      </w:r>
      <w:r w:rsidR="00314DD9">
        <w:t xml:space="preserve">Fleming Fund </w:t>
      </w:r>
      <w:r w:rsidR="00FF2998" w:rsidRPr="008343D7">
        <w:t>countries (8</w:t>
      </w:r>
      <w:r w:rsidR="00201F28">
        <w:t>7</w:t>
      </w:r>
      <w:r w:rsidR="00FF2998" w:rsidRPr="008343D7">
        <w:t>%) reported to WOAH</w:t>
      </w:r>
      <w:r w:rsidR="00D34CEC">
        <w:t xml:space="preserve"> compared to 82% in 2018 (our baseline)</w:t>
      </w:r>
      <w:r w:rsidR="00B07A21">
        <w:t>.</w:t>
      </w:r>
      <w:r w:rsidR="00DC1D8D">
        <w:t xml:space="preserve"> </w:t>
      </w:r>
      <w:r w:rsidR="00B07A21">
        <w:t xml:space="preserve">In </w:t>
      </w:r>
      <w:r w:rsidR="00AE378A">
        <w:t xml:space="preserve">the </w:t>
      </w:r>
      <w:r w:rsidR="00B07A21">
        <w:t>evaluation focus countries</w:t>
      </w:r>
      <w:r w:rsidR="00FF2998" w:rsidRPr="008343D7">
        <w:t xml:space="preserve">, </w:t>
      </w:r>
      <w:r w:rsidR="00A849FE" w:rsidRPr="0059472A">
        <w:t xml:space="preserve">14 out of 16 of the evaluation focus countries (88%) reported </w:t>
      </w:r>
      <w:r w:rsidR="003D7965">
        <w:t xml:space="preserve">that they had reported </w:t>
      </w:r>
      <w:r w:rsidR="00A849FE" w:rsidRPr="0059472A">
        <w:t>to WOAH</w:t>
      </w:r>
      <w:r w:rsidR="00FF2998" w:rsidRPr="008343D7">
        <w:t xml:space="preserve"> </w:t>
      </w:r>
      <w:r w:rsidR="003D7965">
        <w:t>and these countries reflected</w:t>
      </w:r>
      <w:r w:rsidR="00A849FE">
        <w:t xml:space="preserve"> </w:t>
      </w:r>
      <w:r w:rsidR="00FF2998" w:rsidRPr="008343D7">
        <w:t>a reduction in the number</w:t>
      </w:r>
      <w:r w:rsidR="00414137">
        <w:t xml:space="preserve"> of countries</w:t>
      </w:r>
      <w:r w:rsidR="00FF2998" w:rsidRPr="008343D7">
        <w:t xml:space="preserve"> reporting</w:t>
      </w:r>
      <w:r w:rsidR="00DC1D8D">
        <w:t xml:space="preserve"> </w:t>
      </w:r>
      <w:r w:rsidR="00FF2998" w:rsidRPr="008343D7">
        <w:t>the most basic level of data (6% compared to 23% in 2015</w:t>
      </w:r>
      <w:r w:rsidR="00405B5B">
        <w:t xml:space="preserve"> when WOAH reporting began</w:t>
      </w:r>
      <w:r w:rsidR="00FF2998" w:rsidRPr="008343D7">
        <w:t>), and an increase in the number providing more sophisticated data, i.e. option 3 (44% compared with 8% in 2015</w:t>
      </w:r>
      <w:r w:rsidR="00405B5B">
        <w:t xml:space="preserve"> when WOAH reporting began</w:t>
      </w:r>
      <w:r w:rsidR="00FF2998" w:rsidRPr="008343D7">
        <w:t>).</w:t>
      </w:r>
      <w:r w:rsidR="00FF2998" w:rsidRPr="008343D7">
        <w:rPr>
          <w:vertAlign w:val="superscript"/>
        </w:rPr>
        <w:footnoteReference w:id="112"/>
      </w:r>
      <w:r w:rsidR="00FF2998" w:rsidRPr="008343D7">
        <w:t xml:space="preserve"> The MA implementation plan does not appear to have set an explicit goal for sharing AH data internationally. This reflects well compared with global averages for 155 WOAH member states, which have a greater proportion of countries that reported only qualitative data (21% compared to 6% in the evaluation focus countries) and fewer using option 1 (21% compared with 38%); reporting for option 3 was broadly comparable (49% compared with 44%).</w:t>
      </w:r>
    </w:p>
    <w:p w14:paraId="16D9DEB8" w14:textId="77777777" w:rsidR="00FF2998" w:rsidRPr="008A5F96" w:rsidRDefault="00FF2998" w:rsidP="00A1466F">
      <w:pPr>
        <w:pStyle w:val="ItadH3"/>
      </w:pPr>
      <w:bookmarkStart w:id="274" w:name="_Ref129335493"/>
      <w:bookmarkStart w:id="275" w:name="_Toc144049385"/>
      <w:bookmarkStart w:id="276" w:name="_Toc144715818"/>
      <w:bookmarkEnd w:id="272"/>
      <w:bookmarkEnd w:id="273"/>
      <w:r w:rsidRPr="008A5F96">
        <w:t>Data use: progress in data use at the facility level</w:t>
      </w:r>
      <w:bookmarkEnd w:id="274"/>
      <w:bookmarkEnd w:id="275"/>
      <w:bookmarkEnd w:id="276"/>
    </w:p>
    <w:p w14:paraId="37CF735C" w14:textId="4D730716" w:rsidR="005228FB" w:rsidRPr="005228FB" w:rsidRDefault="0024063E" w:rsidP="007B50AD">
      <w:pPr>
        <w:pStyle w:val="ItadNormalTextBold"/>
        <w:rPr>
          <w:rFonts w:eastAsia="Calibri"/>
        </w:rPr>
      </w:pPr>
      <w:bookmarkStart w:id="277" w:name="_Hlk136473833"/>
      <w:r>
        <w:rPr>
          <w:rFonts w:eastAsia="Calibri"/>
        </w:rPr>
        <w:t>Finding 2.2.</w:t>
      </w:r>
      <w:r w:rsidR="005228FB" w:rsidRPr="005228FB">
        <w:rPr>
          <w:rFonts w:eastAsia="Calibri"/>
        </w:rPr>
        <w:t>4</w:t>
      </w:r>
      <w:r>
        <w:rPr>
          <w:rFonts w:eastAsia="Calibri"/>
        </w:rPr>
        <w:t xml:space="preserve">: </w:t>
      </w:r>
      <w:r w:rsidR="00FF2998" w:rsidRPr="00A1466F">
        <w:t xml:space="preserve">At the </w:t>
      </w:r>
      <w:r w:rsidR="00FF2998" w:rsidRPr="00A1466F">
        <w:rPr>
          <w:i/>
        </w:rPr>
        <w:t>facility level</w:t>
      </w:r>
      <w:r w:rsidR="00FF2998" w:rsidRPr="00A1466F">
        <w:t>, there is emergent evidence that Fleming Fund interventions are stimulating positive changes to practices and attitudes as clinicians and other stakeholders start to interact differently with improved laboratories</w:t>
      </w:r>
      <w:r w:rsidR="00913978" w:rsidRPr="00A1466F">
        <w:t xml:space="preserve">. </w:t>
      </w:r>
      <w:r w:rsidR="005228FB" w:rsidRPr="00A1466F">
        <w:t>Many examples across both HH and AH involved the use of AMC/U data rather than laboratory-derived AST data of the type prioritised in Fleming Fund phase 1</w:t>
      </w:r>
      <w:r w:rsidR="005228FB">
        <w:t>.</w:t>
      </w:r>
    </w:p>
    <w:p w14:paraId="3F41EDD2" w14:textId="4CB76530" w:rsidR="00FF2998" w:rsidRDefault="4BD3A707" w:rsidP="00A1466F">
      <w:pPr>
        <w:pStyle w:val="ItadNormalText"/>
        <w:rPr>
          <w:rFonts w:cs="Calibri"/>
        </w:rPr>
      </w:pPr>
      <w:r w:rsidRPr="00A1466F">
        <w:rPr>
          <w:b/>
          <w:bCs/>
        </w:rPr>
        <w:t xml:space="preserve">At the </w:t>
      </w:r>
      <w:r w:rsidRPr="4EF651D4">
        <w:rPr>
          <w:b/>
          <w:bCs/>
          <w:i/>
          <w:iCs/>
        </w:rPr>
        <w:t>facility level</w:t>
      </w:r>
      <w:r w:rsidRPr="00A1466F">
        <w:rPr>
          <w:b/>
          <w:bCs/>
        </w:rPr>
        <w:t>, there is emergent evidence that Fleming Fund interventions are stimulating positive changes to practices and attitudes as clinicians and other stakeholders start to interact differently with improved laboratories</w:t>
      </w:r>
      <w:r w:rsidR="6230A81B" w:rsidRPr="00A1466F">
        <w:rPr>
          <w:b/>
          <w:bCs/>
        </w:rPr>
        <w:t>.</w:t>
      </w:r>
      <w:r w:rsidR="6230A81B">
        <w:t xml:space="preserve"> </w:t>
      </w:r>
      <w:r w:rsidR="18CC48E1" w:rsidRPr="4EF651D4">
        <w:rPr>
          <w:rFonts w:asciiTheme="minorHAnsi" w:eastAsia="Times New Roman" w:hAnsiTheme="minorHAnsi" w:cstheme="minorBidi"/>
          <w:lang w:eastAsia="en-GB"/>
        </w:rPr>
        <w:t xml:space="preserve">Emergent evidence from this evaluation about facility-level changes is subject to methodological limitations. </w:t>
      </w:r>
      <w:r w:rsidRPr="008343D7">
        <w:t xml:space="preserve">A substantial number of examples were confirmed </w:t>
      </w:r>
      <w:r>
        <w:t xml:space="preserve">in specific facilities </w:t>
      </w:r>
      <w:r w:rsidRPr="008343D7">
        <w:t>across countries (35 examples from 13 of the 16 countries)</w:t>
      </w:r>
      <w:r>
        <w:t xml:space="preserve"> through KIIs</w:t>
      </w:r>
      <w:r w:rsidRPr="008343D7">
        <w:t xml:space="preserve">. Despite extensive efforts, it was not possible to identify any examples in three countries . </w:t>
      </w:r>
      <w:r>
        <w:t>See Annex 9</w:t>
      </w:r>
      <w:r w:rsidR="1CD1D88A" w:rsidRPr="136330C9">
        <w:rPr>
          <w:color w:val="3B3B3C" w:themeColor="text1"/>
        </w:rPr>
        <w:t>.1, Tables 3</w:t>
      </w:r>
      <w:r w:rsidR="29D3F734">
        <w:rPr>
          <w:color w:val="3B3B3C" w:themeColor="text1"/>
        </w:rPr>
        <w:t>6</w:t>
      </w:r>
      <w:r w:rsidR="187C86CF">
        <w:rPr>
          <w:color w:val="3B3B3C" w:themeColor="text1"/>
        </w:rPr>
        <w:t>–</w:t>
      </w:r>
      <w:r w:rsidR="1CD1D88A" w:rsidRPr="136330C9">
        <w:rPr>
          <w:color w:val="3B3B3C" w:themeColor="text1"/>
        </w:rPr>
        <w:t>3</w:t>
      </w:r>
      <w:r w:rsidR="29D3F734">
        <w:rPr>
          <w:color w:val="3B3B3C" w:themeColor="text1"/>
        </w:rPr>
        <w:t>8</w:t>
      </w:r>
      <w:r>
        <w:t xml:space="preserve"> – Examples of use at </w:t>
      </w:r>
      <w:r w:rsidR="0556C8DD">
        <w:t xml:space="preserve">the </w:t>
      </w:r>
      <w:r>
        <w:t>facility level for further evidence and discussion.</w:t>
      </w:r>
      <w:r w:rsidR="46C0A282">
        <w:t xml:space="preserve"> </w:t>
      </w:r>
      <w:r w:rsidRPr="008343D7">
        <w:rPr>
          <w:rFonts w:cs="Calibri"/>
        </w:rPr>
        <w:t xml:space="preserve">These examples suggest an encouraging picture of local data use dynamics in </w:t>
      </w:r>
      <w:r>
        <w:rPr>
          <w:rFonts w:cs="Calibri"/>
        </w:rPr>
        <w:t xml:space="preserve">specific facilities in </w:t>
      </w:r>
      <w:r w:rsidRPr="008343D7">
        <w:rPr>
          <w:rFonts w:cs="Calibri"/>
        </w:rPr>
        <w:t>many Fleming Fund countries. But</w:t>
      </w:r>
      <w:r w:rsidRPr="008343D7" w:rsidDel="00345354">
        <w:rPr>
          <w:rFonts w:cs="Calibri"/>
        </w:rPr>
        <w:t xml:space="preserve"> </w:t>
      </w:r>
      <w:r w:rsidRPr="008343D7">
        <w:rPr>
          <w:rFonts w:cs="Calibri"/>
        </w:rPr>
        <w:t xml:space="preserve">the examples are not necessarily representative of overall local change dynamics </w:t>
      </w:r>
      <w:r>
        <w:rPr>
          <w:rFonts w:cs="Calibri"/>
        </w:rPr>
        <w:t xml:space="preserve">at the overall system level </w:t>
      </w:r>
      <w:r w:rsidRPr="008343D7">
        <w:rPr>
          <w:rFonts w:cs="Calibri"/>
        </w:rPr>
        <w:t xml:space="preserve">within a particular country. Examples were typically difficult to obtain; they were specific to local circumstances and implicitly described activities that resulted from extraordinary initiative and effort, often apparently cutting against norms in wider systems. See examples of use </w:t>
      </w:r>
      <w:r w:rsidRPr="00C5508E">
        <w:t>in</w:t>
      </w:r>
      <w:r w:rsidR="231C54C1">
        <w:rPr>
          <w:rStyle w:val="ItadNormalTextChar"/>
        </w:rPr>
        <w:t xml:space="preserve"> </w:t>
      </w:r>
      <w:r w:rsidR="00E54051">
        <w:rPr>
          <w:rStyle w:val="ItadNormalTextChar"/>
        </w:rPr>
        <w:fldChar w:fldCharType="begin"/>
      </w:r>
      <w:r w:rsidR="00E54051">
        <w:rPr>
          <w:rStyle w:val="ItadNormalTextChar"/>
        </w:rPr>
        <w:instrText xml:space="preserve"> REF _Ref144722167 \h </w:instrText>
      </w:r>
      <w:r w:rsidR="00E54051">
        <w:rPr>
          <w:rStyle w:val="ItadNormalTextChar"/>
        </w:rPr>
      </w:r>
      <w:r w:rsidR="00E54051">
        <w:rPr>
          <w:rStyle w:val="ItadNormalTextChar"/>
        </w:rPr>
        <w:fldChar w:fldCharType="separate"/>
      </w:r>
      <w:r w:rsidR="231C54C1">
        <w:t xml:space="preserve">Table </w:t>
      </w:r>
      <w:r w:rsidR="231C54C1">
        <w:rPr>
          <w:noProof/>
        </w:rPr>
        <w:t>5</w:t>
      </w:r>
      <w:r w:rsidR="00E54051">
        <w:rPr>
          <w:rStyle w:val="ItadNormalTextChar"/>
        </w:rPr>
        <w:fldChar w:fldCharType="end"/>
      </w:r>
      <w:r w:rsidRPr="008343D7">
        <w:rPr>
          <w:noProof/>
        </w:rPr>
        <w:t>.</w:t>
      </w:r>
    </w:p>
    <w:p w14:paraId="5F4D54DF" w14:textId="39562FCD" w:rsidR="00FF2998" w:rsidRPr="008343D7" w:rsidRDefault="00CF7BCC" w:rsidP="002F6B60">
      <w:pPr>
        <w:pStyle w:val="ItadNormalText"/>
        <w:rPr>
          <w:rFonts w:eastAsia="Calibri"/>
          <w:color w:val="767171"/>
          <w:sz w:val="18"/>
          <w:szCs w:val="18"/>
          <w:lang w:eastAsia="en-GB"/>
        </w:rPr>
      </w:pPr>
      <w:r w:rsidRPr="00EE36B0">
        <w:rPr>
          <w:b/>
          <w:lang w:eastAsia="en-GB"/>
        </w:rPr>
        <w:t xml:space="preserve">Emergent evidence from this evaluation about facility-level changes is subject to methodological </w:t>
      </w:r>
      <w:r w:rsidR="00D427F7" w:rsidRPr="00D427F7">
        <w:rPr>
          <w:b/>
          <w:bCs/>
          <w:lang w:eastAsia="en-GB"/>
        </w:rPr>
        <w:t>limitations</w:t>
      </w:r>
      <w:r w:rsidRPr="00EE36B0">
        <w:rPr>
          <w:b/>
          <w:bCs/>
          <w:lang w:eastAsia="en-GB"/>
        </w:rPr>
        <w:t>.</w:t>
      </w:r>
      <w:r w:rsidRPr="00EE36B0">
        <w:rPr>
          <w:b/>
          <w:lang w:eastAsia="en-GB"/>
        </w:rPr>
        <w:t xml:space="preserve"> </w:t>
      </w:r>
      <w:r w:rsidRPr="00EE36B0">
        <w:rPr>
          <w:lang w:eastAsia="en-GB"/>
        </w:rPr>
        <w:t>It is important to note that examples of data use collected at facility level are not necessarily representative of overall local change dynamics at the overall system level within a particular country. First, examples were sought as indications of specific programmatic effect rather than general system dynamics. Examples described particular local circumstances and implicitly described activities that resulted from extraordinary initiative and effort, often apparently cutting against norms in wider systems. Second, practical data collection considerations contingent on resourcing constraints and data collection time windows meant that this evidence-generation effort was undertaken as an impressionistic observational effort. Accordingly</w:t>
      </w:r>
      <w:r w:rsidR="00573F42">
        <w:rPr>
          <w:lang w:eastAsia="en-GB"/>
        </w:rPr>
        <w:t>,</w:t>
      </w:r>
      <w:r w:rsidRPr="00EE36B0">
        <w:rPr>
          <w:lang w:eastAsia="en-GB"/>
        </w:rPr>
        <w:t xml:space="preserve"> the evidence generated is subject to methodological limitations including probable selection, reporting and confirmation bias. For example, the data collected does not allow for analysis of situations in which change did not occur or disappointed expectations. </w:t>
      </w:r>
      <w:r w:rsidR="00D427F7" w:rsidRPr="00EE36B0">
        <w:rPr>
          <w:rStyle w:val="cf01"/>
          <w:rFonts w:asciiTheme="minorHAnsi" w:hAnsiTheme="minorHAnsi" w:cstheme="minorHAnsi"/>
          <w:sz w:val="22"/>
          <w:szCs w:val="22"/>
        </w:rPr>
        <w:t>Third, evidential value is also limited by the lack of quasi-experimental comparison, for example with a control group within Fund scope or possibly with corresponding information from non-Fund countries.</w:t>
      </w:r>
      <w:bookmarkEnd w:id="277"/>
    </w:p>
    <w:p w14:paraId="15AFA5BB" w14:textId="2371D4B2" w:rsidR="00EE36B0" w:rsidRDefault="00EE36B0" w:rsidP="00FF6C94">
      <w:pPr>
        <w:pStyle w:val="ItadCaption"/>
      </w:pPr>
      <w:bookmarkStart w:id="278" w:name="_Ref144722167"/>
      <w:bookmarkStart w:id="279" w:name="_Toc144722297"/>
      <w:r>
        <w:t xml:space="preserve">Table </w:t>
      </w:r>
      <w:r>
        <w:fldChar w:fldCharType="begin"/>
      </w:r>
      <w:r>
        <w:instrText>SEQ Table \* ARABIC</w:instrText>
      </w:r>
      <w:r>
        <w:fldChar w:fldCharType="separate"/>
      </w:r>
      <w:r w:rsidR="00E54051">
        <w:rPr>
          <w:noProof/>
        </w:rPr>
        <w:t>5</w:t>
      </w:r>
      <w:r>
        <w:fldChar w:fldCharType="end"/>
      </w:r>
      <w:bookmarkEnd w:id="278"/>
      <w:r>
        <w:t xml:space="preserve">: </w:t>
      </w:r>
      <w:r w:rsidRPr="00095A7A">
        <w:t>Summary of examples of national action from evaluation focus countries and regions</w:t>
      </w:r>
      <w:bookmarkEnd w:id="279"/>
    </w:p>
    <w:tbl>
      <w:tblPr>
        <w:tblStyle w:val="ItadGreenHeaderRow"/>
        <w:tblW w:w="9015" w:type="dxa"/>
        <w:tblLayout w:type="fixed"/>
        <w:tblLook w:val="04A0" w:firstRow="1" w:lastRow="0" w:firstColumn="1" w:lastColumn="0" w:noHBand="0" w:noVBand="1"/>
      </w:tblPr>
      <w:tblGrid>
        <w:gridCol w:w="1442"/>
        <w:gridCol w:w="3786"/>
        <w:gridCol w:w="3787"/>
      </w:tblGrid>
      <w:tr w:rsidR="00FF2998" w:rsidRPr="00EE36B0" w14:paraId="70A92F1F" w14:textId="77777777" w:rsidTr="00504E64">
        <w:trPr>
          <w:cnfStyle w:val="100000000000" w:firstRow="1" w:lastRow="0" w:firstColumn="0" w:lastColumn="0" w:oddVBand="0" w:evenVBand="0" w:oddHBand="0" w:evenHBand="0" w:firstRowFirstColumn="0" w:firstRowLastColumn="0" w:lastRowFirstColumn="0" w:lastRowLastColumn="0"/>
        </w:trPr>
        <w:tc>
          <w:tcPr>
            <w:tcW w:w="1442" w:type="dxa"/>
            <w:shd w:val="clear" w:color="auto" w:fill="DCEAD6" w:themeFill="text2" w:themeFillTint="33"/>
          </w:tcPr>
          <w:p w14:paraId="34BDE912" w14:textId="77777777" w:rsidR="00FF2998" w:rsidRPr="002F6B60" w:rsidRDefault="00FF2998" w:rsidP="00371D8F">
            <w:pPr>
              <w:rPr>
                <w:rFonts w:eastAsia="Calibri" w:cs="Calibri"/>
                <w:b/>
                <w:bCs/>
                <w:color w:val="3B3B3C"/>
                <w:sz w:val="20"/>
                <w:szCs w:val="20"/>
              </w:rPr>
            </w:pPr>
          </w:p>
        </w:tc>
        <w:tc>
          <w:tcPr>
            <w:tcW w:w="3786" w:type="dxa"/>
            <w:shd w:val="clear" w:color="auto" w:fill="DCEAD6" w:themeFill="text2" w:themeFillTint="33"/>
          </w:tcPr>
          <w:p w14:paraId="74A32D41" w14:textId="77777777" w:rsidR="00FF2998" w:rsidRPr="002F6B60" w:rsidRDefault="00FF2998" w:rsidP="00371D8F">
            <w:pPr>
              <w:jc w:val="center"/>
              <w:rPr>
                <w:rFonts w:eastAsia="Calibri" w:cs="Calibri"/>
                <w:b/>
                <w:bCs/>
                <w:color w:val="3B3B3C"/>
                <w:sz w:val="20"/>
                <w:szCs w:val="20"/>
              </w:rPr>
            </w:pPr>
            <w:r w:rsidRPr="002F6B60">
              <w:rPr>
                <w:rFonts w:eastAsia="Calibri" w:cs="Calibri"/>
                <w:b/>
                <w:bCs/>
                <w:color w:val="3B3B3C"/>
                <w:sz w:val="20"/>
                <w:szCs w:val="20"/>
              </w:rPr>
              <w:t>Human Health</w:t>
            </w:r>
          </w:p>
        </w:tc>
        <w:tc>
          <w:tcPr>
            <w:tcW w:w="3787" w:type="dxa"/>
            <w:shd w:val="clear" w:color="auto" w:fill="DCEAD6" w:themeFill="text2" w:themeFillTint="33"/>
          </w:tcPr>
          <w:p w14:paraId="330C0F06" w14:textId="77777777" w:rsidR="00FF2998" w:rsidRPr="002F6B60" w:rsidRDefault="00FF2998" w:rsidP="00371D8F">
            <w:pPr>
              <w:jc w:val="center"/>
              <w:rPr>
                <w:rFonts w:eastAsia="Calibri" w:cs="Calibri"/>
                <w:b/>
                <w:bCs/>
                <w:color w:val="3B3B3C"/>
                <w:sz w:val="20"/>
                <w:szCs w:val="20"/>
              </w:rPr>
            </w:pPr>
            <w:r w:rsidRPr="002F6B60">
              <w:rPr>
                <w:rFonts w:eastAsia="Calibri" w:cs="Calibri"/>
                <w:b/>
                <w:bCs/>
                <w:color w:val="3B3B3C"/>
                <w:sz w:val="20"/>
                <w:szCs w:val="20"/>
              </w:rPr>
              <w:t>Animal Health</w:t>
            </w:r>
          </w:p>
        </w:tc>
      </w:tr>
      <w:tr w:rsidR="00FF2998" w:rsidRPr="008343D7" w14:paraId="0CFF0D87" w14:textId="77777777" w:rsidTr="00504E64">
        <w:trPr>
          <w:cnfStyle w:val="000000100000" w:firstRow="0" w:lastRow="0" w:firstColumn="0" w:lastColumn="0" w:oddVBand="0" w:evenVBand="0" w:oddHBand="1" w:evenHBand="0" w:firstRowFirstColumn="0" w:firstRowLastColumn="0" w:lastRowFirstColumn="0" w:lastRowLastColumn="0"/>
        </w:trPr>
        <w:tc>
          <w:tcPr>
            <w:tcW w:w="1442" w:type="dxa"/>
          </w:tcPr>
          <w:p w14:paraId="25819F37" w14:textId="4F7B070A" w:rsidR="00FF2998" w:rsidRPr="008343D7" w:rsidRDefault="00FF2998" w:rsidP="00371D8F">
            <w:pPr>
              <w:rPr>
                <w:rFonts w:eastAsia="Calibri" w:cs="Calibri"/>
                <w:color w:val="3B3B3C"/>
                <w:sz w:val="20"/>
                <w:szCs w:val="20"/>
              </w:rPr>
            </w:pPr>
            <w:r w:rsidRPr="008343D7">
              <w:rPr>
                <w:rFonts w:eastAsia="Calibri" w:cs="Calibri"/>
                <w:color w:val="3B3B3C"/>
                <w:sz w:val="20"/>
                <w:szCs w:val="20"/>
              </w:rPr>
              <w:t xml:space="preserve">A </w:t>
            </w:r>
            <w:r w:rsidR="00AA6A7B">
              <w:rPr>
                <w:rFonts w:eastAsia="Calibri" w:cs="Calibri"/>
                <w:color w:val="3B3B3C"/>
                <w:sz w:val="20"/>
                <w:szCs w:val="20"/>
              </w:rPr>
              <w:t>‘</w:t>
            </w:r>
            <w:r w:rsidRPr="008343D7">
              <w:rPr>
                <w:rFonts w:eastAsia="Calibri" w:cs="Calibri"/>
                <w:color w:val="3B3B3C"/>
                <w:sz w:val="20"/>
                <w:szCs w:val="20"/>
              </w:rPr>
              <w:t>typical</w:t>
            </w:r>
            <w:r w:rsidR="00AA6A7B">
              <w:rPr>
                <w:rFonts w:eastAsia="Calibri" w:cs="Calibri"/>
                <w:color w:val="3B3B3C"/>
                <w:sz w:val="20"/>
                <w:szCs w:val="20"/>
              </w:rPr>
              <w:t>’</w:t>
            </w:r>
            <w:r w:rsidRPr="008343D7">
              <w:rPr>
                <w:rFonts w:eastAsia="Calibri" w:cs="Calibri"/>
                <w:color w:val="3B3B3C"/>
                <w:sz w:val="20"/>
                <w:szCs w:val="20"/>
              </w:rPr>
              <w:t xml:space="preserve"> example</w:t>
            </w:r>
          </w:p>
        </w:tc>
        <w:tc>
          <w:tcPr>
            <w:tcW w:w="3786" w:type="dxa"/>
          </w:tcPr>
          <w:p w14:paraId="78C5CAA2" w14:textId="2DF8C75A" w:rsidR="00FF2998" w:rsidRPr="008343D7" w:rsidRDefault="00FF2998" w:rsidP="00371D8F">
            <w:pPr>
              <w:rPr>
                <w:rFonts w:eastAsia="Calibri" w:cs="Calibri"/>
                <w:color w:val="3B3B3C"/>
                <w:sz w:val="20"/>
                <w:szCs w:val="20"/>
              </w:rPr>
            </w:pPr>
            <w:r w:rsidRPr="008343D7">
              <w:rPr>
                <w:rFonts w:eastAsia="Calibri" w:cs="Calibri"/>
                <w:b/>
                <w:color w:val="3B3B3C"/>
                <w:sz w:val="20"/>
                <w:szCs w:val="20"/>
              </w:rPr>
              <w:t xml:space="preserve">#21–- Eastern Regional Hospital, Koforidua, Ghana. </w:t>
            </w:r>
            <w:r w:rsidRPr="008343D7">
              <w:rPr>
                <w:rFonts w:eastAsia="Calibri" w:cs="Calibri"/>
                <w:color w:val="3B3B3C"/>
                <w:sz w:val="20"/>
                <w:szCs w:val="20"/>
              </w:rPr>
              <w:t>Over 2020</w:t>
            </w:r>
            <w:r w:rsidR="00EE36B0">
              <w:rPr>
                <w:rFonts w:eastAsia="Calibri" w:cs="Calibri"/>
                <w:color w:val="3B3B3C"/>
                <w:sz w:val="20"/>
                <w:szCs w:val="20"/>
              </w:rPr>
              <w:t>–</w:t>
            </w:r>
            <w:r w:rsidRPr="008343D7">
              <w:rPr>
                <w:rFonts w:eastAsia="Calibri" w:cs="Calibri"/>
                <w:color w:val="3B3B3C"/>
                <w:sz w:val="20"/>
                <w:szCs w:val="20"/>
              </w:rPr>
              <w:t>21, Fleming Fund</w:t>
            </w:r>
            <w:r w:rsidR="00AA6A7B">
              <w:rPr>
                <w:rFonts w:eastAsia="Calibri" w:cs="Calibri"/>
                <w:color w:val="3B3B3C"/>
                <w:sz w:val="20"/>
                <w:szCs w:val="20"/>
              </w:rPr>
              <w:t>’</w:t>
            </w:r>
            <w:r w:rsidRPr="008343D7">
              <w:rPr>
                <w:rFonts w:eastAsia="Calibri" w:cs="Calibri"/>
                <w:color w:val="3B3B3C"/>
                <w:sz w:val="20"/>
                <w:szCs w:val="20"/>
              </w:rPr>
              <w:t xml:space="preserve">s supply of an automated blood culture machine and consumables to the hospital Bacteriology Unit enabled it to supply improved data on the resistance pattern of blood culture isolates to the Antibiotic Committee. Work is ongoing to review the hospital drug formulary using this insight into current local AMR patterns. </w:t>
            </w:r>
          </w:p>
        </w:tc>
        <w:tc>
          <w:tcPr>
            <w:tcW w:w="3787" w:type="dxa"/>
          </w:tcPr>
          <w:p w14:paraId="56FB97E5" w14:textId="3C04922D" w:rsidR="00FF2998" w:rsidRPr="008343D7" w:rsidRDefault="00FF2998" w:rsidP="00371D8F">
            <w:pPr>
              <w:rPr>
                <w:rFonts w:eastAsia="Calibri" w:cs="Calibri"/>
                <w:color w:val="3B3B3C"/>
                <w:sz w:val="20"/>
                <w:szCs w:val="20"/>
              </w:rPr>
            </w:pPr>
            <w:r w:rsidRPr="008343D7">
              <w:rPr>
                <w:rFonts w:eastAsia="Calibri" w:cs="Calibri"/>
                <w:b/>
                <w:color w:val="3B3B3C"/>
                <w:sz w:val="20"/>
                <w:szCs w:val="20"/>
                <w:lang w:val="it-IT"/>
              </w:rPr>
              <w:t>#27–- Tanzania Veterinary Laboratory Agency Mwanza Zonal Lab, Mwanza, Tanzania.</w:t>
            </w:r>
            <w:r w:rsidRPr="008343D7">
              <w:rPr>
                <w:rFonts w:eastAsia="Calibri" w:cs="Calibri"/>
                <w:color w:val="3B3B3C"/>
                <w:sz w:val="20"/>
                <w:szCs w:val="20"/>
                <w:lang w:val="it-IT"/>
              </w:rPr>
              <w:t xml:space="preserve"> </w:t>
            </w:r>
            <w:r w:rsidRPr="008343D7">
              <w:rPr>
                <w:rFonts w:eastAsia="Calibri" w:cs="Calibri"/>
                <w:color w:val="3B3B3C"/>
                <w:sz w:val="20"/>
                <w:szCs w:val="20"/>
              </w:rPr>
              <w:t>Over 2021</w:t>
            </w:r>
            <w:r w:rsidR="00EE36B0">
              <w:rPr>
                <w:rFonts w:eastAsia="Calibri" w:cs="Calibri"/>
                <w:color w:val="3B3B3C"/>
                <w:sz w:val="20"/>
                <w:szCs w:val="20"/>
              </w:rPr>
              <w:t>–</w:t>
            </w:r>
            <w:r w:rsidRPr="008343D7">
              <w:rPr>
                <w:rFonts w:eastAsia="Calibri" w:cs="Calibri"/>
                <w:color w:val="3B3B3C"/>
                <w:sz w:val="20"/>
                <w:szCs w:val="20"/>
              </w:rPr>
              <w:t>22, Fleming Fund</w:t>
            </w:r>
            <w:r w:rsidR="00AA6A7B">
              <w:rPr>
                <w:rFonts w:eastAsia="Calibri" w:cs="Calibri"/>
                <w:color w:val="3B3B3C"/>
                <w:sz w:val="20"/>
                <w:szCs w:val="20"/>
              </w:rPr>
              <w:t>’</w:t>
            </w:r>
            <w:r w:rsidRPr="008343D7">
              <w:rPr>
                <w:rFonts w:eastAsia="Calibri" w:cs="Calibri"/>
                <w:color w:val="3B3B3C"/>
                <w:sz w:val="20"/>
                <w:szCs w:val="20"/>
              </w:rPr>
              <w:t>s provision of equipment, reagents</w:t>
            </w:r>
            <w:r w:rsidR="00CC05BC">
              <w:rPr>
                <w:rFonts w:eastAsia="Calibri" w:cs="Calibri"/>
                <w:color w:val="3B3B3C"/>
                <w:sz w:val="20"/>
                <w:szCs w:val="20"/>
              </w:rPr>
              <w:t>,</w:t>
            </w:r>
            <w:r w:rsidRPr="008343D7">
              <w:rPr>
                <w:rFonts w:eastAsia="Calibri" w:cs="Calibri"/>
                <w:color w:val="3B3B3C"/>
                <w:sz w:val="20"/>
                <w:szCs w:val="20"/>
              </w:rPr>
              <w:t xml:space="preserve"> and training enabled the laboratory to undertake AST for poultry and cattle farmers facing morbidity and mortality due to ineffective treatment of typhoid and mastitis. Test results were used as evidence to adjust treatment, improve </w:t>
            </w:r>
            <w:r w:rsidRPr="008343D7" w:rsidDel="00976ECC">
              <w:rPr>
                <w:rFonts w:eastAsia="Calibri" w:cs="Calibri"/>
                <w:color w:val="3B3B3C"/>
                <w:sz w:val="20"/>
                <w:szCs w:val="20"/>
              </w:rPr>
              <w:t>outcomes</w:t>
            </w:r>
            <w:r w:rsidRPr="008343D7">
              <w:rPr>
                <w:rFonts w:eastAsia="Calibri" w:cs="Calibri"/>
                <w:color w:val="3B3B3C"/>
                <w:sz w:val="20"/>
                <w:szCs w:val="20"/>
              </w:rPr>
              <w:t>, and protect investments.</w:t>
            </w:r>
          </w:p>
        </w:tc>
      </w:tr>
      <w:tr w:rsidR="00FF2998" w:rsidRPr="008343D7" w14:paraId="73C99420" w14:textId="77777777" w:rsidTr="00504E64">
        <w:trPr>
          <w:cnfStyle w:val="000000010000" w:firstRow="0" w:lastRow="0" w:firstColumn="0" w:lastColumn="0" w:oddVBand="0" w:evenVBand="0" w:oddHBand="0" w:evenHBand="1" w:firstRowFirstColumn="0" w:firstRowLastColumn="0" w:lastRowFirstColumn="0" w:lastRowLastColumn="0"/>
        </w:trPr>
        <w:tc>
          <w:tcPr>
            <w:tcW w:w="1442" w:type="dxa"/>
          </w:tcPr>
          <w:p w14:paraId="2FB6A5A6" w14:textId="77777777" w:rsidR="00FF2998" w:rsidRPr="008343D7" w:rsidRDefault="00FF2998" w:rsidP="00371D8F">
            <w:pPr>
              <w:rPr>
                <w:rFonts w:eastAsia="Calibri" w:cs="Calibri"/>
                <w:color w:val="3B3B3C"/>
                <w:sz w:val="20"/>
                <w:szCs w:val="20"/>
              </w:rPr>
            </w:pPr>
            <w:r w:rsidRPr="008343D7">
              <w:rPr>
                <w:rFonts w:eastAsia="Calibri" w:cs="Calibri"/>
                <w:color w:val="3B3B3C"/>
                <w:sz w:val="20"/>
                <w:szCs w:val="20"/>
              </w:rPr>
              <w:t>A remarkable example</w:t>
            </w:r>
          </w:p>
        </w:tc>
        <w:tc>
          <w:tcPr>
            <w:tcW w:w="3786" w:type="dxa"/>
          </w:tcPr>
          <w:p w14:paraId="0CFD8E3A" w14:textId="166890F5" w:rsidR="00FF2998" w:rsidRPr="008343D7" w:rsidRDefault="00FF2998" w:rsidP="00371D8F">
            <w:pPr>
              <w:rPr>
                <w:rFonts w:eastAsia="Calibri" w:cs="Calibri"/>
                <w:color w:val="3B3B3C"/>
                <w:sz w:val="20"/>
                <w:szCs w:val="20"/>
              </w:rPr>
            </w:pPr>
            <w:r w:rsidRPr="008343D7">
              <w:rPr>
                <w:rFonts w:eastAsia="Calibri" w:cs="Calibri"/>
                <w:b/>
                <w:color w:val="3B3B3C"/>
                <w:sz w:val="20"/>
                <w:szCs w:val="20"/>
              </w:rPr>
              <w:t>#17–- The Indus Hospital and Health Network (IHHN), Sindh, Punjab</w:t>
            </w:r>
            <w:r w:rsidR="00CC05BC">
              <w:rPr>
                <w:rFonts w:eastAsia="Calibri" w:cs="Calibri"/>
                <w:b/>
                <w:color w:val="3B3B3C"/>
                <w:sz w:val="20"/>
                <w:szCs w:val="20"/>
              </w:rPr>
              <w:t>,</w:t>
            </w:r>
            <w:r w:rsidRPr="008343D7">
              <w:rPr>
                <w:rFonts w:eastAsia="Calibri" w:cs="Calibri"/>
                <w:b/>
                <w:color w:val="3B3B3C"/>
                <w:sz w:val="20"/>
                <w:szCs w:val="20"/>
              </w:rPr>
              <w:t xml:space="preserve"> and Khyber Pakhtunkhwa, Pakistan. </w:t>
            </w:r>
            <w:r w:rsidRPr="008343D7">
              <w:rPr>
                <w:rFonts w:eastAsia="Calibri" w:cs="Calibri"/>
                <w:color w:val="3B3B3C"/>
                <w:sz w:val="20"/>
                <w:szCs w:val="20"/>
              </w:rPr>
              <w:t>Over 2021, Fleming Fund CG2s worked with six hospitals across the IHHN to develop a clinical engagement programme using laboratory reports in combination with a new facility planning tool. This has enabled the development of a broad AMS programme in each site, including teaching and training, IPC function links</w:t>
            </w:r>
            <w:r w:rsidR="00CC05BC">
              <w:rPr>
                <w:rFonts w:eastAsia="Calibri" w:cs="Calibri"/>
                <w:color w:val="3B3B3C"/>
                <w:sz w:val="20"/>
                <w:szCs w:val="20"/>
              </w:rPr>
              <w:t>,</w:t>
            </w:r>
            <w:r w:rsidRPr="008343D7">
              <w:rPr>
                <w:rFonts w:eastAsia="Calibri" w:cs="Calibri"/>
                <w:color w:val="3B3B3C"/>
                <w:sz w:val="20"/>
                <w:szCs w:val="20"/>
              </w:rPr>
              <w:t xml:space="preserve"> and improved procurement planning. Initial observations suggested improved prescription practices as well as increased demand for AST. </w:t>
            </w:r>
          </w:p>
        </w:tc>
        <w:tc>
          <w:tcPr>
            <w:tcW w:w="3787" w:type="dxa"/>
          </w:tcPr>
          <w:p w14:paraId="7645EE08" w14:textId="10FA0700" w:rsidR="00FF2998" w:rsidRPr="008343D7" w:rsidRDefault="00FF2998" w:rsidP="00371D8F">
            <w:pPr>
              <w:rPr>
                <w:rFonts w:eastAsia="Calibri" w:cs="Calibri"/>
                <w:color w:val="3B3B3C"/>
                <w:sz w:val="20"/>
                <w:szCs w:val="20"/>
              </w:rPr>
            </w:pPr>
            <w:r w:rsidRPr="008343D7">
              <w:rPr>
                <w:rFonts w:eastAsia="Calibri" w:cs="Calibri"/>
                <w:b/>
                <w:color w:val="3B3B3C"/>
                <w:sz w:val="20"/>
                <w:szCs w:val="20"/>
              </w:rPr>
              <w:t xml:space="preserve">#16–- Microbiology Department of the National Centre for Veterinary Hygiene Inspection Nos. 1 and 2, Hanoi and Ho Chi Minh City, Vietnam. </w:t>
            </w:r>
            <w:r w:rsidRPr="008343D7">
              <w:rPr>
                <w:rFonts w:eastAsia="Calibri" w:cs="Calibri"/>
                <w:color w:val="3B3B3C"/>
                <w:sz w:val="20"/>
                <w:szCs w:val="20"/>
              </w:rPr>
              <w:t>As things stand in 2022, Fleming Fund</w:t>
            </w:r>
            <w:r w:rsidR="00AA6A7B">
              <w:rPr>
                <w:rFonts w:eastAsia="Calibri" w:cs="Calibri"/>
                <w:color w:val="3B3B3C"/>
                <w:sz w:val="20"/>
                <w:szCs w:val="20"/>
              </w:rPr>
              <w:t>’</w:t>
            </w:r>
            <w:r w:rsidRPr="008343D7">
              <w:rPr>
                <w:rFonts w:eastAsia="Calibri" w:cs="Calibri"/>
                <w:color w:val="3B3B3C"/>
                <w:sz w:val="20"/>
                <w:szCs w:val="20"/>
              </w:rPr>
              <w:t>s support, to process and sample collection in these laboratories, has helped boost the data that they provide to relevant functions in the Ministry of Agriculture and Rural Development, the sector regulator. In addition to use for SOP development, this data has helped inform the development of budget allocation requests that have been submitted to the Provincial People</w:t>
            </w:r>
            <w:r w:rsidR="00AA6A7B">
              <w:rPr>
                <w:rFonts w:eastAsia="Calibri" w:cs="Calibri"/>
                <w:color w:val="3B3B3C"/>
                <w:sz w:val="20"/>
                <w:szCs w:val="20"/>
              </w:rPr>
              <w:t>’</w:t>
            </w:r>
            <w:r w:rsidRPr="008343D7">
              <w:rPr>
                <w:rFonts w:eastAsia="Calibri" w:cs="Calibri"/>
                <w:color w:val="3B3B3C"/>
                <w:sz w:val="20"/>
                <w:szCs w:val="20"/>
              </w:rPr>
              <w:t xml:space="preserve">s Committees </w:t>
            </w:r>
            <w:r w:rsidR="00CC05BC">
              <w:rPr>
                <w:rFonts w:eastAsia="Calibri" w:cs="Calibri"/>
                <w:color w:val="3B3B3C"/>
                <w:sz w:val="20"/>
                <w:szCs w:val="20"/>
              </w:rPr>
              <w:t>to fund</w:t>
            </w:r>
            <w:r w:rsidRPr="008343D7">
              <w:rPr>
                <w:rFonts w:eastAsia="Calibri" w:cs="Calibri"/>
                <w:color w:val="3B3B3C"/>
                <w:sz w:val="20"/>
                <w:szCs w:val="20"/>
              </w:rPr>
              <w:t xml:space="preserve"> ongoing surveillance.</w:t>
            </w:r>
          </w:p>
        </w:tc>
      </w:tr>
    </w:tbl>
    <w:p w14:paraId="3BE70E6B" w14:textId="3A74AC6E" w:rsidR="00FF2998" w:rsidRPr="00EE36B0" w:rsidRDefault="00FF2998" w:rsidP="00EE36B0">
      <w:pPr>
        <w:pStyle w:val="ItadNormalText"/>
      </w:pPr>
      <w:bookmarkStart w:id="280" w:name="_Hlk136474264"/>
      <w:r w:rsidRPr="00EE36B0">
        <w:rPr>
          <w:b/>
          <w:bCs/>
        </w:rPr>
        <w:t xml:space="preserve">Many examples across both HH and AH involved the use of AMC/U data rather than laboratory-derived AST data of the type prioritised in Fleming Fund </w:t>
      </w:r>
      <w:r w:rsidR="00222C91" w:rsidRPr="00EE36B0">
        <w:rPr>
          <w:b/>
          <w:bCs/>
        </w:rPr>
        <w:t>phase 1</w:t>
      </w:r>
      <w:r w:rsidRPr="00EE36B0">
        <w:rPr>
          <w:b/>
          <w:bCs/>
        </w:rPr>
        <w:t>.</w:t>
      </w:r>
      <w:r>
        <w:t xml:space="preserve"> As discussed in Annex 9</w:t>
      </w:r>
      <w:r w:rsidR="00BC66A1">
        <w:t>.1</w:t>
      </w:r>
      <w:r>
        <w:t xml:space="preserve">, </w:t>
      </w:r>
      <w:r w:rsidR="00AC1BC7" w:rsidRPr="00EE36B0">
        <w:t>t</w:t>
      </w:r>
      <w:r w:rsidRPr="00EE36B0">
        <w:t>he majority of examples offered focused on AMS as the objective of relevant data use (20/35 or ~57%). Otherwise</w:t>
      </w:r>
      <w:r w:rsidR="001B35CC" w:rsidRPr="00EE36B0">
        <w:t>,</w:t>
      </w:r>
      <w:r w:rsidRPr="00EE36B0">
        <w:t xml:space="preserve"> a significant proportion targeted awareness-raising objectives (8/35 or ~23%). A further significant proportion pursued IPC objectives (7/35 or 20%), mostly in combination with AMS goals (4/35 or ~11%).</w:t>
      </w:r>
    </w:p>
    <w:p w14:paraId="4E28CD55" w14:textId="77777777" w:rsidR="00FF2998" w:rsidRPr="008A5F96" w:rsidRDefault="00FF2998" w:rsidP="00573F42">
      <w:pPr>
        <w:pStyle w:val="ItadH3"/>
      </w:pPr>
      <w:bookmarkStart w:id="281" w:name="_Toc129349700"/>
      <w:bookmarkStart w:id="282" w:name="_Ref129333571"/>
      <w:bookmarkStart w:id="283" w:name="_Toc144049386"/>
      <w:bookmarkStart w:id="284" w:name="_Toc144715819"/>
      <w:bookmarkEnd w:id="280"/>
      <w:bookmarkEnd w:id="281"/>
      <w:r w:rsidRPr="008A5F96">
        <w:t>What were the drivers of changes to the use of AMR data</w:t>
      </w:r>
      <w:bookmarkEnd w:id="282"/>
      <w:bookmarkEnd w:id="283"/>
      <w:bookmarkEnd w:id="284"/>
    </w:p>
    <w:p w14:paraId="0E5A0DB3" w14:textId="3E2CDE92" w:rsidR="00FF2998" w:rsidRPr="00CA5A28" w:rsidRDefault="00FF2998" w:rsidP="00CA5A28">
      <w:pPr>
        <w:pStyle w:val="ItadH4"/>
      </w:pPr>
      <w:bookmarkStart w:id="285" w:name="_Toc144049387"/>
      <w:bookmarkStart w:id="286" w:name="_Hlk136474377"/>
      <w:r w:rsidRPr="00CA5A28">
        <w:t>Drivers of progress on data sharing at the national level</w:t>
      </w:r>
      <w:bookmarkEnd w:id="285"/>
    </w:p>
    <w:p w14:paraId="4900914B" w14:textId="4ACFA278" w:rsidR="00FF2998" w:rsidRPr="008343D7" w:rsidRDefault="00BA0A62" w:rsidP="008A5F96">
      <w:pPr>
        <w:pStyle w:val="ItadNormalTextBold"/>
      </w:pPr>
      <w:bookmarkStart w:id="287" w:name="_Hlk129331425"/>
      <w:r w:rsidRPr="00CA5A28">
        <w:t>Finding 2.2.</w:t>
      </w:r>
      <w:r w:rsidR="00D90E0A" w:rsidRPr="00CA5A28">
        <w:t>5</w:t>
      </w:r>
      <w:r w:rsidRPr="00CA5A28">
        <w:t xml:space="preserve">: </w:t>
      </w:r>
      <w:r w:rsidR="00FF2998" w:rsidRPr="00CA5A28">
        <w:t xml:space="preserve">We have identified </w:t>
      </w:r>
      <w:r w:rsidR="00BA7E7D" w:rsidRPr="00CA5A28">
        <w:t>several</w:t>
      </w:r>
      <w:r w:rsidR="00FF2998" w:rsidRPr="00CA5A28">
        <w:t xml:space="preserve"> factors that have driven the examples of data sharing noted above </w:t>
      </w:r>
      <w:r w:rsidR="00FF2998" w:rsidRPr="00CA5A28">
        <w:rPr>
          <w:b w:val="0"/>
          <w:bCs w:val="0"/>
          <w:i/>
          <w:iCs/>
        </w:rPr>
        <w:t xml:space="preserve">(see </w:t>
      </w:r>
      <w:r w:rsidR="00E54051" w:rsidRPr="00E54051">
        <w:rPr>
          <w:b w:val="0"/>
          <w:bCs w:val="0"/>
          <w:i/>
          <w:iCs/>
        </w:rPr>
        <w:fldChar w:fldCharType="begin"/>
      </w:r>
      <w:r w:rsidR="00E54051" w:rsidRPr="00E54051">
        <w:rPr>
          <w:b w:val="0"/>
          <w:bCs w:val="0"/>
          <w:i/>
          <w:iCs/>
        </w:rPr>
        <w:instrText xml:space="preserve"> REF _Ref144103094 \h  \* MERGEFORMAT </w:instrText>
      </w:r>
      <w:r w:rsidR="00E54051" w:rsidRPr="00E54051">
        <w:rPr>
          <w:b w:val="0"/>
          <w:bCs w:val="0"/>
          <w:i/>
          <w:iCs/>
        </w:rPr>
      </w:r>
      <w:r w:rsidR="00E54051" w:rsidRPr="00E54051">
        <w:rPr>
          <w:b w:val="0"/>
          <w:bCs w:val="0"/>
          <w:i/>
          <w:iCs/>
        </w:rPr>
        <w:fldChar w:fldCharType="separate"/>
      </w:r>
      <w:r w:rsidR="00E54051" w:rsidRPr="00E54051">
        <w:rPr>
          <w:b w:val="0"/>
          <w:bCs w:val="0"/>
          <w:i/>
          <w:iCs/>
        </w:rPr>
        <w:t xml:space="preserve">Table </w:t>
      </w:r>
      <w:r w:rsidR="00E54051" w:rsidRPr="00E54051">
        <w:rPr>
          <w:b w:val="0"/>
          <w:bCs w:val="0"/>
          <w:i/>
          <w:iCs/>
          <w:noProof/>
        </w:rPr>
        <w:t>6</w:t>
      </w:r>
      <w:r w:rsidR="00E54051" w:rsidRPr="00E54051">
        <w:rPr>
          <w:b w:val="0"/>
          <w:bCs w:val="0"/>
          <w:i/>
          <w:iCs/>
        </w:rPr>
        <w:fldChar w:fldCharType="end"/>
      </w:r>
      <w:r w:rsidR="00E54051">
        <w:rPr>
          <w:b w:val="0"/>
          <w:bCs w:val="0"/>
          <w:i/>
          <w:iCs/>
        </w:rPr>
        <w:t xml:space="preserve"> </w:t>
      </w:r>
      <w:r w:rsidR="00FF2998" w:rsidRPr="00CA5A28">
        <w:rPr>
          <w:b w:val="0"/>
          <w:bCs w:val="0"/>
          <w:i/>
          <w:iCs/>
          <w:color w:val="3B3B3C" w:themeColor="text1"/>
        </w:rPr>
        <w:t>b</w:t>
      </w:r>
      <w:r w:rsidR="00FF2998" w:rsidRPr="00CA5A28">
        <w:rPr>
          <w:b w:val="0"/>
          <w:bCs w:val="0"/>
          <w:i/>
          <w:iCs/>
        </w:rPr>
        <w:t xml:space="preserve">elow, and </w:t>
      </w:r>
      <w:r w:rsidR="00803F81" w:rsidRPr="00CA5A28">
        <w:rPr>
          <w:b w:val="0"/>
          <w:bCs w:val="0"/>
          <w:i/>
          <w:iCs/>
        </w:rPr>
        <w:t>Vol. I</w:t>
      </w:r>
      <w:r w:rsidR="00FF2998" w:rsidRPr="00CA5A28">
        <w:rPr>
          <w:b w:val="0"/>
          <w:bCs w:val="0"/>
          <w:i/>
          <w:iCs/>
        </w:rPr>
        <w:t>I, Annex 22</w:t>
      </w:r>
      <w:r w:rsidR="005756BD" w:rsidRPr="00CA5A28">
        <w:rPr>
          <w:b w:val="0"/>
          <w:bCs w:val="0"/>
          <w:i/>
          <w:iCs/>
        </w:rPr>
        <w:t xml:space="preserve">, Table </w:t>
      </w:r>
      <w:r w:rsidR="00A23C06" w:rsidRPr="00CA5A28">
        <w:rPr>
          <w:b w:val="0"/>
          <w:bCs w:val="0"/>
          <w:i/>
          <w:iCs/>
        </w:rPr>
        <w:t>C</w:t>
      </w:r>
      <w:r w:rsidR="005756BD" w:rsidRPr="00CA5A28">
        <w:rPr>
          <w:b w:val="0"/>
          <w:bCs w:val="0"/>
          <w:i/>
          <w:iCs/>
        </w:rPr>
        <w:t>3</w:t>
      </w:r>
      <w:r w:rsidR="00FF2998" w:rsidRPr="00CA5A28">
        <w:rPr>
          <w:b w:val="0"/>
          <w:bCs w:val="0"/>
          <w:i/>
          <w:iCs/>
        </w:rPr>
        <w:t xml:space="preserve"> for more details)</w:t>
      </w:r>
      <w:r w:rsidR="00FF2998" w:rsidRPr="00CA5A28">
        <w:t>.</w:t>
      </w:r>
      <w:r w:rsidR="00FF2998" w:rsidRPr="00CA5A28" w:rsidDel="007D2E99">
        <w:t xml:space="preserve"> </w:t>
      </w:r>
      <w:r w:rsidR="00FF2998" w:rsidRPr="00CA5A28">
        <w:t xml:space="preserve">For data sharing at </w:t>
      </w:r>
      <w:r w:rsidR="002372D6" w:rsidRPr="00CA5A28">
        <w:t xml:space="preserve">the </w:t>
      </w:r>
      <w:r w:rsidR="00FF2998" w:rsidRPr="00CA5A28">
        <w:t>national level</w:t>
      </w:r>
      <w:r w:rsidR="00AC1BC7" w:rsidRPr="00CA5A28">
        <w:t>,</w:t>
      </w:r>
      <w:r w:rsidR="00FF2998" w:rsidRPr="00CA5A28">
        <w:t xml:space="preserve"> these include increases in quantity of data, development of surveillance functions to link data to governance structures, and formal governance structures (albeit with the important limitations observed):</w:t>
      </w:r>
    </w:p>
    <w:p w14:paraId="35D2D4B8" w14:textId="48B69D50" w:rsidR="00FF2998" w:rsidRPr="008343D7" w:rsidRDefault="4BD3A707" w:rsidP="00CA5A28">
      <w:pPr>
        <w:pStyle w:val="ItadBullets"/>
        <w:rPr>
          <w:sz w:val="24"/>
          <w:szCs w:val="24"/>
        </w:rPr>
      </w:pPr>
      <w:r w:rsidRPr="4EF651D4">
        <w:rPr>
          <w:b/>
          <w:bCs/>
        </w:rPr>
        <w:t xml:space="preserve">Increased quantity of data led to data sharing in some, but not all, countries. </w:t>
      </w:r>
      <w:r>
        <w:t xml:space="preserve">Data sharing improved markedly in some countries in which the quantity of data also improved significantly, and </w:t>
      </w:r>
      <w:r w:rsidR="450E271E">
        <w:t xml:space="preserve">key informant </w:t>
      </w:r>
      <w:r>
        <w:t>respondents noted limited progress with data sharing in others where there was no increase in data . But data sharing gains were made in other countries despite relatively muted changes in the quantity of data  and it was more common to see limited data sharing taking place despite increases in quantity of data – suggesting other important factors were delaying and complicating data use . It is worth noting that ensuring availability/quantity of data is more of a challenge in the passive systems that are predominant in HH</w:t>
      </w:r>
      <w:r w:rsidR="73FD827B">
        <w:t xml:space="preserve"> – </w:t>
      </w:r>
      <w:r>
        <w:t>insofar as it relies on demand from patients and practitioners/</w:t>
      </w:r>
      <w:r w:rsidR="22F7D52D">
        <w:t xml:space="preserve"> </w:t>
      </w:r>
      <w:r>
        <w:t>clinicians</w:t>
      </w:r>
      <w:r w:rsidR="6BA61CCB">
        <w:t>.</w:t>
      </w:r>
      <w:r>
        <w:t xml:space="preserve"> </w:t>
      </w:r>
      <w:r w:rsidR="6BA61CCB">
        <w:t>In</w:t>
      </w:r>
      <w:r>
        <w:t xml:space="preserve"> AH</w:t>
      </w:r>
      <w:r w:rsidR="15D7D428">
        <w:t>,</w:t>
      </w:r>
      <w:r>
        <w:t xml:space="preserve"> where active surveillance has been the focus, this is more within the control of NRLs and the drivers of data sharing are likely to be different.</w:t>
      </w:r>
    </w:p>
    <w:bookmarkEnd w:id="286"/>
    <w:p w14:paraId="29570074" w14:textId="08EEBCA2" w:rsidR="00D33793" w:rsidRDefault="4BD3A707" w:rsidP="00D33793">
      <w:pPr>
        <w:pStyle w:val="ItadBullets"/>
        <w:rPr>
          <w:sz w:val="24"/>
          <w:szCs w:val="24"/>
        </w:rPr>
      </w:pPr>
      <w:r w:rsidRPr="00CA5A28">
        <w:rPr>
          <w:b/>
          <w:bCs/>
        </w:rPr>
        <w:t xml:space="preserve">The development of national AMR surveillance functions (i.e. those that linked </w:t>
      </w:r>
      <w:r w:rsidR="0DB95322" w:rsidRPr="00CA5A28">
        <w:rPr>
          <w:b/>
          <w:bCs/>
        </w:rPr>
        <w:t xml:space="preserve">the </w:t>
      </w:r>
      <w:r w:rsidRPr="00CA5A28">
        <w:rPr>
          <w:b/>
          <w:bCs/>
        </w:rPr>
        <w:t>generation of data to national governance structures) was also relevant to data sharing in HH</w:t>
      </w:r>
      <w:r>
        <w:t xml:space="preserve"> </w:t>
      </w:r>
      <w:r w:rsidRPr="008343D7">
        <w:t>(as set out in</w:t>
      </w:r>
      <w:r w:rsidR="22F7D52D">
        <w:rPr>
          <w:rStyle w:val="ItadBulletsChar"/>
        </w:rPr>
        <w:t xml:space="preserve"> </w:t>
      </w:r>
      <w:r w:rsidR="00C84B95">
        <w:rPr>
          <w:rStyle w:val="ItadBulletsChar"/>
        </w:rPr>
        <w:fldChar w:fldCharType="begin"/>
      </w:r>
      <w:r w:rsidR="00C84B95">
        <w:rPr>
          <w:rStyle w:val="ItadBulletsChar"/>
        </w:rPr>
        <w:instrText xml:space="preserve"> REF _Ref144024286 \h </w:instrText>
      </w:r>
      <w:r w:rsidR="00C84B95">
        <w:rPr>
          <w:rStyle w:val="ItadBulletsChar"/>
        </w:rPr>
      </w:r>
      <w:r w:rsidR="00C84B95">
        <w:rPr>
          <w:rStyle w:val="ItadBulletsChar"/>
        </w:rPr>
        <w:fldChar w:fldCharType="separate"/>
      </w:r>
      <w:r w:rsidR="3B3019BC">
        <w:t xml:space="preserve">Figure </w:t>
      </w:r>
      <w:r w:rsidR="3B3019BC">
        <w:rPr>
          <w:noProof/>
        </w:rPr>
        <w:t>4</w:t>
      </w:r>
      <w:r w:rsidR="00C84B95">
        <w:rPr>
          <w:rStyle w:val="ItadBulletsChar"/>
        </w:rPr>
        <w:fldChar w:fldCharType="end"/>
      </w:r>
      <w:r w:rsidRPr="00CA5A28">
        <w:t>).</w:t>
      </w:r>
      <w:r w:rsidRPr="008343D7">
        <w:t xml:space="preserve"> In all Fleming Fund countries in which data sharing was found to have progressed well, stakeholders identified that at least one aspect of surveillance was relevant. Staff incentives to take responsibility for surveillance work were pivotal in countries showing the greatest progress with data sharing and associated decision</w:t>
      </w:r>
      <w:r w:rsidR="37988872">
        <w:t>-</w:t>
      </w:r>
      <w:r w:rsidRPr="008343D7">
        <w:t>making . In other countries, stakeholders identified effective human and financial resourcing as an important factor . Conversely, surveillance system deficiencies were frequently raised as issues by stakeholders in countries not making good progress on data sharing – the outstanding issue highlighted was a lack of sufficient systems and processes for reporting and collation (including IT) .</w:t>
      </w:r>
    </w:p>
    <w:p w14:paraId="758F0C72" w14:textId="523A2C30" w:rsidR="004C17C3" w:rsidRPr="00D33793" w:rsidRDefault="4BD3A707" w:rsidP="00D33793">
      <w:pPr>
        <w:pStyle w:val="ItadBullets"/>
        <w:rPr>
          <w:sz w:val="24"/>
          <w:szCs w:val="24"/>
        </w:rPr>
      </w:pPr>
      <w:r w:rsidRPr="4EF651D4">
        <w:rPr>
          <w:b/>
          <w:bCs/>
        </w:rPr>
        <w:t>Stakeholders emphasised formal AMR governance structures around AMR NAPs as vital enablers of data sharing; however, there are also persistent limits to the scope for AMR NAPs to act as drivers of sustainable data sharing</w:t>
      </w:r>
      <w:r>
        <w:t>. Ongoing work on NAPs, especially identifying AMRCC or equivalent national functions for One Health decision</w:t>
      </w:r>
      <w:r w:rsidR="37988872">
        <w:t>-</w:t>
      </w:r>
      <w:r>
        <w:t>making on AMR, helped establish the coordinating functions with which data should be shared. Where strong AMRCC operations existed, this helped explain progress with data sharing including where data availability changes have been less pronounced . Where data sharing progress has been relatively poor relative to changes in data availability, stakeholders often offered explanations that included issues with how AMRCCs are set up or operate – especially in South</w:t>
      </w:r>
      <w:r w:rsidR="03E31431">
        <w:t>-</w:t>
      </w:r>
      <w:r>
        <w:t xml:space="preserve">East Asian countries (. This underlines the </w:t>
      </w:r>
      <w:r w:rsidRPr="4EF651D4">
        <w:rPr>
          <w:rFonts w:eastAsia="Calibri"/>
        </w:rPr>
        <w:t xml:space="preserve">limitations of AMR NAPs and associated governance (see </w:t>
      </w:r>
      <w:r w:rsidR="3E6B140A" w:rsidRPr="4EF651D4">
        <w:rPr>
          <w:rFonts w:eastAsia="Calibri"/>
        </w:rPr>
        <w:t>sub-</w:t>
      </w:r>
      <w:r w:rsidRPr="4EF651D4">
        <w:rPr>
          <w:rFonts w:eastAsia="Calibri"/>
        </w:rPr>
        <w:t xml:space="preserve">section </w:t>
      </w:r>
      <w:r w:rsidR="490B9BBD" w:rsidRPr="4EF651D4">
        <w:rPr>
          <w:rStyle w:val="ItadBulletsChar"/>
        </w:rPr>
        <w:t xml:space="preserve"> </w:t>
      </w:r>
      <w:r w:rsidR="3E6B140A" w:rsidRPr="4EF651D4">
        <w:rPr>
          <w:rStyle w:val="ItadBulletsChar"/>
          <w:i/>
          <w:iCs/>
        </w:rPr>
        <w:t xml:space="preserve">‘data use: </w:t>
      </w:r>
      <w:r w:rsidR="3E6B140A" w:rsidRPr="4EF651D4">
        <w:rPr>
          <w:i/>
          <w:iCs/>
        </w:rPr>
        <w:t>progress at the national level’</w:t>
      </w:r>
      <w:r>
        <w:t xml:space="preserve"> </w:t>
      </w:r>
      <w:r w:rsidRPr="4EF651D4">
        <w:rPr>
          <w:rFonts w:eastAsia="Calibri"/>
        </w:rPr>
        <w:t>above); AMR NAPs establish AMR in national governance, but do not assure its prioritisation as an issue.</w:t>
      </w:r>
    </w:p>
    <w:p w14:paraId="0D64147F" w14:textId="16F4445D" w:rsidR="00FF2998" w:rsidRDefault="00C204A5" w:rsidP="008A5F96">
      <w:pPr>
        <w:pStyle w:val="ItadNormalTextBold"/>
      </w:pPr>
      <w:bookmarkStart w:id="288" w:name="_Hlk136475735"/>
      <w:bookmarkStart w:id="289" w:name="_Hlk129331863"/>
      <w:bookmarkEnd w:id="287"/>
      <w:r>
        <w:t>Finding 2.2.</w:t>
      </w:r>
      <w:r w:rsidR="00D90E0A">
        <w:t>6</w:t>
      </w:r>
      <w:r w:rsidR="00C05F43">
        <w:t xml:space="preserve">: </w:t>
      </w:r>
      <w:r w:rsidR="00FF2998" w:rsidRPr="00B8511B">
        <w:t xml:space="preserve">A wider range of drivers is relevant to the actual use of data (i.e. beyond data sharing) </w:t>
      </w:r>
      <w:r w:rsidR="009A6948">
        <w:t>on</w:t>
      </w:r>
      <w:r w:rsidR="00FF2998" w:rsidRPr="00B8511B">
        <w:t xml:space="preserve"> a national level, recognising the limits of surveillance data itself and the complexity of non-linear policy processes. Key drivers include the availability of other forms of information</w:t>
      </w:r>
      <w:r w:rsidR="00FF2998">
        <w:t xml:space="preserve"> and </w:t>
      </w:r>
      <w:r w:rsidR="00FF2998" w:rsidRPr="00B8511B">
        <w:t>broader conditions for prioritisation of AMR being in place.</w:t>
      </w:r>
    </w:p>
    <w:p w14:paraId="60F55E8C" w14:textId="7730B682" w:rsidR="00217C06" w:rsidRDefault="00FF2998" w:rsidP="008A5F96">
      <w:pPr>
        <w:pStyle w:val="ItadBullets"/>
        <w:rPr>
          <w:rStyle w:val="ItadNormalTextChar"/>
        </w:rPr>
      </w:pPr>
      <w:r w:rsidRPr="008343D7">
        <w:rPr>
          <w:b/>
          <w:bCs/>
        </w:rPr>
        <w:t xml:space="preserve">The types of data being used are different in HH and AH, indicating </w:t>
      </w:r>
      <w:r>
        <w:rPr>
          <w:b/>
          <w:bCs/>
        </w:rPr>
        <w:t>that AMR surveillance data is</w:t>
      </w:r>
      <w:r w:rsidR="005F590D">
        <w:rPr>
          <w:b/>
          <w:bCs/>
        </w:rPr>
        <w:t xml:space="preserve"> </w:t>
      </w:r>
      <w:r>
        <w:rPr>
          <w:b/>
          <w:bCs/>
        </w:rPr>
        <w:t>n</w:t>
      </w:r>
      <w:r w:rsidR="005F590D">
        <w:rPr>
          <w:b/>
          <w:bCs/>
        </w:rPr>
        <w:t>o</w:t>
      </w:r>
      <w:r>
        <w:rPr>
          <w:b/>
          <w:bCs/>
        </w:rPr>
        <w:t>t always what is needed</w:t>
      </w:r>
      <w:r w:rsidRPr="008343D7">
        <w:rPr>
          <w:b/>
          <w:bCs/>
        </w:rPr>
        <w:t>.</w:t>
      </w:r>
      <w:r w:rsidR="00DC1D8D">
        <w:t xml:space="preserve"> </w:t>
      </w:r>
      <w:r w:rsidRPr="008343D7">
        <w:t>See</w:t>
      </w:r>
      <w:r w:rsidR="009A6948">
        <w:rPr>
          <w:rStyle w:val="ItadBulletsChar"/>
        </w:rPr>
        <w:t xml:space="preserve"> </w:t>
      </w:r>
      <w:r w:rsidR="009A6948">
        <w:rPr>
          <w:rStyle w:val="ItadBulletsChar"/>
        </w:rPr>
        <w:fldChar w:fldCharType="begin"/>
      </w:r>
      <w:r w:rsidR="009A6948">
        <w:rPr>
          <w:rStyle w:val="ItadBulletsChar"/>
        </w:rPr>
        <w:instrText xml:space="preserve"> REF _Ref144101376 \h </w:instrText>
      </w:r>
      <w:r w:rsidR="009A6948">
        <w:rPr>
          <w:rStyle w:val="ItadBulletsChar"/>
        </w:rPr>
      </w:r>
      <w:r w:rsidR="009A6948">
        <w:rPr>
          <w:rStyle w:val="ItadBulletsChar"/>
        </w:rPr>
        <w:fldChar w:fldCharType="separate"/>
      </w:r>
      <w:r w:rsidR="002749FC">
        <w:t xml:space="preserve">Figure </w:t>
      </w:r>
      <w:r w:rsidR="002749FC">
        <w:rPr>
          <w:noProof/>
        </w:rPr>
        <w:t>16</w:t>
      </w:r>
      <w:r w:rsidR="009A6948">
        <w:rPr>
          <w:rStyle w:val="ItadBulletsChar"/>
        </w:rPr>
        <w:fldChar w:fldCharType="end"/>
      </w:r>
      <w:r w:rsidRPr="008343D7">
        <w:t xml:space="preserve">, which breaks down the types of data found to be relevant in the </w:t>
      </w:r>
      <w:r w:rsidR="005D55B2">
        <w:t>four</w:t>
      </w:r>
      <w:r w:rsidRPr="008343D7">
        <w:t xml:space="preserve"> instances of national action to date across Fleming Fund countries in HH alongside the </w:t>
      </w:r>
      <w:r w:rsidR="005D55B2">
        <w:t>seven</w:t>
      </w:r>
      <w:r w:rsidRPr="008343D7">
        <w:t xml:space="preserve"> instances in AH. Although the instances of AH action were more numerous overall, there are not yet any examples of such action being motivated with reference to AST-based surveillance data. Decisions on AH action have so far referred to AMR data more generally, typically AMC/U data (which often falls short of surveillance data in terms of being less granular, often cross-sectional and non-representative). Instances of action are less common in HH, but they do already include examples of decisions being taken using AST-based surveillance data. </w:t>
      </w:r>
      <w:r w:rsidR="009A6948">
        <w:t>To date</w:t>
      </w:r>
      <w:r w:rsidRPr="008343D7">
        <w:t xml:space="preserve">, the potential for surveillance data to impact on decision-making leading to </w:t>
      </w:r>
      <w:r w:rsidRPr="00357339">
        <w:t>action has only been proven in practice in the HH sector. This raises an important consideration</w:t>
      </w:r>
      <w:r>
        <w:t xml:space="preserve"> around what AMR analysis is needed for which purposes.</w:t>
      </w:r>
      <w:r w:rsidR="00DC1D8D">
        <w:t xml:space="preserve"> </w:t>
      </w:r>
      <w:r w:rsidRPr="008A5F96">
        <w:rPr>
          <w:rStyle w:val="ItadNormalTextChar"/>
        </w:rPr>
        <w:t xml:space="preserve">For example, if potential use is in </w:t>
      </w:r>
      <w:r w:rsidR="005D55B2">
        <w:rPr>
          <w:rStyle w:val="ItadNormalTextChar"/>
        </w:rPr>
        <w:t xml:space="preserve">the </w:t>
      </w:r>
      <w:r w:rsidRPr="008A5F96">
        <w:rPr>
          <w:rStyle w:val="ItadNormalTextChar"/>
        </w:rPr>
        <w:t>development and revision of AMS</w:t>
      </w:r>
      <w:r w:rsidR="00022811">
        <w:rPr>
          <w:rStyle w:val="ItadNormalTextChar"/>
        </w:rPr>
        <w:t>-</w:t>
      </w:r>
      <w:r w:rsidRPr="008A5F96">
        <w:rPr>
          <w:rStyle w:val="ItadNormalTextChar"/>
        </w:rPr>
        <w:t>related guidelines and/or national essential medicines lists, to what extent is relevant data and analysis from AMR/</w:t>
      </w:r>
      <w:r w:rsidR="005D55B2">
        <w:rPr>
          <w:rStyle w:val="ItadNormalTextChar"/>
        </w:rPr>
        <w:t>C</w:t>
      </w:r>
      <w:r w:rsidRPr="008A5F96">
        <w:rPr>
          <w:rStyle w:val="ItadNormalTextChar"/>
        </w:rPr>
        <w:t>/</w:t>
      </w:r>
      <w:r w:rsidR="005D55B2">
        <w:rPr>
          <w:rStyle w:val="ItadNormalTextChar"/>
        </w:rPr>
        <w:t>U</w:t>
      </w:r>
      <w:r w:rsidRPr="008A5F96">
        <w:rPr>
          <w:rStyle w:val="ItadNormalTextChar"/>
        </w:rPr>
        <w:t xml:space="preserve"> surveillance shared with the right committees and what can AMRCCs do to ensure relevant stakeholders are engaged? This is distinct from AMR analysis that signals the importance of action where solutions are already known (e.g. in IPC).</w:t>
      </w:r>
      <w:bookmarkEnd w:id="288"/>
    </w:p>
    <w:p w14:paraId="70D85EC0" w14:textId="77777777" w:rsidR="00A14D9F" w:rsidRDefault="00A14D9F" w:rsidP="00504E64">
      <w:pPr>
        <w:pStyle w:val="ItadBullets"/>
        <w:numPr>
          <w:ilvl w:val="0"/>
          <w:numId w:val="0"/>
        </w:numPr>
        <w:ind w:left="284"/>
        <w:rPr>
          <w:rStyle w:val="ItadNormalTextChar"/>
        </w:rPr>
      </w:pPr>
    </w:p>
    <w:p w14:paraId="53A68124" w14:textId="77777777" w:rsidR="00EE36B0" w:rsidRDefault="00217C06" w:rsidP="009A6948">
      <w:pPr>
        <w:pStyle w:val="ItadBullets"/>
        <w:keepNext/>
        <w:numPr>
          <w:ilvl w:val="0"/>
          <w:numId w:val="0"/>
        </w:numPr>
        <w:ind w:left="284"/>
        <w:jc w:val="center"/>
      </w:pPr>
      <w:r>
        <w:rPr>
          <w:noProof/>
        </w:rPr>
        <w:drawing>
          <wp:inline distT="0" distB="0" distL="0" distR="0" wp14:anchorId="0A49D488" wp14:editId="454DDCB2">
            <wp:extent cx="4658402" cy="2916000"/>
            <wp:effectExtent l="0" t="0" r="8890" b="0"/>
            <wp:docPr id="1571494626" name="Picture 157149462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494626"/>
                    <pic:cNvPicPr/>
                  </pic:nvPicPr>
                  <pic:blipFill>
                    <a:blip r:embed="rId39">
                      <a:extLst>
                        <a:ext uri="{28A0092B-C50C-407E-A947-70E740481C1C}">
                          <a14:useLocalDpi xmlns:a14="http://schemas.microsoft.com/office/drawing/2010/main" val="0"/>
                        </a:ext>
                      </a:extLst>
                    </a:blip>
                    <a:stretch>
                      <a:fillRect/>
                    </a:stretch>
                  </pic:blipFill>
                  <pic:spPr>
                    <a:xfrm>
                      <a:off x="0" y="0"/>
                      <a:ext cx="4658402" cy="2916000"/>
                    </a:xfrm>
                    <a:prstGeom prst="rect">
                      <a:avLst/>
                    </a:prstGeom>
                  </pic:spPr>
                </pic:pic>
              </a:graphicData>
            </a:graphic>
          </wp:inline>
        </w:drawing>
      </w:r>
    </w:p>
    <w:p w14:paraId="2CBAAA6D" w14:textId="62A82149" w:rsidR="00EE36B0" w:rsidRDefault="00EE36B0" w:rsidP="00EE36B0">
      <w:pPr>
        <w:pStyle w:val="ItadFigureCap"/>
      </w:pPr>
      <w:bookmarkStart w:id="290" w:name="_Ref144101376"/>
      <w:bookmarkStart w:id="291" w:name="_Toc144717858"/>
      <w:r>
        <w:t xml:space="preserve">Figure </w:t>
      </w:r>
      <w:r>
        <w:fldChar w:fldCharType="begin"/>
      </w:r>
      <w:r>
        <w:instrText>SEQ Figure \* ARABIC</w:instrText>
      </w:r>
      <w:r>
        <w:fldChar w:fldCharType="separate"/>
      </w:r>
      <w:r w:rsidR="00B17EAE">
        <w:rPr>
          <w:noProof/>
        </w:rPr>
        <w:t>16</w:t>
      </w:r>
      <w:r>
        <w:fldChar w:fldCharType="end"/>
      </w:r>
      <w:bookmarkEnd w:id="290"/>
      <w:r>
        <w:t xml:space="preserve">: </w:t>
      </w:r>
      <w:r w:rsidRPr="00F715BE">
        <w:t>Illustration that some national action in sample countries is based on non-surveillance data, particularly in AH</w:t>
      </w:r>
      <w:bookmarkEnd w:id="291"/>
    </w:p>
    <w:p w14:paraId="5B70DC17" w14:textId="5A8B8C5A" w:rsidR="00551D88" w:rsidRDefault="4BD3A707" w:rsidP="008A5F96">
      <w:pPr>
        <w:pStyle w:val="ItadBullets"/>
      </w:pPr>
      <w:bookmarkStart w:id="292" w:name="_Hlk136475863"/>
      <w:r w:rsidRPr="00D204D7">
        <w:rPr>
          <w:b/>
          <w:bCs/>
        </w:rPr>
        <w:t>Data use so far has followed on from the use of other forms of information including international standards and research.</w:t>
      </w:r>
      <w:r w:rsidRPr="00D204D7">
        <w:t xml:space="preserve"> In many of the countries taking action (4/9), AMR data was not a significant input to most relevant decision-making processes . There were no examples of AMR surveillance data inputs influencing national decision</w:t>
      </w:r>
      <w:r w:rsidR="37988872">
        <w:t>-</w:t>
      </w:r>
      <w:r w:rsidRPr="00D204D7">
        <w:t>making in the absence of other inputs. Key stakeholders instead highlighted the influence of international standards</w:t>
      </w:r>
      <w:r w:rsidR="00FF2998" w:rsidRPr="008343D7">
        <w:rPr>
          <w:sz w:val="20"/>
          <w:szCs w:val="20"/>
          <w:vertAlign w:val="superscript"/>
        </w:rPr>
        <w:footnoteReference w:id="113"/>
      </w:r>
      <w:r w:rsidRPr="00D204D7">
        <w:t xml:space="preserve"> as motivating action and research (typically on some aspect of AMR in the relevant country).</w:t>
      </w:r>
      <w:r w:rsidR="46C0A282">
        <w:t xml:space="preserve"> </w:t>
      </w:r>
      <w:r w:rsidRPr="008A5F96">
        <w:t>It is worth noting that AMR surveillance data only has a modest influence on national policy, even in countries that are known to be better resourced and implementing stronger formal evidence review processes</w:t>
      </w:r>
      <w:r w:rsidR="006B0ACA" w:rsidRPr="006B0ACA">
        <w:rPr>
          <w:rStyle w:val="ItadNormalTextChar"/>
        </w:rPr>
        <w:fldChar w:fldCharType="begin"/>
      </w:r>
      <w:r w:rsidR="006B0ACA" w:rsidRPr="006B0ACA">
        <w:rPr>
          <w:rStyle w:val="ItadNormalTextChar"/>
        </w:rPr>
        <w:instrText xml:space="preserve"> REF _Ref129281459 \h </w:instrText>
      </w:r>
      <w:r w:rsidR="006B0ACA">
        <w:rPr>
          <w:rStyle w:val="ItadNormalTextChar"/>
        </w:rPr>
        <w:instrText xml:space="preserve"> \* MERGEFORMAT </w:instrText>
      </w:r>
      <w:r w:rsidR="006B0ACA" w:rsidRPr="006B0ACA">
        <w:rPr>
          <w:rStyle w:val="ItadNormalTextChar"/>
        </w:rPr>
      </w:r>
      <w:r w:rsidR="006B0ACA" w:rsidRPr="006B0ACA">
        <w:rPr>
          <w:rStyle w:val="ItadNormalTextChar"/>
        </w:rPr>
        <w:fldChar w:fldCharType="end"/>
      </w:r>
      <w:r w:rsidRPr="008A5F96">
        <w:rPr>
          <w:rStyle w:val="ItadNormalTextChar"/>
        </w:rPr>
        <w:t>.</w:t>
      </w:r>
      <w:r w:rsidRPr="008A5F96">
        <w:t xml:space="preserve"> </w:t>
      </w:r>
      <w:r w:rsidR="4FA8692D">
        <w:t>Phase</w:t>
      </w:r>
      <w:r w:rsidR="2658EF50">
        <w:t xml:space="preserve"> 1</w:t>
      </w:r>
      <w:r w:rsidRPr="008A5F96">
        <w:t xml:space="preserve"> remained focused on surveillance systems and the DHSC deprioritised planned operational research</w:t>
      </w:r>
      <w:r w:rsidR="00FF2998" w:rsidRPr="008A5F96">
        <w:rPr>
          <w:vertAlign w:val="superscript"/>
        </w:rPr>
        <w:footnoteReference w:id="114"/>
      </w:r>
      <w:r w:rsidRPr="008A5F96">
        <w:t xml:space="preserve"> which may have generated policy solutions based on advanced data use.</w:t>
      </w:r>
      <w:r w:rsidR="46C0A282">
        <w:t xml:space="preserve"> </w:t>
      </w:r>
      <w:r w:rsidRPr="00D204D7">
        <w:t xml:space="preserve">However, moving into </w:t>
      </w:r>
      <w:r w:rsidR="5D90C705">
        <w:t>phase 2</w:t>
      </w:r>
      <w:r w:rsidRPr="00D204D7">
        <w:t xml:space="preserve"> there have been renewed discussions between the MA and the DHSC over appropriate approaches to outcome-level results.</w:t>
      </w:r>
    </w:p>
    <w:bookmarkEnd w:id="289"/>
    <w:p w14:paraId="64F2FC68" w14:textId="008B7DA9" w:rsidR="0082179F" w:rsidRPr="00AE3972" w:rsidRDefault="00FF2998" w:rsidP="00E45DB8">
      <w:pPr>
        <w:pStyle w:val="ItadBullets"/>
        <w:rPr>
          <w:rStyle w:val="cf01"/>
          <w:rFonts w:ascii="Calibri" w:hAnsi="Calibri" w:cs="Arial"/>
          <w:sz w:val="22"/>
          <w:szCs w:val="22"/>
        </w:rPr>
      </w:pPr>
      <w:r w:rsidRPr="008A5F96">
        <w:rPr>
          <w:b/>
          <w:bCs/>
        </w:rPr>
        <w:t>The use of data happens where key conditions are in place for the prioritisation of an agenda in the broader policy context, but this is generally not the case in Fleming Fund focus countries.</w:t>
      </w:r>
      <w:r w:rsidRPr="008A6127">
        <w:t xml:space="preserve"> </w:t>
      </w:r>
      <w:r w:rsidRPr="008A5F96">
        <w:t>When considering the prospects for data use it is important to look at the bigger picture in terms of how AMR-related information is used in countries</w:t>
      </w:r>
      <w:r w:rsidR="00AA6A7B">
        <w:t>’</w:t>
      </w:r>
      <w:r w:rsidRPr="008A5F96">
        <w:t xml:space="preserve"> political and economic contexts. </w:t>
      </w:r>
      <w:r w:rsidRPr="008A6127">
        <w:t>Prioritisation of an agenda happens when policymakers concurrently understand the problem, have a viable solution available, and are convinced of the need to act (</w:t>
      </w:r>
      <w:r w:rsidRPr="006B15D9">
        <w:t xml:space="preserve">see </w:t>
      </w:r>
      <w:r w:rsidR="00E76CE6" w:rsidRPr="006B15D9">
        <w:t>Vol.</w:t>
      </w:r>
      <w:r w:rsidR="007926BD" w:rsidRPr="006B15D9">
        <w:t xml:space="preserve"> </w:t>
      </w:r>
      <w:r w:rsidR="00E76CE6" w:rsidRPr="006B15D9">
        <w:t xml:space="preserve">II, Annex </w:t>
      </w:r>
      <w:r w:rsidR="00C5508E" w:rsidRPr="006B15D9">
        <w:t xml:space="preserve">9.2 </w:t>
      </w:r>
      <w:r w:rsidR="00E76CE6" w:rsidRPr="006B15D9">
        <w:t xml:space="preserve"> for</w:t>
      </w:r>
      <w:r w:rsidR="00E76CE6">
        <w:t xml:space="preserve"> more details</w:t>
      </w:r>
      <w:r w:rsidRPr="008A6127">
        <w:t>.</w:t>
      </w:r>
      <w:r w:rsidRPr="008A6127">
        <w:rPr>
          <w:vertAlign w:val="superscript"/>
        </w:rPr>
        <w:footnoteReference w:id="115"/>
      </w:r>
      <w:r w:rsidRPr="008A6127">
        <w:t xml:space="preserve"> This concurrent understanding happens in ways that are difficult to predict, </w:t>
      </w:r>
      <w:r w:rsidRPr="008A5F96">
        <w:t>take time</w:t>
      </w:r>
      <w:r w:rsidRPr="008A6127">
        <w:t xml:space="preserve">, do </w:t>
      </w:r>
      <w:r w:rsidRPr="008A5F96">
        <w:t>not necessarily progress in a linear fashion</w:t>
      </w:r>
      <w:r w:rsidRPr="008A6127">
        <w:t>, and are sometimes facilitated by a policy entrepreneur. Evidence from published literature and KIIs suggests that the necessary conditions for the prioritisation of AMR NAPs are generally not in place in Fleming Fund countries (see Annex 9</w:t>
      </w:r>
      <w:r w:rsidR="006153B8">
        <w:t xml:space="preserve">.2, Table </w:t>
      </w:r>
      <w:r w:rsidR="00BC6986">
        <w:t>4</w:t>
      </w:r>
      <w:r w:rsidR="00327DE9">
        <w:t>1</w:t>
      </w:r>
      <w:r w:rsidRPr="008A6127">
        <w:t xml:space="preserve"> for more detail). This is not unexpected in light of</w:t>
      </w:r>
      <w:r w:rsidR="00022811">
        <w:t xml:space="preserve"> the</w:t>
      </w:r>
      <w:r w:rsidRPr="008A6127">
        <w:t xml:space="preserve"> broader agenda-setting experience.</w:t>
      </w:r>
      <w:r w:rsidR="00DC1D8D">
        <w:t xml:space="preserve"> </w:t>
      </w:r>
      <w:r w:rsidRPr="008A6127">
        <w:t xml:space="preserve">A key implication is that </w:t>
      </w:r>
      <w:r w:rsidRPr="136330C9">
        <w:rPr>
          <w:rStyle w:val="cf01"/>
          <w:rFonts w:asciiTheme="minorHAnsi" w:hAnsiTheme="minorHAnsi" w:cstheme="minorBidi"/>
          <w:sz w:val="22"/>
          <w:szCs w:val="22"/>
        </w:rPr>
        <w:t>timelines for use in policy and regulatory processes are driven outside AMRCCs. Even if the right analysis is being generated, it needs to be available when the process of revision happens. This is further complicated where solutions are already known (e.g. in relation to AMS and IPC) but not prioritised; it is a question both of ensuring timeliness and relevance of analysis that will lead to greater prioritisation and implementation of solutions. Given that Fleming</w:t>
      </w:r>
      <w:r w:rsidR="00457C69" w:rsidRPr="136330C9">
        <w:rPr>
          <w:rStyle w:val="cf01"/>
          <w:rFonts w:asciiTheme="minorHAnsi" w:hAnsiTheme="minorHAnsi" w:cstheme="minorBidi"/>
          <w:sz w:val="22"/>
          <w:szCs w:val="22"/>
        </w:rPr>
        <w:t xml:space="preserve"> </w:t>
      </w:r>
      <w:r w:rsidRPr="136330C9">
        <w:rPr>
          <w:rStyle w:val="cf01"/>
          <w:rFonts w:asciiTheme="minorHAnsi" w:hAnsiTheme="minorHAnsi" w:cstheme="minorBidi"/>
          <w:sz w:val="22"/>
          <w:szCs w:val="22"/>
        </w:rPr>
        <w:t>Fund</w:t>
      </w:r>
      <w:r w:rsidR="00D50F4C">
        <w:rPr>
          <w:rStyle w:val="cf01"/>
          <w:rFonts w:asciiTheme="minorHAnsi" w:hAnsiTheme="minorHAnsi" w:cstheme="minorBidi"/>
          <w:sz w:val="22"/>
          <w:szCs w:val="22"/>
        </w:rPr>
        <w:t>-</w:t>
      </w:r>
      <w:r w:rsidRPr="136330C9">
        <w:rPr>
          <w:rStyle w:val="cf01"/>
          <w:rFonts w:asciiTheme="minorHAnsi" w:hAnsiTheme="minorHAnsi" w:cstheme="minorBidi"/>
          <w:sz w:val="22"/>
          <w:szCs w:val="22"/>
        </w:rPr>
        <w:t xml:space="preserve">supported data generation </w:t>
      </w:r>
      <w:r w:rsidR="00E45DB8">
        <w:rPr>
          <w:rStyle w:val="cf01"/>
          <w:rFonts w:asciiTheme="minorHAnsi" w:hAnsiTheme="minorHAnsi" w:cstheme="minorBidi"/>
          <w:sz w:val="22"/>
          <w:szCs w:val="22"/>
        </w:rPr>
        <w:t>w</w:t>
      </w:r>
      <w:r w:rsidRPr="136330C9">
        <w:rPr>
          <w:rStyle w:val="cf01"/>
          <w:rFonts w:asciiTheme="minorHAnsi" w:hAnsiTheme="minorHAnsi" w:cstheme="minorBidi"/>
          <w:sz w:val="22"/>
          <w:szCs w:val="22"/>
        </w:rPr>
        <w:t>as gathering pace mostly in 2022, there has only been a limited window of opportunity for this to influence national processes.</w:t>
      </w:r>
      <w:bookmarkEnd w:id="292"/>
    </w:p>
    <w:p w14:paraId="4A8427B3" w14:textId="77777777" w:rsidR="00AE3972" w:rsidRDefault="00AE3972" w:rsidP="00AE3972">
      <w:pPr>
        <w:pStyle w:val="ItadBullets"/>
        <w:numPr>
          <w:ilvl w:val="0"/>
          <w:numId w:val="0"/>
        </w:numPr>
        <w:ind w:left="284"/>
      </w:pPr>
    </w:p>
    <w:p w14:paraId="23CFB75C" w14:textId="3F113D00" w:rsidR="00FF2998" w:rsidRPr="008A5F96" w:rsidRDefault="00FF2998" w:rsidP="00AE3972">
      <w:pPr>
        <w:pStyle w:val="ItadH4"/>
      </w:pPr>
      <w:bookmarkStart w:id="293" w:name="_Toc144049388"/>
      <w:r w:rsidRPr="008A5F96">
        <w:t xml:space="preserve">Drivers of progress at the </w:t>
      </w:r>
      <w:r w:rsidRPr="00627B0D">
        <w:t>international</w:t>
      </w:r>
      <w:r w:rsidRPr="008A5F96">
        <w:t xml:space="preserve"> and facility levels</w:t>
      </w:r>
      <w:bookmarkEnd w:id="293"/>
    </w:p>
    <w:p w14:paraId="72B9F738" w14:textId="4AF3D492" w:rsidR="00FF2998" w:rsidRPr="008343D7" w:rsidRDefault="00C05F43" w:rsidP="006C16B0">
      <w:pPr>
        <w:pStyle w:val="ItadNormalTextBold"/>
      </w:pPr>
      <w:bookmarkStart w:id="294" w:name="_Hlk129333145"/>
      <w:r>
        <w:t>Finding 2.2.</w:t>
      </w:r>
      <w:r w:rsidR="00D90E0A">
        <w:t>7</w:t>
      </w:r>
      <w:r>
        <w:t xml:space="preserve">: </w:t>
      </w:r>
      <w:r w:rsidR="00FF2998" w:rsidRPr="008343D7">
        <w:t xml:space="preserve">Similar drivers for data sharing at the international level were identified to those described at the national level – in terms of </w:t>
      </w:r>
      <w:r w:rsidR="00FF2998">
        <w:t xml:space="preserve">quantity of </w:t>
      </w:r>
      <w:r w:rsidR="00FF2998" w:rsidRPr="008343D7">
        <w:t>data and development of surveillance functions, with some differences in emphasis (e.g. less importance given to governance structures):</w:t>
      </w:r>
    </w:p>
    <w:p w14:paraId="634E2563" w14:textId="2F1CC241" w:rsidR="00FF2998" w:rsidRPr="008343D7" w:rsidRDefault="4BD3A707" w:rsidP="008A5F96">
      <w:pPr>
        <w:pStyle w:val="ItadBullets"/>
        <w:rPr>
          <w:sz w:val="24"/>
          <w:szCs w:val="24"/>
          <w:u w:val="single"/>
        </w:rPr>
      </w:pPr>
      <w:r w:rsidRPr="008A5F96">
        <w:rPr>
          <w:b/>
          <w:bCs/>
        </w:rPr>
        <w:t>Increases in quantity of data had a more direct influence on data sharing at the international level than at the national level.</w:t>
      </w:r>
      <w:r w:rsidRPr="008343D7">
        <w:t xml:space="preserve"> In countries where we have observed considerable or some change in data sharing with GLASS and/or WOAH, </w:t>
      </w:r>
      <w:r>
        <w:t>the presence of some/more AMR surveillance data</w:t>
      </w:r>
      <w:r w:rsidR="00FF2998" w:rsidRPr="008343D7">
        <w:rPr>
          <w:sz w:val="20"/>
          <w:szCs w:val="20"/>
          <w:vertAlign w:val="superscript"/>
        </w:rPr>
        <w:footnoteReference w:id="116"/>
      </w:r>
      <w:r w:rsidRPr="008343D7">
        <w:t xml:space="preserve"> was indicated as a key driver. Where limited change in this area was reported and in countries where we have observed no change in this area , the most commonly cited reasons were (insufficient) data supply.</w:t>
      </w:r>
    </w:p>
    <w:p w14:paraId="47FD4585" w14:textId="77777777" w:rsidR="00FF2998" w:rsidRPr="008A5F96" w:rsidRDefault="00FF2998" w:rsidP="008A5F96">
      <w:pPr>
        <w:pStyle w:val="ItadBullets"/>
        <w:rPr>
          <w:sz w:val="24"/>
          <w:szCs w:val="24"/>
        </w:rPr>
      </w:pPr>
      <w:r w:rsidRPr="008A5F96">
        <w:rPr>
          <w:b/>
          <w:bCs/>
        </w:rPr>
        <w:t>The development of actual surveillance functions for data sharing proved decisive for success at the international level as well as at the national level.</w:t>
      </w:r>
      <w:r w:rsidRPr="008343D7">
        <w:t xml:space="preserve"> Stakeholders consistently raised data sharing processes</w:t>
      </w:r>
      <w:r w:rsidRPr="008343D7">
        <w:rPr>
          <w:sz w:val="20"/>
          <w:szCs w:val="20"/>
          <w:vertAlign w:val="superscript"/>
        </w:rPr>
        <w:footnoteReference w:id="117"/>
      </w:r>
      <w:r w:rsidRPr="008343D7">
        <w:t xml:space="preserve"> as a key driver for international reporting. In countries showing considerable change, this tended to include IT systems such as a new user-interface database platform, in place and functioning. For countries showing some change, the availability of skilled personnel and/or availability of financing were also mentioned as key factors in the majority of cases. </w:t>
      </w:r>
      <w:r>
        <w:t>We note that there was limited scope for the surveillance systems supported by the Fleming Fund to drive international use.</w:t>
      </w:r>
    </w:p>
    <w:p w14:paraId="5A60D123" w14:textId="7944D3AC" w:rsidR="00FF2998" w:rsidRPr="00BD1EB9" w:rsidRDefault="4BD3A707" w:rsidP="008A5F96">
      <w:pPr>
        <w:pStyle w:val="ItadBullets"/>
        <w:rPr>
          <w:sz w:val="24"/>
          <w:szCs w:val="24"/>
        </w:rPr>
      </w:pPr>
      <w:r w:rsidRPr="4EF651D4">
        <w:rPr>
          <w:b/>
          <w:bCs/>
        </w:rPr>
        <w:t>There is also some evidence that data was collated through discrete exercises (outside of surveillance systems).</w:t>
      </w:r>
      <w:r>
        <w:t xml:space="preserve"> For example in Pakistan and Nepal data was made available through a donor-funded (</w:t>
      </w:r>
      <w:r w:rsidR="1B540DD6">
        <w:t>Centres for Disease Control (</w:t>
      </w:r>
      <w:r>
        <w:t>CDC</w:t>
      </w:r>
      <w:r w:rsidR="1B540DD6">
        <w:t>)</w:t>
      </w:r>
      <w:r>
        <w:t xml:space="preserve"> and </w:t>
      </w:r>
      <w:r w:rsidR="3E308C91">
        <w:t>Fleming Fund</w:t>
      </w:r>
      <w:r>
        <w:t xml:space="preserve"> respectively) exercise to collect data from facilities and report to GLASS. This is consistent with the baseline picture and findings from </w:t>
      </w:r>
      <w:r w:rsidR="6412A66E">
        <w:t xml:space="preserve">the </w:t>
      </w:r>
      <w:r>
        <w:t>MAAP and CAPTURA RGs, that data existed before Fleming Fund implementation began but was not easily accessible.</w:t>
      </w:r>
      <w:r w:rsidR="46C0A282">
        <w:t xml:space="preserve"> </w:t>
      </w:r>
      <w:r>
        <w:t>Stakeholders tended to refer directly to the availability (or lack) of technical assistance/proactive engagements of external partners in driving international data sharing, especially where limited or no change .</w:t>
      </w:r>
    </w:p>
    <w:p w14:paraId="148AABE0" w14:textId="08C6EFAE" w:rsidR="00FF2998" w:rsidRPr="008343D7" w:rsidRDefault="003B09BC" w:rsidP="008A5F96">
      <w:pPr>
        <w:pStyle w:val="ItadNormalText"/>
        <w:rPr>
          <w:rFonts w:eastAsia="Calibri"/>
        </w:rPr>
      </w:pPr>
      <w:r>
        <w:rPr>
          <w:b/>
          <w:bCs/>
        </w:rPr>
        <w:t>Finding 2.2.</w:t>
      </w:r>
      <w:r w:rsidR="00D90E0A">
        <w:rPr>
          <w:b/>
          <w:bCs/>
        </w:rPr>
        <w:t>8</w:t>
      </w:r>
      <w:r>
        <w:rPr>
          <w:b/>
          <w:bCs/>
        </w:rPr>
        <w:t xml:space="preserve">: </w:t>
      </w:r>
      <w:r w:rsidR="00FF2998" w:rsidRPr="008343D7">
        <w:rPr>
          <w:b/>
          <w:bCs/>
        </w:rPr>
        <w:t xml:space="preserve">Facility-level drivers are less clear so far, although there is some indication that </w:t>
      </w:r>
      <w:r w:rsidR="009A790D">
        <w:rPr>
          <w:b/>
          <w:bCs/>
        </w:rPr>
        <w:t xml:space="preserve">an </w:t>
      </w:r>
      <w:r w:rsidR="00FF2998">
        <w:rPr>
          <w:b/>
          <w:bCs/>
        </w:rPr>
        <w:t xml:space="preserve">increased quantity of </w:t>
      </w:r>
      <w:r w:rsidR="00FF2998" w:rsidRPr="008343D7">
        <w:rPr>
          <w:b/>
          <w:bCs/>
        </w:rPr>
        <w:t>data is important and clinical engagement feedback loops have the potential to drive use.</w:t>
      </w:r>
      <w:r w:rsidR="00FF2998" w:rsidRPr="008343D7">
        <w:t xml:space="preserve"> Drivers of use at the facility level are emergent. </w:t>
      </w:r>
      <w:r w:rsidR="00FF2998">
        <w:t>The evaluation was not initially tasked to focus on understanding use at the facility level, nor was it a core focus of what the MA set out in its implementation plan. Consequently we did not have time or resources to understand the drivers of use at this level. W</w:t>
      </w:r>
      <w:r w:rsidR="00FF2998" w:rsidRPr="008343D7">
        <w:t>e have identified some factors that appear to drive facility-level use. A</w:t>
      </w:r>
      <w:r w:rsidR="00FF2998" w:rsidRPr="008343D7">
        <w:rPr>
          <w:bCs/>
        </w:rPr>
        <w:t xml:space="preserve">t least in some </w:t>
      </w:r>
      <w:r w:rsidR="00B371D8">
        <w:t>examples of use,</w:t>
      </w:r>
      <w:r w:rsidR="00B371D8" w:rsidRPr="008343D7">
        <w:t xml:space="preserve"> </w:t>
      </w:r>
      <w:r w:rsidR="00FF2998" w:rsidRPr="008343D7">
        <w:t>data use was directly enabled by increased supply; data was typically shared with expert audiences capable of understanding AST results and other relevant content without interpretation.</w:t>
      </w:r>
      <w:r w:rsidR="00FF2998" w:rsidRPr="008343D7">
        <w:rPr>
          <w:bCs/>
        </w:rPr>
        <w:t xml:space="preserve"> There are signs that facility-level data use has the potential to be driven by clinical engagement feedback loops with professional and industry groups concerned to improve treatment practices, especially in HH with the local hospital committee</w:t>
      </w:r>
      <w:r w:rsidR="00FF2998" w:rsidRPr="008343D7">
        <w:t xml:space="preserve"> (see Annex 9</w:t>
      </w:r>
      <w:r w:rsidR="00BC6986">
        <w:t>.3</w:t>
      </w:r>
      <w:r w:rsidR="00FF2998" w:rsidRPr="008343D7">
        <w:t xml:space="preserve">). Other indications of facility-level drivers include clinical demand for AST – potentially linked to </w:t>
      </w:r>
      <w:r w:rsidR="00FF2998" w:rsidRPr="008343D7" w:rsidDel="00C8382F">
        <w:t>decision</w:t>
      </w:r>
      <w:r w:rsidR="00E278CD">
        <w:t>-</w:t>
      </w:r>
      <w:r w:rsidR="00FF2998" w:rsidRPr="008343D7">
        <w:t>making on laboratory resourcing.</w:t>
      </w:r>
      <w:r w:rsidR="00DC1D8D">
        <w:t xml:space="preserve"> </w:t>
      </w:r>
      <w:r w:rsidR="00FF2998">
        <w:t xml:space="preserve">However, these cannot be </w:t>
      </w:r>
      <w:r w:rsidR="00FF2998" w:rsidRPr="008343D7">
        <w:t>considered representative of wider systems and there was wide variation in the sources of the examples obtained.</w:t>
      </w:r>
    </w:p>
    <w:p w14:paraId="26F07383" w14:textId="77777777" w:rsidR="00FF2998" w:rsidRPr="008A5F96" w:rsidRDefault="00FF2998" w:rsidP="00D97FFA">
      <w:pPr>
        <w:pStyle w:val="ItadH4"/>
      </w:pPr>
      <w:bookmarkStart w:id="295" w:name="_Toc144049389"/>
      <w:bookmarkEnd w:id="294"/>
      <w:r w:rsidRPr="008A5F96">
        <w:t>Constraints to progress with data use</w:t>
      </w:r>
      <w:bookmarkEnd w:id="295"/>
    </w:p>
    <w:p w14:paraId="701D2F35" w14:textId="6C4AE4EE" w:rsidR="00A44EBB" w:rsidRPr="008343D7" w:rsidRDefault="00FF2998" w:rsidP="0053611F">
      <w:pPr>
        <w:pStyle w:val="ItadNormalText"/>
      </w:pPr>
      <w:bookmarkStart w:id="296" w:name="_Hlk136476498"/>
      <w:bookmarkStart w:id="297" w:name="_Hlk129333201"/>
      <w:r w:rsidRPr="00D97FFA">
        <w:t xml:space="preserve">As with changes in data quantity and quality, we identified constraints to data use where no progress was observed. Again, these were often expressed in terms of </w:t>
      </w:r>
      <w:r w:rsidR="00AA6A7B">
        <w:t>‘</w:t>
      </w:r>
      <w:r w:rsidRPr="00D97FFA">
        <w:t>absence of</w:t>
      </w:r>
      <w:r w:rsidR="00AA6A7B">
        <w:t>’</w:t>
      </w:r>
      <w:r w:rsidRPr="00D97FFA">
        <w:t xml:space="preserve"> or </w:t>
      </w:r>
      <w:r w:rsidR="00AA6A7B">
        <w:t>‘</w:t>
      </w:r>
      <w:r w:rsidRPr="00D97FFA">
        <w:t>delays with</w:t>
      </w:r>
      <w:r w:rsidR="00AA6A7B">
        <w:t>’</w:t>
      </w:r>
      <w:r w:rsidRPr="00D97FFA">
        <w:t xml:space="preserve"> </w:t>
      </w:r>
      <w:r w:rsidR="002F6B60">
        <w:t xml:space="preserve">– </w:t>
      </w:r>
      <w:r w:rsidRPr="00D97FFA">
        <w:t>the same factors that were drivers of progress when present</w:t>
      </w:r>
      <w:r w:rsidRPr="008343D7">
        <w:rPr>
          <w:b/>
          <w:bCs/>
        </w:rPr>
        <w:t xml:space="preserve">. </w:t>
      </w:r>
      <w:r w:rsidRPr="008343D7">
        <w:t>At the national level, the most serious and pervasive constraints were governance issues (including lack of resourcing and insufficient prioritisation and</w:t>
      </w:r>
      <w:r>
        <w:t>,</w:t>
      </w:r>
      <w:r w:rsidRPr="008343D7">
        <w:t xml:space="preserve"> less frequently</w:t>
      </w:r>
      <w:r>
        <w:t>,</w:t>
      </w:r>
      <w:r w:rsidRPr="008343D7">
        <w:t xml:space="preserve"> lack of formal structures). Constraints </w:t>
      </w:r>
      <w:r>
        <w:t>in terms of the quantity of</w:t>
      </w:r>
      <w:r w:rsidRPr="008343D7">
        <w:t xml:space="preserve"> data or </w:t>
      </w:r>
      <w:r>
        <w:t xml:space="preserve">relating to </w:t>
      </w:r>
      <w:r w:rsidRPr="008343D7">
        <w:t>surveillance systems themselves were more often discussed by stakeholders in terms of delays (i.e. constraints to timing but not to change generally). At the international level, governance was not a major constraint; the leading constrain</w:t>
      </w:r>
      <w:r>
        <w:t>ing</w:t>
      </w:r>
      <w:r w:rsidRPr="008343D7">
        <w:t xml:space="preserve"> factors where international reporting did not progress were the lack of surveillance systems for reporting and the lack of data</w:t>
      </w:r>
      <w:r>
        <w:t xml:space="preserve"> generally</w:t>
      </w:r>
      <w:r w:rsidRPr="008343D7">
        <w:t>. Constraints to data use at the facility level were not investigated in detail but certainly included some governance aspects (e.g. a lack of clinical committee functions for engagement in some hospitals and/or laboratory difficulties in securing local allocations for equipment or consumables).</w:t>
      </w:r>
      <w:bookmarkEnd w:id="296"/>
    </w:p>
    <w:p w14:paraId="2B6D5830" w14:textId="77777777" w:rsidR="00FF2998" w:rsidRPr="008A5F96" w:rsidRDefault="00FF2998" w:rsidP="003D1F25">
      <w:pPr>
        <w:pStyle w:val="ItadH3"/>
      </w:pPr>
      <w:bookmarkStart w:id="298" w:name="_Ref128750599"/>
      <w:bookmarkStart w:id="299" w:name="_Toc144049390"/>
      <w:bookmarkStart w:id="300" w:name="_Toc144715820"/>
      <w:bookmarkEnd w:id="297"/>
      <w:r w:rsidRPr="008A5F96">
        <w:t>Fleming Fund contribution to drivers at national and international levels</w:t>
      </w:r>
      <w:bookmarkEnd w:id="298"/>
      <w:bookmarkEnd w:id="299"/>
      <w:bookmarkEnd w:id="300"/>
    </w:p>
    <w:p w14:paraId="1CDCF963" w14:textId="36EA3D2E" w:rsidR="00FF2998" w:rsidRPr="008A5F96" w:rsidRDefault="00FF2998" w:rsidP="003D1F25">
      <w:pPr>
        <w:pStyle w:val="ItadH4"/>
      </w:pPr>
      <w:bookmarkStart w:id="301" w:name="_Toc144049391"/>
      <w:r w:rsidRPr="008A5F96">
        <w:t>Fleming Fund contribution to drivers at the national level</w:t>
      </w:r>
      <w:bookmarkEnd w:id="301"/>
    </w:p>
    <w:p w14:paraId="64581D89" w14:textId="1C3A49B5" w:rsidR="00FF2998" w:rsidRPr="002F6B60" w:rsidRDefault="002F6B60" w:rsidP="00627B0D">
      <w:pPr>
        <w:pStyle w:val="ItadNormalText"/>
        <w:rPr>
          <w:rFonts w:eastAsia="Calibri"/>
          <w:color w:val="767171"/>
        </w:rPr>
      </w:pPr>
      <w:bookmarkStart w:id="302" w:name="_Hlk129334433"/>
      <w:r w:rsidRPr="002F6B60">
        <w:rPr>
          <w:rFonts w:eastAsia="Calibri"/>
          <w:b/>
          <w:bCs/>
          <w:noProof/>
          <w:sz w:val="24"/>
          <w:szCs w:val="24"/>
        </w:rPr>
        <mc:AlternateContent>
          <mc:Choice Requires="wps">
            <w:drawing>
              <wp:anchor distT="45720" distB="45720" distL="114300" distR="114300" simplePos="0" relativeHeight="251658248" behindDoc="0" locked="0" layoutInCell="1" allowOverlap="1" wp14:anchorId="2248D2FC" wp14:editId="4570814C">
                <wp:simplePos x="0" y="0"/>
                <wp:positionH relativeFrom="margin">
                  <wp:posOffset>2996565</wp:posOffset>
                </wp:positionH>
                <wp:positionV relativeFrom="paragraph">
                  <wp:posOffset>81280</wp:posOffset>
                </wp:positionV>
                <wp:extent cx="2924175" cy="2749550"/>
                <wp:effectExtent l="0" t="0" r="28575" b="12700"/>
                <wp:wrapSquare wrapText="bothSides"/>
                <wp:docPr id="62761667" name="Text Box 62761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2749550"/>
                        </a:xfrm>
                        <a:prstGeom prst="rect">
                          <a:avLst/>
                        </a:prstGeom>
                        <a:solidFill>
                          <a:srgbClr val="588B46">
                            <a:lumMod val="20000"/>
                            <a:lumOff val="80000"/>
                          </a:srgbClr>
                        </a:solidFill>
                        <a:ln w="9525">
                          <a:solidFill>
                            <a:srgbClr val="588B46">
                              <a:lumMod val="20000"/>
                              <a:lumOff val="80000"/>
                            </a:srgbClr>
                          </a:solidFill>
                          <a:miter lim="800000"/>
                          <a:headEnd/>
                          <a:tailEnd/>
                        </a:ln>
                      </wps:spPr>
                      <wps:txbx>
                        <w:txbxContent>
                          <w:p w14:paraId="3969263C" w14:textId="77777777" w:rsidR="00FF2998" w:rsidRPr="00315B79" w:rsidRDefault="00FF2998" w:rsidP="00FF2998">
                            <w:pPr>
                              <w:shd w:val="clear" w:color="auto" w:fill="DCEAD6"/>
                              <w:rPr>
                                <w:b/>
                                <w:bCs/>
                                <w:color w:val="3B3B3C"/>
                                <w:sz w:val="21"/>
                                <w:szCs w:val="21"/>
                              </w:rPr>
                            </w:pPr>
                            <w:r w:rsidRPr="00315B79">
                              <w:rPr>
                                <w:b/>
                                <w:bCs/>
                                <w:color w:val="3B3B3C"/>
                                <w:sz w:val="21"/>
                                <w:szCs w:val="21"/>
                              </w:rPr>
                              <w:t>Examples of Fleming Fund contribution to national-level use</w:t>
                            </w:r>
                          </w:p>
                          <w:p w14:paraId="11EC9FE8" w14:textId="77777777" w:rsidR="00FF2998" w:rsidRPr="00315B79" w:rsidRDefault="00FF2998" w:rsidP="00FF2998">
                            <w:pPr>
                              <w:shd w:val="clear" w:color="auto" w:fill="DCEAD6"/>
                              <w:spacing w:after="160"/>
                              <w:rPr>
                                <w:rFonts w:eastAsia="Yu Mincho"/>
                                <w:color w:val="3B3B3C"/>
                                <w:sz w:val="21"/>
                                <w:szCs w:val="21"/>
                              </w:rPr>
                            </w:pPr>
                            <w:r w:rsidRPr="00315B79">
                              <w:rPr>
                                <w:rFonts w:eastAsia="Yu Mincho"/>
                                <w:color w:val="3B3B3C"/>
                                <w:sz w:val="21"/>
                                <w:szCs w:val="21"/>
                              </w:rPr>
                              <w:t>The following elements of Fleming Fund design were intended to contribute to sharing of data:</w:t>
                            </w:r>
                          </w:p>
                          <w:p w14:paraId="3DBF32D1"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Fellowships</w:t>
                            </w:r>
                            <w:r w:rsidRPr="00315B79">
                              <w:rPr>
                                <w:rFonts w:eastAsia="Yu Mincho"/>
                                <w:color w:val="3B3B3C"/>
                                <w:sz w:val="21"/>
                                <w:szCs w:val="21"/>
                              </w:rPr>
                              <w:t>: Policy and Surveillance Fellows</w:t>
                            </w:r>
                          </w:p>
                          <w:p w14:paraId="6B0D43DB"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Regional Grants</w:t>
                            </w:r>
                            <w:r w:rsidRPr="00315B79">
                              <w:rPr>
                                <w:rFonts w:eastAsia="Yu Mincho"/>
                                <w:color w:val="3B3B3C"/>
                                <w:sz w:val="21"/>
                                <w:szCs w:val="21"/>
                              </w:rPr>
                              <w:t>: RADAAR, CAPTURA and MAAP on historical data use</w:t>
                            </w:r>
                          </w:p>
                          <w:p w14:paraId="76F110C8"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Global grants</w:t>
                            </w:r>
                            <w:r w:rsidRPr="00315B79">
                              <w:rPr>
                                <w:rFonts w:eastAsia="Yu Mincho"/>
                                <w:color w:val="3B3B3C"/>
                                <w:sz w:val="21"/>
                                <w:szCs w:val="21"/>
                              </w:rPr>
                              <w:t xml:space="preserve"> (including ODI Fellowships and CWPAMS)</w:t>
                            </w:r>
                          </w:p>
                          <w:p w14:paraId="191DBBF9" w14:textId="77777777" w:rsidR="00FF2998" w:rsidRPr="00315B79" w:rsidRDefault="00FF2998" w:rsidP="00FF2998">
                            <w:pPr>
                              <w:shd w:val="clear" w:color="auto" w:fill="DCEAD6"/>
                              <w:spacing w:after="120"/>
                              <w:rPr>
                                <w:color w:val="3B3B3C"/>
                                <w:sz w:val="21"/>
                                <w:szCs w:val="21"/>
                              </w:rPr>
                            </w:pPr>
                            <w:r w:rsidRPr="00315B79">
                              <w:rPr>
                                <w:color w:val="3B3B3C"/>
                                <w:sz w:val="21"/>
                                <w:szCs w:val="21"/>
                              </w:rPr>
                              <w:t xml:space="preserve">Implementation progress (especially for the Fellowships) as described in section </w:t>
                            </w:r>
                            <w:r w:rsidRPr="008A5F96">
                              <w:rPr>
                                <w:color w:val="3B3B3C"/>
                                <w:sz w:val="21"/>
                                <w:szCs w:val="21"/>
                              </w:rPr>
                              <w:fldChar w:fldCharType="begin"/>
                            </w:r>
                            <w:r w:rsidRPr="00315B79">
                              <w:rPr>
                                <w:color w:val="3B3B3C"/>
                                <w:sz w:val="21"/>
                                <w:szCs w:val="21"/>
                              </w:rPr>
                              <w:instrText xml:space="preserve"> REF _Ref118235496 \r \h  \* MERGEFORMAT </w:instrText>
                            </w:r>
                            <w:r w:rsidRPr="008A5F96">
                              <w:rPr>
                                <w:color w:val="3B3B3C"/>
                                <w:sz w:val="21"/>
                                <w:szCs w:val="21"/>
                              </w:rPr>
                            </w:r>
                            <w:r w:rsidRPr="008A5F96">
                              <w:rPr>
                                <w:color w:val="3B3B3C"/>
                                <w:sz w:val="21"/>
                                <w:szCs w:val="21"/>
                              </w:rPr>
                              <w:fldChar w:fldCharType="separate"/>
                            </w:r>
                            <w:r w:rsidR="00315B79">
                              <w:rPr>
                                <w:color w:val="3B3B3C"/>
                                <w:sz w:val="21"/>
                                <w:szCs w:val="21"/>
                              </w:rPr>
                              <w:t>1.4.2</w:t>
                            </w:r>
                            <w:r w:rsidRPr="008A5F96">
                              <w:rPr>
                                <w:color w:val="3B3B3C"/>
                                <w:sz w:val="21"/>
                                <w:szCs w:val="21"/>
                              </w:rPr>
                              <w:fldChar w:fldCharType="end"/>
                            </w:r>
                            <w:r w:rsidRPr="00315B79">
                              <w:rPr>
                                <w:color w:val="3B3B3C"/>
                                <w:sz w:val="21"/>
                                <w:szCs w:val="21"/>
                              </w:rPr>
                              <w:t xml:space="preserve"> and </w:t>
                            </w:r>
                            <w:r w:rsidR="00315B79">
                              <w:rPr>
                                <w:color w:val="3B3B3C"/>
                                <w:sz w:val="21"/>
                                <w:szCs w:val="21"/>
                              </w:rPr>
                              <w:fldChar w:fldCharType="begin"/>
                            </w:r>
                            <w:r w:rsidR="00315B79">
                              <w:rPr>
                                <w:color w:val="3B3B3C"/>
                                <w:sz w:val="21"/>
                                <w:szCs w:val="21"/>
                              </w:rPr>
                              <w:instrText xml:space="preserve"> REF _Ref129333486 \h  \* MERGEFORMAT </w:instrText>
                            </w:r>
                            <w:r w:rsidR="00315B79">
                              <w:rPr>
                                <w:color w:val="3B3B3C"/>
                                <w:sz w:val="21"/>
                                <w:szCs w:val="21"/>
                              </w:rPr>
                            </w:r>
                            <w:r w:rsidR="00315B79">
                              <w:rPr>
                                <w:color w:val="3B3B3C"/>
                                <w:sz w:val="21"/>
                                <w:szCs w:val="21"/>
                              </w:rPr>
                              <w:fldChar w:fldCharType="separate"/>
                            </w:r>
                            <w:r w:rsidR="00315B79" w:rsidRPr="008A5F96">
                              <w:rPr>
                                <w:color w:val="3B3B3C"/>
                                <w:sz w:val="21"/>
                                <w:szCs w:val="21"/>
                              </w:rPr>
                              <w:t>Box 2</w:t>
                            </w:r>
                            <w:r w:rsidR="00315B79">
                              <w:rPr>
                                <w:color w:val="3B3B3C"/>
                                <w:sz w:val="21"/>
                                <w:szCs w:val="21"/>
                              </w:rPr>
                              <w:fldChar w:fldCharType="end"/>
                            </w:r>
                            <w:r w:rsidRPr="00315B79">
                              <w:rPr>
                                <w:color w:val="3B3B3C"/>
                                <w:sz w:val="21"/>
                                <w:szCs w:val="21"/>
                              </w:rPr>
                              <w:t>, and the duration and visibility of some of these efforts (especially RGs) appear to have limited the extent to which KIs noted the contribution to data use.</w:t>
                            </w:r>
                            <w:r w:rsidRPr="00315B79" w:rsidDel="007D2E99">
                              <w:rPr>
                                <w:color w:val="3B3B3C"/>
                                <w:sz w:val="21"/>
                                <w:szCs w:val="21"/>
                              </w:rPr>
                              <w:t xml:space="preserve"> </w:t>
                            </w:r>
                          </w:p>
                          <w:p w14:paraId="24C107EA" w14:textId="77777777" w:rsidR="00B714BA" w:rsidRDefault="00B714BA"/>
                          <w:p w14:paraId="468276C3" w14:textId="1C59684A" w:rsidR="00FF2998" w:rsidRPr="00315B79" w:rsidRDefault="00FF2998" w:rsidP="00FF2998">
                            <w:pPr>
                              <w:shd w:val="clear" w:color="auto" w:fill="DCEAD6"/>
                              <w:rPr>
                                <w:b/>
                                <w:bCs/>
                                <w:color w:val="3B3B3C"/>
                                <w:sz w:val="21"/>
                                <w:szCs w:val="21"/>
                              </w:rPr>
                            </w:pPr>
                            <w:r w:rsidRPr="00315B79">
                              <w:rPr>
                                <w:b/>
                                <w:bCs/>
                                <w:color w:val="3B3B3C"/>
                                <w:sz w:val="21"/>
                                <w:szCs w:val="21"/>
                              </w:rPr>
                              <w:t>Examples of Fleming Fund contribution to national-level use</w:t>
                            </w:r>
                          </w:p>
                          <w:p w14:paraId="16130344" w14:textId="77777777" w:rsidR="00FF2998" w:rsidRPr="00315B79" w:rsidRDefault="00FF2998" w:rsidP="00FF2998">
                            <w:pPr>
                              <w:shd w:val="clear" w:color="auto" w:fill="DCEAD6"/>
                              <w:spacing w:after="160"/>
                              <w:rPr>
                                <w:rFonts w:eastAsia="Yu Mincho"/>
                                <w:color w:val="3B3B3C"/>
                                <w:sz w:val="21"/>
                                <w:szCs w:val="21"/>
                              </w:rPr>
                            </w:pPr>
                            <w:r w:rsidRPr="00315B79">
                              <w:rPr>
                                <w:rFonts w:eastAsia="Yu Mincho"/>
                                <w:color w:val="3B3B3C"/>
                                <w:sz w:val="21"/>
                                <w:szCs w:val="21"/>
                              </w:rPr>
                              <w:t>The following elements of Fleming Fund design were intended to contribute to sharing of data:</w:t>
                            </w:r>
                          </w:p>
                          <w:p w14:paraId="7270F4CF"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Fellowships</w:t>
                            </w:r>
                            <w:r w:rsidRPr="00315B79">
                              <w:rPr>
                                <w:rFonts w:eastAsia="Yu Mincho"/>
                                <w:color w:val="3B3B3C"/>
                                <w:sz w:val="21"/>
                                <w:szCs w:val="21"/>
                              </w:rPr>
                              <w:t>: Policy and Surveillance Fellows</w:t>
                            </w:r>
                          </w:p>
                          <w:p w14:paraId="726C905F"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Regional Grants</w:t>
                            </w:r>
                            <w:r w:rsidRPr="00315B79">
                              <w:rPr>
                                <w:rFonts w:eastAsia="Yu Mincho"/>
                                <w:color w:val="3B3B3C"/>
                                <w:sz w:val="21"/>
                                <w:szCs w:val="21"/>
                              </w:rPr>
                              <w:t>: RADAAR, CAPTURA and MAAP on historical data use</w:t>
                            </w:r>
                          </w:p>
                          <w:p w14:paraId="49EB915C"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Global grants</w:t>
                            </w:r>
                            <w:r w:rsidRPr="00315B79">
                              <w:rPr>
                                <w:rFonts w:eastAsia="Yu Mincho"/>
                                <w:color w:val="3B3B3C"/>
                                <w:sz w:val="21"/>
                                <w:szCs w:val="21"/>
                              </w:rPr>
                              <w:t xml:space="preserve"> (including ODI Fellowships and CWPAMS)</w:t>
                            </w:r>
                          </w:p>
                          <w:p w14:paraId="6D345235" w14:textId="2CFBDD89" w:rsidR="00FF2998" w:rsidRPr="00315B79" w:rsidRDefault="00FF2998" w:rsidP="00FF2998">
                            <w:pPr>
                              <w:shd w:val="clear" w:color="auto" w:fill="DCEAD6"/>
                              <w:spacing w:after="120"/>
                              <w:rPr>
                                <w:color w:val="3B3B3C"/>
                                <w:sz w:val="21"/>
                                <w:szCs w:val="21"/>
                              </w:rPr>
                            </w:pPr>
                            <w:r w:rsidRPr="00315B79">
                              <w:rPr>
                                <w:color w:val="3B3B3C"/>
                                <w:sz w:val="21"/>
                                <w:szCs w:val="21"/>
                              </w:rPr>
                              <w:t xml:space="preserve">Implementation progress (especially for the Fellowships) as described in section </w:t>
                            </w:r>
                            <w:r w:rsidRPr="008A5F96">
                              <w:rPr>
                                <w:color w:val="3B3B3C"/>
                                <w:sz w:val="21"/>
                                <w:szCs w:val="21"/>
                              </w:rPr>
                              <w:fldChar w:fldCharType="begin"/>
                            </w:r>
                            <w:r w:rsidRPr="00315B79">
                              <w:rPr>
                                <w:color w:val="3B3B3C"/>
                                <w:sz w:val="21"/>
                                <w:szCs w:val="21"/>
                              </w:rPr>
                              <w:instrText xml:space="preserve"> REF _Ref118235496 \r \h  \* MERGEFORMAT </w:instrText>
                            </w:r>
                            <w:r w:rsidRPr="008A5F96">
                              <w:rPr>
                                <w:color w:val="3B3B3C"/>
                                <w:sz w:val="21"/>
                                <w:szCs w:val="21"/>
                              </w:rPr>
                            </w:r>
                            <w:r w:rsidRPr="008A5F96">
                              <w:rPr>
                                <w:color w:val="3B3B3C"/>
                                <w:sz w:val="21"/>
                                <w:szCs w:val="21"/>
                              </w:rPr>
                              <w:fldChar w:fldCharType="separate"/>
                            </w:r>
                            <w:r w:rsidR="00315B79">
                              <w:rPr>
                                <w:color w:val="3B3B3C"/>
                                <w:sz w:val="21"/>
                                <w:szCs w:val="21"/>
                              </w:rPr>
                              <w:t>1.4.2</w:t>
                            </w:r>
                            <w:r w:rsidRPr="008A5F96">
                              <w:rPr>
                                <w:color w:val="3B3B3C"/>
                                <w:sz w:val="21"/>
                                <w:szCs w:val="21"/>
                              </w:rPr>
                              <w:fldChar w:fldCharType="end"/>
                            </w:r>
                            <w:r w:rsidRPr="00315B79">
                              <w:rPr>
                                <w:color w:val="3B3B3C"/>
                                <w:sz w:val="21"/>
                                <w:szCs w:val="21"/>
                              </w:rPr>
                              <w:t xml:space="preserve"> and </w:t>
                            </w:r>
                            <w:r w:rsidR="00315B79">
                              <w:rPr>
                                <w:color w:val="3B3B3C"/>
                                <w:sz w:val="21"/>
                                <w:szCs w:val="21"/>
                              </w:rPr>
                              <w:fldChar w:fldCharType="begin"/>
                            </w:r>
                            <w:r w:rsidR="00315B79">
                              <w:rPr>
                                <w:color w:val="3B3B3C"/>
                                <w:sz w:val="21"/>
                                <w:szCs w:val="21"/>
                              </w:rPr>
                              <w:instrText xml:space="preserve"> REF _Ref129333486 \h  \* MERGEFORMAT </w:instrText>
                            </w:r>
                            <w:r w:rsidR="00315B79">
                              <w:rPr>
                                <w:color w:val="3B3B3C"/>
                                <w:sz w:val="21"/>
                                <w:szCs w:val="21"/>
                              </w:rPr>
                            </w:r>
                            <w:r w:rsidR="00315B79">
                              <w:rPr>
                                <w:color w:val="3B3B3C"/>
                                <w:sz w:val="21"/>
                                <w:szCs w:val="21"/>
                              </w:rPr>
                              <w:fldChar w:fldCharType="separate"/>
                            </w:r>
                            <w:r w:rsidR="00315B79" w:rsidRPr="008A5F96">
                              <w:rPr>
                                <w:color w:val="3B3B3C"/>
                                <w:sz w:val="21"/>
                                <w:szCs w:val="21"/>
                              </w:rPr>
                              <w:t>Box 2</w:t>
                            </w:r>
                            <w:r w:rsidR="00315B79">
                              <w:rPr>
                                <w:color w:val="3B3B3C"/>
                                <w:sz w:val="21"/>
                                <w:szCs w:val="21"/>
                              </w:rPr>
                              <w:fldChar w:fldCharType="end"/>
                            </w:r>
                            <w:r w:rsidRPr="00315B79">
                              <w:rPr>
                                <w:color w:val="3B3B3C"/>
                                <w:sz w:val="21"/>
                                <w:szCs w:val="21"/>
                              </w:rPr>
                              <w:t>, and the duration and visibility of some of these efforts (especially RGs) appear to have limited the extent to which KIs noted the contribution to data use.</w:t>
                            </w:r>
                            <w:r w:rsidRPr="00315B79" w:rsidDel="007D2E99">
                              <w:rPr>
                                <w:color w:val="3B3B3C"/>
                                <w:sz w:val="21"/>
                                <w:szCs w:val="21"/>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48D2FC" id="Text Box 62761667" o:spid="_x0000_s1034" type="#_x0000_t202" style="position:absolute;margin-left:235.95pt;margin-top:6.4pt;width:230.25pt;height:216.5pt;z-index:251658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" fillcolor="#dcebd7" strokecolor="#dcebd7">
                <v:textbox>
                  <w:txbxContent>
                    <w:p w14:paraId="3969263C" w14:textId="77777777" w:rsidR="00FF2998" w:rsidRPr="00315B79" w:rsidRDefault="00FF2998" w:rsidP="00FF2998">
                      <w:pPr>
                        <w:shd w:val="clear" w:color="auto" w:fill="DCEAD6"/>
                        <w:rPr>
                          <w:b/>
                          <w:bCs/>
                          <w:color w:val="3B3B3C"/>
                          <w:sz w:val="21"/>
                          <w:szCs w:val="21"/>
                        </w:rPr>
                      </w:pPr>
                      <w:r w:rsidRPr="00315B79">
                        <w:rPr>
                          <w:b/>
                          <w:bCs/>
                          <w:color w:val="3B3B3C"/>
                          <w:sz w:val="21"/>
                          <w:szCs w:val="21"/>
                        </w:rPr>
                        <w:t>Examples of Fleming Fund contribution to national-level use</w:t>
                      </w:r>
                    </w:p>
                    <w:p w14:paraId="11EC9FE8" w14:textId="77777777" w:rsidR="00FF2998" w:rsidRPr="00315B79" w:rsidRDefault="00FF2998" w:rsidP="00FF2998">
                      <w:pPr>
                        <w:shd w:val="clear" w:color="auto" w:fill="DCEAD6"/>
                        <w:spacing w:after="160"/>
                        <w:rPr>
                          <w:rFonts w:eastAsia="Yu Mincho"/>
                          <w:color w:val="3B3B3C"/>
                          <w:sz w:val="21"/>
                          <w:szCs w:val="21"/>
                        </w:rPr>
                      </w:pPr>
                      <w:r w:rsidRPr="00315B79">
                        <w:rPr>
                          <w:rFonts w:eastAsia="Yu Mincho"/>
                          <w:color w:val="3B3B3C"/>
                          <w:sz w:val="21"/>
                          <w:szCs w:val="21"/>
                        </w:rPr>
                        <w:t>The following elements of Fleming Fund design were intended to contribute to sharing of data:</w:t>
                      </w:r>
                    </w:p>
                    <w:p w14:paraId="3DBF32D1"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Fellowships</w:t>
                      </w:r>
                      <w:r w:rsidRPr="00315B79">
                        <w:rPr>
                          <w:rFonts w:eastAsia="Yu Mincho"/>
                          <w:color w:val="3B3B3C"/>
                          <w:sz w:val="21"/>
                          <w:szCs w:val="21"/>
                        </w:rPr>
                        <w:t>: Policy and Surveillance Fellows</w:t>
                      </w:r>
                    </w:p>
                    <w:p w14:paraId="6B0D43DB"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Regional Grants</w:t>
                      </w:r>
                      <w:r w:rsidRPr="00315B79">
                        <w:rPr>
                          <w:rFonts w:eastAsia="Yu Mincho"/>
                          <w:color w:val="3B3B3C"/>
                          <w:sz w:val="21"/>
                          <w:szCs w:val="21"/>
                        </w:rPr>
                        <w:t>: RADAAR, CAPTURA and MAAP on historical data use</w:t>
                      </w:r>
                    </w:p>
                    <w:p w14:paraId="76F110C8"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Global grants</w:t>
                      </w:r>
                      <w:r w:rsidRPr="00315B79">
                        <w:rPr>
                          <w:rFonts w:eastAsia="Yu Mincho"/>
                          <w:color w:val="3B3B3C"/>
                          <w:sz w:val="21"/>
                          <w:szCs w:val="21"/>
                        </w:rPr>
                        <w:t xml:space="preserve"> (including ODI Fellowships and CWPAMS)</w:t>
                      </w:r>
                    </w:p>
                    <w:p w14:paraId="191DBBF9" w14:textId="77777777" w:rsidR="00FF2998" w:rsidRPr="00315B79" w:rsidRDefault="00FF2998" w:rsidP="00FF2998">
                      <w:pPr>
                        <w:shd w:val="clear" w:color="auto" w:fill="DCEAD6"/>
                        <w:spacing w:after="120"/>
                        <w:rPr>
                          <w:color w:val="3B3B3C"/>
                          <w:sz w:val="21"/>
                          <w:szCs w:val="21"/>
                        </w:rPr>
                      </w:pPr>
                      <w:r w:rsidRPr="00315B79">
                        <w:rPr>
                          <w:color w:val="3B3B3C"/>
                          <w:sz w:val="21"/>
                          <w:szCs w:val="21"/>
                        </w:rPr>
                        <w:t xml:space="preserve">Implementation progress (especially for the Fellowships) as described in section </w:t>
                      </w:r>
                      <w:r w:rsidRPr="008A5F96">
                        <w:rPr>
                          <w:color w:val="3B3B3C"/>
                          <w:sz w:val="21"/>
                          <w:szCs w:val="21"/>
                        </w:rPr>
                        <w:fldChar w:fldCharType="begin"/>
                      </w:r>
                      <w:r w:rsidRPr="00315B79">
                        <w:rPr>
                          <w:color w:val="3B3B3C"/>
                          <w:sz w:val="21"/>
                          <w:szCs w:val="21"/>
                        </w:rPr>
                        <w:instrText xml:space="preserve"> REF _Ref118235496 \r \h  \* MERGEFORMAT </w:instrText>
                      </w:r>
                      <w:r w:rsidRPr="008A5F96">
                        <w:rPr>
                          <w:color w:val="3B3B3C"/>
                          <w:sz w:val="21"/>
                          <w:szCs w:val="21"/>
                        </w:rPr>
                      </w:r>
                      <w:r w:rsidRPr="008A5F96">
                        <w:rPr>
                          <w:color w:val="3B3B3C"/>
                          <w:sz w:val="21"/>
                          <w:szCs w:val="21"/>
                        </w:rPr>
                        <w:fldChar w:fldCharType="separate"/>
                      </w:r>
                      <w:r w:rsidR="00315B79">
                        <w:rPr>
                          <w:color w:val="3B3B3C"/>
                          <w:sz w:val="21"/>
                          <w:szCs w:val="21"/>
                        </w:rPr>
                        <w:t>1.4.2</w:t>
                      </w:r>
                      <w:r w:rsidRPr="008A5F96">
                        <w:rPr>
                          <w:color w:val="3B3B3C"/>
                          <w:sz w:val="21"/>
                          <w:szCs w:val="21"/>
                        </w:rPr>
                        <w:fldChar w:fldCharType="end"/>
                      </w:r>
                      <w:r w:rsidRPr="00315B79">
                        <w:rPr>
                          <w:color w:val="3B3B3C"/>
                          <w:sz w:val="21"/>
                          <w:szCs w:val="21"/>
                        </w:rPr>
                        <w:t xml:space="preserve"> and </w:t>
                      </w:r>
                      <w:r w:rsidR="00315B79">
                        <w:rPr>
                          <w:color w:val="3B3B3C"/>
                          <w:sz w:val="21"/>
                          <w:szCs w:val="21"/>
                        </w:rPr>
                        <w:fldChar w:fldCharType="begin"/>
                      </w:r>
                      <w:r w:rsidR="00315B79">
                        <w:rPr>
                          <w:color w:val="3B3B3C"/>
                          <w:sz w:val="21"/>
                          <w:szCs w:val="21"/>
                        </w:rPr>
                        <w:instrText xml:space="preserve"> REF _Ref129333486 \h  \* MERGEFORMAT </w:instrText>
                      </w:r>
                      <w:r w:rsidR="00315B79">
                        <w:rPr>
                          <w:color w:val="3B3B3C"/>
                          <w:sz w:val="21"/>
                          <w:szCs w:val="21"/>
                        </w:rPr>
                      </w:r>
                      <w:r w:rsidR="00315B79">
                        <w:rPr>
                          <w:color w:val="3B3B3C"/>
                          <w:sz w:val="21"/>
                          <w:szCs w:val="21"/>
                        </w:rPr>
                        <w:fldChar w:fldCharType="separate"/>
                      </w:r>
                      <w:r w:rsidR="00315B79" w:rsidRPr="008A5F96">
                        <w:rPr>
                          <w:color w:val="3B3B3C"/>
                          <w:sz w:val="21"/>
                          <w:szCs w:val="21"/>
                        </w:rPr>
                        <w:t>Box 2</w:t>
                      </w:r>
                      <w:r w:rsidR="00315B79">
                        <w:rPr>
                          <w:color w:val="3B3B3C"/>
                          <w:sz w:val="21"/>
                          <w:szCs w:val="21"/>
                        </w:rPr>
                        <w:fldChar w:fldCharType="end"/>
                      </w:r>
                      <w:r w:rsidRPr="00315B79">
                        <w:rPr>
                          <w:color w:val="3B3B3C"/>
                          <w:sz w:val="21"/>
                          <w:szCs w:val="21"/>
                        </w:rPr>
                        <w:t>, and the duration and visibility of some of these efforts (especially RGs) appear to have limited the extent to which KIs noted the contribution to data use.</w:t>
                      </w:r>
                      <w:r w:rsidRPr="00315B79" w:rsidDel="007D2E99">
                        <w:rPr>
                          <w:color w:val="3B3B3C"/>
                          <w:sz w:val="21"/>
                          <w:szCs w:val="21"/>
                        </w:rPr>
                        <w:t xml:space="preserve"> </w:t>
                      </w:r>
                    </w:p>
                    <w:p w14:paraId="24C107EA" w14:textId="77777777" w:rsidR="00B714BA" w:rsidRDefault="00B714BA"/>
                    <w:p w14:paraId="468276C3" w14:textId="1C59684A" w:rsidR="00FF2998" w:rsidRPr="00315B79" w:rsidRDefault="00FF2998" w:rsidP="00FF2998">
                      <w:pPr>
                        <w:shd w:val="clear" w:color="auto" w:fill="DCEAD6"/>
                        <w:rPr>
                          <w:b/>
                          <w:bCs/>
                          <w:color w:val="3B3B3C"/>
                          <w:sz w:val="21"/>
                          <w:szCs w:val="21"/>
                        </w:rPr>
                      </w:pPr>
                      <w:r w:rsidRPr="00315B79">
                        <w:rPr>
                          <w:b/>
                          <w:bCs/>
                          <w:color w:val="3B3B3C"/>
                          <w:sz w:val="21"/>
                          <w:szCs w:val="21"/>
                        </w:rPr>
                        <w:t>Examples of Fleming Fund contribution to national-level use</w:t>
                      </w:r>
                    </w:p>
                    <w:p w14:paraId="16130344" w14:textId="77777777" w:rsidR="00FF2998" w:rsidRPr="00315B79" w:rsidRDefault="00FF2998" w:rsidP="00FF2998">
                      <w:pPr>
                        <w:shd w:val="clear" w:color="auto" w:fill="DCEAD6"/>
                        <w:spacing w:after="160"/>
                        <w:rPr>
                          <w:rFonts w:eastAsia="Yu Mincho"/>
                          <w:color w:val="3B3B3C"/>
                          <w:sz w:val="21"/>
                          <w:szCs w:val="21"/>
                        </w:rPr>
                      </w:pPr>
                      <w:r w:rsidRPr="00315B79">
                        <w:rPr>
                          <w:rFonts w:eastAsia="Yu Mincho"/>
                          <w:color w:val="3B3B3C"/>
                          <w:sz w:val="21"/>
                          <w:szCs w:val="21"/>
                        </w:rPr>
                        <w:t>The following elements of Fleming Fund design were intended to contribute to sharing of data:</w:t>
                      </w:r>
                    </w:p>
                    <w:p w14:paraId="7270F4CF"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Fellowships</w:t>
                      </w:r>
                      <w:r w:rsidRPr="00315B79">
                        <w:rPr>
                          <w:rFonts w:eastAsia="Yu Mincho"/>
                          <w:color w:val="3B3B3C"/>
                          <w:sz w:val="21"/>
                          <w:szCs w:val="21"/>
                        </w:rPr>
                        <w:t>: Policy and Surveillance Fellows</w:t>
                      </w:r>
                    </w:p>
                    <w:p w14:paraId="726C905F"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Regional Grants</w:t>
                      </w:r>
                      <w:r w:rsidRPr="00315B79">
                        <w:rPr>
                          <w:rFonts w:eastAsia="Yu Mincho"/>
                          <w:color w:val="3B3B3C"/>
                          <w:sz w:val="21"/>
                          <w:szCs w:val="21"/>
                        </w:rPr>
                        <w:t>: RADAAR, CAPTURA and MAAP on historical data use</w:t>
                      </w:r>
                    </w:p>
                    <w:p w14:paraId="49EB915C" w14:textId="77777777" w:rsidR="00FF2998" w:rsidRPr="00315B79" w:rsidRDefault="00FF2998" w:rsidP="00FF2998">
                      <w:pPr>
                        <w:pStyle w:val="ListParagraph"/>
                        <w:numPr>
                          <w:ilvl w:val="0"/>
                          <w:numId w:val="19"/>
                        </w:numPr>
                        <w:shd w:val="clear" w:color="auto" w:fill="DCEAD6"/>
                        <w:spacing w:after="120"/>
                        <w:rPr>
                          <w:color w:val="3B3B3C"/>
                          <w:sz w:val="21"/>
                          <w:szCs w:val="21"/>
                        </w:rPr>
                      </w:pPr>
                      <w:r w:rsidRPr="00315B79">
                        <w:rPr>
                          <w:rFonts w:eastAsia="Yu Mincho"/>
                          <w:b/>
                          <w:bCs/>
                          <w:color w:val="3B3B3C"/>
                          <w:sz w:val="21"/>
                          <w:szCs w:val="21"/>
                        </w:rPr>
                        <w:t>Global grants</w:t>
                      </w:r>
                      <w:r w:rsidRPr="00315B79">
                        <w:rPr>
                          <w:rFonts w:eastAsia="Yu Mincho"/>
                          <w:color w:val="3B3B3C"/>
                          <w:sz w:val="21"/>
                          <w:szCs w:val="21"/>
                        </w:rPr>
                        <w:t xml:space="preserve"> (including ODI Fellowships and CWPAMS)</w:t>
                      </w:r>
                    </w:p>
                    <w:p w14:paraId="6D345235" w14:textId="2CFBDD89" w:rsidR="00FF2998" w:rsidRPr="00315B79" w:rsidRDefault="00FF2998" w:rsidP="00FF2998">
                      <w:pPr>
                        <w:shd w:val="clear" w:color="auto" w:fill="DCEAD6"/>
                        <w:spacing w:after="120"/>
                        <w:rPr>
                          <w:color w:val="3B3B3C"/>
                          <w:sz w:val="21"/>
                          <w:szCs w:val="21"/>
                        </w:rPr>
                      </w:pPr>
                      <w:r w:rsidRPr="00315B79">
                        <w:rPr>
                          <w:color w:val="3B3B3C"/>
                          <w:sz w:val="21"/>
                          <w:szCs w:val="21"/>
                        </w:rPr>
                        <w:t xml:space="preserve">Implementation progress (especially for the Fellowships) as described in section </w:t>
                      </w:r>
                      <w:r w:rsidRPr="008A5F96">
                        <w:rPr>
                          <w:color w:val="3B3B3C"/>
                          <w:sz w:val="21"/>
                          <w:szCs w:val="21"/>
                        </w:rPr>
                        <w:fldChar w:fldCharType="begin"/>
                      </w:r>
                      <w:r w:rsidRPr="00315B79">
                        <w:rPr>
                          <w:color w:val="3B3B3C"/>
                          <w:sz w:val="21"/>
                          <w:szCs w:val="21"/>
                        </w:rPr>
                        <w:instrText xml:space="preserve"> REF _Ref118235496 \r \h  \* MERGEFORMAT </w:instrText>
                      </w:r>
                      <w:r w:rsidRPr="008A5F96">
                        <w:rPr>
                          <w:color w:val="3B3B3C"/>
                          <w:sz w:val="21"/>
                          <w:szCs w:val="21"/>
                        </w:rPr>
                      </w:r>
                      <w:r w:rsidRPr="008A5F96">
                        <w:rPr>
                          <w:color w:val="3B3B3C"/>
                          <w:sz w:val="21"/>
                          <w:szCs w:val="21"/>
                        </w:rPr>
                        <w:fldChar w:fldCharType="separate"/>
                      </w:r>
                      <w:r w:rsidR="00315B79">
                        <w:rPr>
                          <w:color w:val="3B3B3C"/>
                          <w:sz w:val="21"/>
                          <w:szCs w:val="21"/>
                        </w:rPr>
                        <w:t>1.4.2</w:t>
                      </w:r>
                      <w:r w:rsidRPr="008A5F96">
                        <w:rPr>
                          <w:color w:val="3B3B3C"/>
                          <w:sz w:val="21"/>
                          <w:szCs w:val="21"/>
                        </w:rPr>
                        <w:fldChar w:fldCharType="end"/>
                      </w:r>
                      <w:r w:rsidRPr="00315B79">
                        <w:rPr>
                          <w:color w:val="3B3B3C"/>
                          <w:sz w:val="21"/>
                          <w:szCs w:val="21"/>
                        </w:rPr>
                        <w:t xml:space="preserve"> and </w:t>
                      </w:r>
                      <w:r w:rsidR="00315B79">
                        <w:rPr>
                          <w:color w:val="3B3B3C"/>
                          <w:sz w:val="21"/>
                          <w:szCs w:val="21"/>
                        </w:rPr>
                        <w:fldChar w:fldCharType="begin"/>
                      </w:r>
                      <w:r w:rsidR="00315B79">
                        <w:rPr>
                          <w:color w:val="3B3B3C"/>
                          <w:sz w:val="21"/>
                          <w:szCs w:val="21"/>
                        </w:rPr>
                        <w:instrText xml:space="preserve"> REF _Ref129333486 \h  \* MERGEFORMAT </w:instrText>
                      </w:r>
                      <w:r w:rsidR="00315B79">
                        <w:rPr>
                          <w:color w:val="3B3B3C"/>
                          <w:sz w:val="21"/>
                          <w:szCs w:val="21"/>
                        </w:rPr>
                      </w:r>
                      <w:r w:rsidR="00315B79">
                        <w:rPr>
                          <w:color w:val="3B3B3C"/>
                          <w:sz w:val="21"/>
                          <w:szCs w:val="21"/>
                        </w:rPr>
                        <w:fldChar w:fldCharType="separate"/>
                      </w:r>
                      <w:r w:rsidR="00315B79" w:rsidRPr="008A5F96">
                        <w:rPr>
                          <w:color w:val="3B3B3C"/>
                          <w:sz w:val="21"/>
                          <w:szCs w:val="21"/>
                        </w:rPr>
                        <w:t>Box 2</w:t>
                      </w:r>
                      <w:r w:rsidR="00315B79">
                        <w:rPr>
                          <w:color w:val="3B3B3C"/>
                          <w:sz w:val="21"/>
                          <w:szCs w:val="21"/>
                        </w:rPr>
                        <w:fldChar w:fldCharType="end"/>
                      </w:r>
                      <w:r w:rsidRPr="00315B79">
                        <w:rPr>
                          <w:color w:val="3B3B3C"/>
                          <w:sz w:val="21"/>
                          <w:szCs w:val="21"/>
                        </w:rPr>
                        <w:t>, and the duration and visibility of some of these efforts (especially RGs) appear to have limited the extent to which KIs noted the contribution to data use.</w:t>
                      </w:r>
                      <w:r w:rsidRPr="00315B79" w:rsidDel="007D2E99">
                        <w:rPr>
                          <w:color w:val="3B3B3C"/>
                          <w:sz w:val="21"/>
                          <w:szCs w:val="21"/>
                        </w:rPr>
                        <w:t xml:space="preserve"> </w:t>
                      </w:r>
                    </w:p>
                  </w:txbxContent>
                </v:textbox>
                <w10:wrap type="square" anchorx="margin"/>
              </v:shape>
            </w:pict>
          </mc:Fallback>
        </mc:AlternateContent>
      </w:r>
      <w:r w:rsidR="00E518FD" w:rsidRPr="002F6B60">
        <w:rPr>
          <w:b/>
          <w:bCs/>
        </w:rPr>
        <w:t>Finding 2.2.</w:t>
      </w:r>
      <w:r w:rsidR="00245A1C" w:rsidRPr="00627B0D">
        <w:rPr>
          <w:b/>
          <w:bCs/>
        </w:rPr>
        <w:t>9</w:t>
      </w:r>
      <w:r w:rsidR="00E518FD" w:rsidRPr="003D1F25">
        <w:rPr>
          <w:b/>
          <w:bCs/>
        </w:rPr>
        <w:t>:</w:t>
      </w:r>
      <w:r w:rsidR="005B236F" w:rsidRPr="00627B0D">
        <w:rPr>
          <w:b/>
          <w:bCs/>
        </w:rPr>
        <w:t xml:space="preserve"> </w:t>
      </w:r>
      <w:r w:rsidR="00FF2998" w:rsidRPr="002F6B60">
        <w:rPr>
          <w:b/>
          <w:bCs/>
        </w:rPr>
        <w:t>The Fleming Fund has made very substantial contributions to the main drivers of data sharing at the national level, primarily through CGs</w:t>
      </w:r>
      <w:r w:rsidR="00AA6A7B" w:rsidRPr="00627B0D">
        <w:rPr>
          <w:b/>
          <w:bCs/>
        </w:rPr>
        <w:t>’</w:t>
      </w:r>
      <w:r w:rsidR="00FF2998" w:rsidRPr="002F6B60">
        <w:rPr>
          <w:b/>
          <w:bCs/>
        </w:rPr>
        <w:t xml:space="preserve"> engagement with AMRCCs or equivalent committees</w:t>
      </w:r>
      <w:r w:rsidR="00E518FD" w:rsidRPr="00627B0D">
        <w:t xml:space="preserve"> (as shown in </w:t>
      </w:r>
      <w:r>
        <w:rPr>
          <w:rFonts w:eastAsia="Yu Mincho"/>
          <w:szCs w:val="24"/>
        </w:rPr>
        <w:fldChar w:fldCharType="begin"/>
      </w:r>
      <w:r>
        <w:rPr>
          <w:rFonts w:eastAsia="Yu Mincho"/>
          <w:szCs w:val="24"/>
        </w:rPr>
        <w:instrText xml:space="preserve"> REF _Ref144103094 \h </w:instrText>
      </w:r>
      <w:r>
        <w:rPr>
          <w:rFonts w:eastAsia="Yu Mincho"/>
          <w:szCs w:val="24"/>
        </w:rPr>
      </w:r>
      <w:r>
        <w:rPr>
          <w:rFonts w:eastAsia="Yu Mincho"/>
          <w:szCs w:val="24"/>
        </w:rPr>
        <w:fldChar w:fldCharType="separate"/>
      </w:r>
      <w:r w:rsidR="00563B66">
        <w:t xml:space="preserve">Table </w:t>
      </w:r>
      <w:r w:rsidR="00563B66">
        <w:rPr>
          <w:noProof/>
        </w:rPr>
        <w:t>6</w:t>
      </w:r>
      <w:r>
        <w:rPr>
          <w:rFonts w:eastAsia="Yu Mincho"/>
          <w:szCs w:val="24"/>
        </w:rPr>
        <w:fldChar w:fldCharType="end"/>
      </w:r>
      <w:r w:rsidR="00E518FD">
        <w:rPr>
          <w:rFonts w:eastAsia="Yu Mincho"/>
          <w:szCs w:val="24"/>
        </w:rPr>
        <w:t xml:space="preserve">). </w:t>
      </w:r>
      <w:r w:rsidR="00FF2998" w:rsidRPr="002F6B60">
        <w:rPr>
          <w:rFonts w:eastAsia="Yu Mincho"/>
          <w:szCs w:val="24"/>
        </w:rPr>
        <w:t xml:space="preserve">The Fleming Fund CGs were reported to have made vital or important contributions to the </w:t>
      </w:r>
      <w:r w:rsidR="000D6E73" w:rsidRPr="002F6B60">
        <w:rPr>
          <w:rFonts w:eastAsia="Yu Mincho"/>
          <w:szCs w:val="24"/>
        </w:rPr>
        <w:t xml:space="preserve">quantity </w:t>
      </w:r>
      <w:r w:rsidR="00FF2998" w:rsidRPr="002F6B60">
        <w:rPr>
          <w:rFonts w:eastAsia="Yu Mincho"/>
          <w:szCs w:val="24"/>
        </w:rPr>
        <w:t>of data, governance</w:t>
      </w:r>
      <w:r w:rsidR="00D71979" w:rsidRPr="002F6B60">
        <w:rPr>
          <w:rFonts w:eastAsia="Yu Mincho"/>
          <w:szCs w:val="24"/>
        </w:rPr>
        <w:t>,</w:t>
      </w:r>
      <w:r w:rsidR="00FF2998" w:rsidRPr="002F6B60">
        <w:rPr>
          <w:rFonts w:eastAsia="Yu Mincho"/>
          <w:szCs w:val="24"/>
        </w:rPr>
        <w:t xml:space="preserve"> and/or AMR surveillance systems in a majority of the focus countries</w:t>
      </w:r>
      <w:r w:rsidR="00B30736" w:rsidRPr="002F6B60">
        <w:rPr>
          <w:rFonts w:eastAsia="Yu Mincho"/>
          <w:szCs w:val="24"/>
        </w:rPr>
        <w:t>.</w:t>
      </w:r>
      <w:r w:rsidR="00B30736" w:rsidRPr="002F6B60">
        <w:rPr>
          <w:rFonts w:eastAsia="Yu Mincho"/>
          <w:sz w:val="20"/>
          <w:szCs w:val="20"/>
          <w:vertAlign w:val="superscript"/>
        </w:rPr>
        <w:footnoteReference w:id="118"/>
      </w:r>
      <w:r w:rsidR="00FF2998" w:rsidRPr="002F6B60">
        <w:rPr>
          <w:rFonts w:eastAsia="Yu Mincho"/>
          <w:szCs w:val="24"/>
        </w:rPr>
        <w:t xml:space="preserve"> Where data sharing is already taking place (see</w:t>
      </w:r>
      <w:r w:rsidR="008B5D91" w:rsidRPr="002F6B60">
        <w:rPr>
          <w:rFonts w:eastAsia="Yu Mincho"/>
          <w:szCs w:val="24"/>
        </w:rPr>
        <w:t xml:space="preserve"> section</w:t>
      </w:r>
      <w:r w:rsidR="00FF2998" w:rsidRPr="002F6B60">
        <w:rPr>
          <w:rFonts w:eastAsia="Yu Mincho"/>
          <w:szCs w:val="24"/>
        </w:rPr>
        <w:t xml:space="preserve"> </w:t>
      </w:r>
      <w:r w:rsidR="00315B79" w:rsidRPr="002F6B60">
        <w:rPr>
          <w:rFonts w:eastAsia="Yu Mincho"/>
          <w:szCs w:val="24"/>
        </w:rPr>
        <w:fldChar w:fldCharType="begin"/>
      </w:r>
      <w:r w:rsidR="00315B79" w:rsidRPr="002F6B60">
        <w:rPr>
          <w:rFonts w:eastAsia="Yu Mincho"/>
          <w:szCs w:val="24"/>
        </w:rPr>
        <w:instrText xml:space="preserve"> REF _Ref129331366 \r \h </w:instrText>
      </w:r>
      <w:r w:rsidR="006275D0">
        <w:rPr>
          <w:rFonts w:eastAsia="Yu Mincho"/>
          <w:szCs w:val="24"/>
        </w:rPr>
        <w:instrText xml:space="preserve"> \* MERGEFORMAT </w:instrText>
      </w:r>
      <w:r w:rsidR="00315B79" w:rsidRPr="002F6B60">
        <w:rPr>
          <w:rFonts w:eastAsia="Yu Mincho"/>
          <w:szCs w:val="24"/>
        </w:rPr>
      </w:r>
      <w:r w:rsidR="00315B79" w:rsidRPr="002F6B60">
        <w:rPr>
          <w:rFonts w:eastAsia="Yu Mincho"/>
          <w:szCs w:val="24"/>
        </w:rPr>
        <w:fldChar w:fldCharType="separate"/>
      </w:r>
      <w:r w:rsidR="00315B79" w:rsidRPr="002F6B60">
        <w:rPr>
          <w:rFonts w:eastAsia="Yu Mincho"/>
          <w:szCs w:val="24"/>
        </w:rPr>
        <w:t>2.2</w:t>
      </w:r>
      <w:r w:rsidR="00315B79" w:rsidRPr="002F6B60">
        <w:rPr>
          <w:rFonts w:eastAsia="Yu Mincho"/>
          <w:szCs w:val="24"/>
        </w:rPr>
        <w:fldChar w:fldCharType="end"/>
      </w:r>
      <w:r w:rsidR="00FF2998" w:rsidRPr="002F6B60">
        <w:rPr>
          <w:rFonts w:eastAsia="Yu Mincho"/>
          <w:szCs w:val="24"/>
        </w:rPr>
        <w:t xml:space="preserve"> – Bangladesh, Kenya, Tanzania, Nepal, Bhutan </w:t>
      </w:r>
      <w:r w:rsidR="00315B79" w:rsidRPr="002F6B60">
        <w:rPr>
          <w:rFonts w:eastAsia="Yu Mincho"/>
          <w:szCs w:val="24"/>
        </w:rPr>
        <w:t xml:space="preserve">and </w:t>
      </w:r>
      <w:r w:rsidR="00FF2998" w:rsidRPr="002F6B60">
        <w:rPr>
          <w:rFonts w:eastAsia="Yu Mincho"/>
          <w:szCs w:val="24"/>
        </w:rPr>
        <w:t>Uganda), CGs were normally reported to have made important or vital contributions to all three of these drivers.</w:t>
      </w:r>
    </w:p>
    <w:p w14:paraId="2371F10E" w14:textId="2070874A" w:rsidR="00FF2998" w:rsidRPr="008343D7" w:rsidRDefault="00FF2998" w:rsidP="00793C46">
      <w:pPr>
        <w:pStyle w:val="ItadNormalText"/>
      </w:pPr>
      <w:r w:rsidRPr="008343D7">
        <w:t>The Fleming Fund CGs</w:t>
      </w:r>
      <w:r w:rsidR="00AA6A7B">
        <w:t>’</w:t>
      </w:r>
      <w:r w:rsidRPr="008343D7">
        <w:t xml:space="preserve"> engagement with AMRCCs or equivalent committees was</w:t>
      </w:r>
      <w:r w:rsidR="00D71979" w:rsidRPr="008343D7">
        <w:t xml:space="preserve"> </w:t>
      </w:r>
      <w:r w:rsidRPr="008343D7">
        <w:t xml:space="preserve">cited </w:t>
      </w:r>
      <w:r w:rsidR="003366E3">
        <w:t>by</w:t>
      </w:r>
      <w:r w:rsidR="009D1583">
        <w:t xml:space="preserve"> relevant</w:t>
      </w:r>
      <w:r w:rsidR="003366E3">
        <w:t xml:space="preserve"> key informants </w:t>
      </w:r>
      <w:r w:rsidRPr="008343D7">
        <w:t>as a vital</w:t>
      </w:r>
      <w:r w:rsidR="00D71979" w:rsidRPr="008343D7">
        <w:t xml:space="preserve"> </w:t>
      </w:r>
      <w:r w:rsidRPr="008343D7">
        <w:t>or important contribution to data sharing in all countries where this is already taking place or where relatively good progress has been achieved to date (see</w:t>
      </w:r>
      <w:r w:rsidR="00461885">
        <w:t xml:space="preserve"> preceding sub-</w:t>
      </w:r>
      <w:r w:rsidR="008B5D91">
        <w:t>section</w:t>
      </w:r>
      <w:r w:rsidR="00461885">
        <w:t xml:space="preserve"> </w:t>
      </w:r>
      <w:r w:rsidR="00793C46">
        <w:t xml:space="preserve">on </w:t>
      </w:r>
      <w:r w:rsidR="00793C46" w:rsidRPr="00793C46">
        <w:rPr>
          <w:i/>
          <w:iCs/>
        </w:rPr>
        <w:t>‘what were the drivers of change to the use of AMR data’</w:t>
      </w:r>
      <w:r w:rsidRPr="008343D7">
        <w:t>). CGs often played a secretarial role, helping set dates, developing paperwork</w:t>
      </w:r>
      <w:r w:rsidR="00D71979">
        <w:t>,</w:t>
      </w:r>
      <w:r w:rsidRPr="008343D7">
        <w:t xml:space="preserve"> and producing minutes for meetings on behalf of counterparts</w:t>
      </w:r>
      <w:r w:rsidR="00AA6A7B">
        <w:t>’</w:t>
      </w:r>
      <w:r w:rsidRPr="008343D7">
        <w:t xml:space="preserve"> official AMRCC secretariats. But Fleming Fund contributions in terms of CGs</w:t>
      </w:r>
      <w:r w:rsidR="00AA6A7B">
        <w:t>’</w:t>
      </w:r>
      <w:r w:rsidRPr="008343D7">
        <w:t xml:space="preserve"> activities to strengthen data availability and surveillance systems were less consistently recognised </w:t>
      </w:r>
      <w:r w:rsidR="009D1583">
        <w:t>by relevant key informants</w:t>
      </w:r>
      <w:r w:rsidRPr="008343D7">
        <w:t xml:space="preserve"> as important to data sharing.</w:t>
      </w:r>
    </w:p>
    <w:p w14:paraId="52A44F76" w14:textId="4CF4948C" w:rsidR="00E46F96" w:rsidRPr="00E46F96" w:rsidRDefault="4BD3A707" w:rsidP="00D97FFA">
      <w:pPr>
        <w:pStyle w:val="ItadNormalText"/>
        <w:rPr>
          <w:rFonts w:eastAsia="Calibri"/>
          <w:color w:val="767171"/>
          <w:sz w:val="18"/>
          <w:szCs w:val="18"/>
          <w:lang w:eastAsia="en-GB"/>
        </w:rPr>
      </w:pPr>
      <w:r w:rsidRPr="008343D7">
        <w:t xml:space="preserve">Based on the programme design, we expected stakeholders to attribute changes in national data use to a range of Fleming Fund investments including follow-on CGs focused on data use (CG2s), Fellowships (notably </w:t>
      </w:r>
      <w:r w:rsidR="0FF0E0D9">
        <w:t>p</w:t>
      </w:r>
      <w:r w:rsidRPr="008343D7">
        <w:t xml:space="preserve">olicy, but </w:t>
      </w:r>
      <w:r w:rsidR="0FF0E0D9" w:rsidRPr="008343D7">
        <w:t>also professional/surveillance</w:t>
      </w:r>
      <w:r w:rsidRPr="008343D7">
        <w:t>), RGs (including RADAAR</w:t>
      </w:r>
      <w:r w:rsidR="006D0244">
        <w:rPr>
          <w:rStyle w:val="FootnoteReference"/>
          <w:rFonts w:eastAsia="Yu Mincho"/>
        </w:rPr>
        <w:footnoteReference w:id="119"/>
      </w:r>
      <w:r w:rsidRPr="008343D7">
        <w:t xml:space="preserve"> on policy as well as CAPTURA/MAAP on historical data use)</w:t>
      </w:r>
      <w:r w:rsidR="00FF2998" w:rsidRPr="008343D7">
        <w:rPr>
          <w:sz w:val="20"/>
          <w:szCs w:val="20"/>
          <w:vertAlign w:val="superscript"/>
        </w:rPr>
        <w:footnoteReference w:id="120"/>
      </w:r>
      <w:r w:rsidRPr="008343D7">
        <w:t xml:space="preserve"> and global grants (including ODI,</w:t>
      </w:r>
      <w:r w:rsidR="009420D7">
        <w:rPr>
          <w:rStyle w:val="FootnoteReference"/>
          <w:rFonts w:eastAsia="Yu Mincho"/>
        </w:rPr>
        <w:footnoteReference w:id="121"/>
      </w:r>
      <w:r w:rsidRPr="008343D7">
        <w:t xml:space="preserve"> Fellowships and CWPAMS</w:t>
      </w:r>
      <w:r w:rsidR="009420D7">
        <w:rPr>
          <w:rStyle w:val="FootnoteReference"/>
          <w:rFonts w:eastAsia="Yu Mincho"/>
        </w:rPr>
        <w:footnoteReference w:id="122"/>
      </w:r>
      <w:r w:rsidRPr="008343D7">
        <w:t xml:space="preserve">). However, these investments were rarely raised in connection with data use efforts, and seldom as making a direct contribution to </w:t>
      </w:r>
      <w:r w:rsidRPr="00D97FFA">
        <w:t>national data sharing.</w:t>
      </w:r>
      <w:r w:rsidR="00FF2998" w:rsidRPr="00D97FFA">
        <w:rPr>
          <w:vertAlign w:val="superscript"/>
        </w:rPr>
        <w:footnoteReference w:id="123"/>
      </w:r>
      <w:r w:rsidRPr="00D97FFA">
        <w:rPr>
          <w:vertAlign w:val="superscript"/>
        </w:rPr>
        <w:t xml:space="preserve"> </w:t>
      </w:r>
      <w:r w:rsidRPr="00D97FFA">
        <w:t xml:space="preserve">The most frequently mentioned contribution was Professional Fellows as an analytical resource for surveillance system development (in four out of the 16 focus countries ). Stakeholders tended not to distinguish between CG1s and CG2s (likely because CG2s mostly continued CG1 activities, as discussed in section </w:t>
      </w:r>
      <w:r w:rsidR="00FF2998" w:rsidRPr="00E46F96">
        <w:rPr>
          <w:rStyle w:val="ItadNormalTextChar"/>
        </w:rPr>
        <w:fldChar w:fldCharType="begin"/>
      </w:r>
      <w:r w:rsidR="00FF2998" w:rsidRPr="00E46F96">
        <w:rPr>
          <w:rStyle w:val="ItadNormalTextChar"/>
        </w:rPr>
        <w:instrText xml:space="preserve"> REF _Ref118235496 \r \h  \* MERGEFORMAT </w:instrText>
      </w:r>
      <w:r w:rsidR="00FF2998" w:rsidRPr="00E46F96">
        <w:rPr>
          <w:rStyle w:val="ItadNormalTextChar"/>
        </w:rPr>
      </w:r>
      <w:r w:rsidR="00FF2998" w:rsidRPr="00E46F96">
        <w:rPr>
          <w:rStyle w:val="ItadNormalTextChar"/>
        </w:rPr>
        <w:fldChar w:fldCharType="separate"/>
      </w:r>
      <w:r w:rsidR="64BF48DB">
        <w:rPr>
          <w:rStyle w:val="ItadNormalTextChar"/>
        </w:rPr>
        <w:t>1.4</w:t>
      </w:r>
      <w:r w:rsidR="00FF2998" w:rsidRPr="00E46F96">
        <w:rPr>
          <w:rStyle w:val="ItadNormalTextChar"/>
        </w:rPr>
        <w:fldChar w:fldCharType="end"/>
      </w:r>
      <w:r w:rsidRPr="00D97FFA">
        <w:t xml:space="preserve">). In some cases, contributions were described as a work in progress towards the end of </w:t>
      </w:r>
      <w:r w:rsidR="2658EF50" w:rsidRPr="00D97FFA">
        <w:t>phase 1</w:t>
      </w:r>
      <w:r w:rsidRPr="00D97FFA">
        <w:t xml:space="preserve"> (Policy Fellowships, CAPTURA/MAAP), but it was too early to say at the time of data collection for this evaluation.</w:t>
      </w:r>
      <w:bookmarkEnd w:id="302"/>
    </w:p>
    <w:p w14:paraId="25086DBB" w14:textId="3AA5CD8C" w:rsidR="00627B0D" w:rsidRDefault="00627B0D" w:rsidP="00B31476">
      <w:pPr>
        <w:pStyle w:val="ItadCaption"/>
      </w:pPr>
      <w:bookmarkStart w:id="303" w:name="_Ref144103094"/>
      <w:bookmarkStart w:id="304" w:name="_Toc144722298"/>
      <w:r>
        <w:t xml:space="preserve">Table </w:t>
      </w:r>
      <w:r>
        <w:fldChar w:fldCharType="begin"/>
      </w:r>
      <w:r>
        <w:instrText>SEQ Table \* ARABIC</w:instrText>
      </w:r>
      <w:r>
        <w:fldChar w:fldCharType="separate"/>
      </w:r>
      <w:r w:rsidR="00F62CD8">
        <w:rPr>
          <w:noProof/>
        </w:rPr>
        <w:t>6</w:t>
      </w:r>
      <w:r>
        <w:fldChar w:fldCharType="end"/>
      </w:r>
      <w:bookmarkEnd w:id="303"/>
      <w:r>
        <w:t xml:space="preserve">: </w:t>
      </w:r>
      <w:r w:rsidRPr="00944A29">
        <w:t>Changes in data sharing with relevant committees</w:t>
      </w:r>
      <w:bookmarkEnd w:id="304"/>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709"/>
        <w:gridCol w:w="1275"/>
        <w:gridCol w:w="993"/>
        <w:gridCol w:w="1134"/>
        <w:gridCol w:w="1134"/>
      </w:tblGrid>
      <w:tr w:rsidR="00E46F96" w:rsidRPr="00E46F96" w14:paraId="4998F0CE" w14:textId="77777777" w:rsidTr="00E46F96">
        <w:trPr>
          <w:trHeight w:val="303"/>
        </w:trPr>
        <w:tc>
          <w:tcPr>
            <w:tcW w:w="1129" w:type="dxa"/>
            <w:shd w:val="clear" w:color="auto" w:fill="96C286" w:themeFill="text2" w:themeFillTint="99"/>
            <w:noWrap/>
            <w:vAlign w:val="center"/>
            <w:hideMark/>
          </w:tcPr>
          <w:p w14:paraId="50E7A216" w14:textId="77777777" w:rsidR="00FF2998" w:rsidRPr="008A5F96" w:rsidRDefault="00FF2998" w:rsidP="00371D8F">
            <w:pPr>
              <w:jc w:val="center"/>
              <w:rPr>
                <w:rFonts w:asciiTheme="minorHAnsi" w:hAnsiTheme="minorHAnsi" w:cstheme="minorHAnsi"/>
                <w:b/>
                <w:bCs/>
                <w:color w:val="3B3B3C"/>
                <w:sz w:val="18"/>
                <w:szCs w:val="18"/>
              </w:rPr>
            </w:pPr>
            <w:r w:rsidRPr="008A5F96">
              <w:rPr>
                <w:rFonts w:asciiTheme="minorHAnsi" w:hAnsiTheme="minorHAnsi" w:cstheme="minorHAnsi"/>
                <w:b/>
                <w:bCs/>
                <w:color w:val="3B3B3C"/>
                <w:sz w:val="18"/>
                <w:szCs w:val="18"/>
              </w:rPr>
              <w:t>Countries</w:t>
            </w:r>
          </w:p>
        </w:tc>
        <w:tc>
          <w:tcPr>
            <w:tcW w:w="851" w:type="dxa"/>
            <w:shd w:val="clear" w:color="auto" w:fill="96C286" w:themeFill="text2" w:themeFillTint="99"/>
            <w:noWrap/>
            <w:vAlign w:val="center"/>
            <w:hideMark/>
          </w:tcPr>
          <w:p w14:paraId="6141F5CA" w14:textId="1CAEEB25" w:rsidR="00FF2998" w:rsidRPr="008A5F96" w:rsidRDefault="00FF2998" w:rsidP="00371D8F">
            <w:pPr>
              <w:jc w:val="center"/>
              <w:rPr>
                <w:rFonts w:asciiTheme="minorHAnsi" w:hAnsiTheme="minorHAnsi" w:cstheme="minorHAnsi"/>
                <w:b/>
                <w:bCs/>
                <w:color w:val="3B3B3C"/>
                <w:sz w:val="18"/>
                <w:szCs w:val="18"/>
              </w:rPr>
            </w:pPr>
            <w:r w:rsidRPr="008A5F96">
              <w:rPr>
                <w:rFonts w:asciiTheme="minorHAnsi" w:hAnsiTheme="minorHAnsi" w:cstheme="minorHAnsi"/>
                <w:b/>
                <w:bCs/>
                <w:color w:val="3B3B3C"/>
                <w:sz w:val="18"/>
                <w:szCs w:val="18"/>
              </w:rPr>
              <w:t>Ext</w:t>
            </w:r>
            <w:r w:rsidR="00E46F96">
              <w:rPr>
                <w:rFonts w:asciiTheme="minorHAnsi" w:hAnsiTheme="minorHAnsi" w:cstheme="minorHAnsi"/>
                <w:b/>
                <w:bCs/>
                <w:color w:val="3B3B3C"/>
                <w:sz w:val="18"/>
                <w:szCs w:val="18"/>
              </w:rPr>
              <w:t>ent</w:t>
            </w:r>
            <w:r w:rsidRPr="008A5F96">
              <w:rPr>
                <w:rFonts w:asciiTheme="minorHAnsi" w:hAnsiTheme="minorHAnsi" w:cstheme="minorHAnsi"/>
                <w:b/>
                <w:bCs/>
                <w:color w:val="3B3B3C"/>
                <w:sz w:val="18"/>
                <w:szCs w:val="18"/>
              </w:rPr>
              <w:t xml:space="preserve"> of change</w:t>
            </w:r>
          </w:p>
        </w:tc>
        <w:tc>
          <w:tcPr>
            <w:tcW w:w="1134" w:type="dxa"/>
            <w:shd w:val="clear" w:color="auto" w:fill="96C286" w:themeFill="text2" w:themeFillTint="99"/>
            <w:noWrap/>
            <w:vAlign w:val="center"/>
            <w:hideMark/>
          </w:tcPr>
          <w:p w14:paraId="3A7F3162" w14:textId="52EBF8AD" w:rsidR="00FF2998" w:rsidRPr="008A5F96" w:rsidRDefault="00FF2998" w:rsidP="00371D8F">
            <w:pPr>
              <w:jc w:val="center"/>
              <w:rPr>
                <w:rFonts w:asciiTheme="minorHAnsi" w:hAnsiTheme="minorHAnsi" w:cstheme="minorHAnsi"/>
                <w:b/>
                <w:bCs/>
                <w:color w:val="3B3B3C"/>
                <w:sz w:val="18"/>
                <w:szCs w:val="18"/>
              </w:rPr>
            </w:pPr>
            <w:r w:rsidRPr="008A5F96">
              <w:rPr>
                <w:rFonts w:asciiTheme="minorHAnsi" w:hAnsiTheme="minorHAnsi" w:cstheme="minorHAnsi"/>
                <w:b/>
                <w:bCs/>
                <w:color w:val="3B3B3C"/>
                <w:sz w:val="18"/>
                <w:szCs w:val="18"/>
              </w:rPr>
              <w:t>Governance /demand</w:t>
            </w:r>
          </w:p>
        </w:tc>
        <w:tc>
          <w:tcPr>
            <w:tcW w:w="709" w:type="dxa"/>
            <w:shd w:val="clear" w:color="auto" w:fill="96C286" w:themeFill="text2" w:themeFillTint="99"/>
            <w:noWrap/>
            <w:vAlign w:val="center"/>
            <w:hideMark/>
          </w:tcPr>
          <w:p w14:paraId="3C963EC4" w14:textId="77777777" w:rsidR="00FF2998" w:rsidRPr="008A5F96" w:rsidRDefault="00FF2998" w:rsidP="00371D8F">
            <w:pPr>
              <w:jc w:val="center"/>
              <w:rPr>
                <w:rFonts w:asciiTheme="minorHAnsi" w:hAnsiTheme="minorHAnsi" w:cstheme="minorHAnsi"/>
                <w:b/>
                <w:bCs/>
                <w:color w:val="3B3B3C"/>
                <w:sz w:val="18"/>
                <w:szCs w:val="18"/>
              </w:rPr>
            </w:pPr>
            <w:r w:rsidRPr="008A5F96">
              <w:rPr>
                <w:rFonts w:asciiTheme="minorHAnsi" w:hAnsiTheme="minorHAnsi" w:cstheme="minorHAnsi"/>
                <w:b/>
                <w:bCs/>
                <w:color w:val="3B3B3C"/>
                <w:sz w:val="18"/>
                <w:szCs w:val="18"/>
              </w:rPr>
              <w:t>Data supply</w:t>
            </w:r>
          </w:p>
        </w:tc>
        <w:tc>
          <w:tcPr>
            <w:tcW w:w="1275" w:type="dxa"/>
            <w:shd w:val="clear" w:color="auto" w:fill="96C286" w:themeFill="text2" w:themeFillTint="99"/>
            <w:noWrap/>
            <w:vAlign w:val="center"/>
            <w:hideMark/>
          </w:tcPr>
          <w:p w14:paraId="6AF2A796" w14:textId="77777777" w:rsidR="00FF2998" w:rsidRPr="008A5F96" w:rsidRDefault="00FF2998" w:rsidP="00371D8F">
            <w:pPr>
              <w:jc w:val="center"/>
              <w:rPr>
                <w:rFonts w:asciiTheme="minorHAnsi" w:hAnsiTheme="minorHAnsi" w:cstheme="minorHAnsi"/>
                <w:b/>
                <w:bCs/>
                <w:color w:val="3B3B3C"/>
                <w:sz w:val="18"/>
                <w:szCs w:val="18"/>
              </w:rPr>
            </w:pPr>
            <w:r w:rsidRPr="008A5F96">
              <w:rPr>
                <w:rFonts w:asciiTheme="minorHAnsi" w:hAnsiTheme="minorHAnsi" w:cstheme="minorHAnsi"/>
                <w:b/>
                <w:bCs/>
                <w:color w:val="3B3B3C"/>
                <w:sz w:val="18"/>
                <w:szCs w:val="18"/>
              </w:rPr>
              <w:t>Data sharing processes</w:t>
            </w:r>
          </w:p>
        </w:tc>
        <w:tc>
          <w:tcPr>
            <w:tcW w:w="993" w:type="dxa"/>
            <w:shd w:val="clear" w:color="auto" w:fill="96C286" w:themeFill="text2" w:themeFillTint="99"/>
            <w:noWrap/>
            <w:vAlign w:val="center"/>
            <w:hideMark/>
          </w:tcPr>
          <w:p w14:paraId="7A142325" w14:textId="7148D031" w:rsidR="00FF2998" w:rsidRPr="008A5F96" w:rsidRDefault="00E46F96" w:rsidP="00371D8F">
            <w:pPr>
              <w:jc w:val="center"/>
              <w:rPr>
                <w:rFonts w:asciiTheme="minorHAnsi" w:hAnsiTheme="minorHAnsi" w:cstheme="minorHAnsi"/>
                <w:b/>
                <w:bCs/>
                <w:color w:val="3B3B3C"/>
                <w:sz w:val="18"/>
                <w:szCs w:val="18"/>
              </w:rPr>
            </w:pPr>
            <w:r w:rsidRPr="00E46F96">
              <w:rPr>
                <w:rFonts w:asciiTheme="minorHAnsi" w:hAnsiTheme="minorHAnsi" w:cstheme="minorHAnsi"/>
                <w:b/>
                <w:bCs/>
                <w:color w:val="3B3B3C"/>
                <w:sz w:val="18"/>
                <w:szCs w:val="18"/>
              </w:rPr>
              <w:t>Incentives</w:t>
            </w:r>
          </w:p>
        </w:tc>
        <w:tc>
          <w:tcPr>
            <w:tcW w:w="1134" w:type="dxa"/>
            <w:shd w:val="clear" w:color="auto" w:fill="96C286" w:themeFill="text2" w:themeFillTint="99"/>
            <w:noWrap/>
            <w:vAlign w:val="center"/>
            <w:hideMark/>
          </w:tcPr>
          <w:p w14:paraId="719533CE" w14:textId="4FF9AEC9" w:rsidR="00FF2998" w:rsidRPr="008A5F96" w:rsidRDefault="00E46F96" w:rsidP="00371D8F">
            <w:pPr>
              <w:jc w:val="center"/>
              <w:rPr>
                <w:rFonts w:asciiTheme="minorHAnsi" w:hAnsiTheme="minorHAnsi" w:cstheme="minorHAnsi"/>
                <w:b/>
                <w:bCs/>
                <w:color w:val="3B3B3C"/>
                <w:sz w:val="18"/>
                <w:szCs w:val="18"/>
              </w:rPr>
            </w:pPr>
            <w:r w:rsidRPr="00E46F96">
              <w:rPr>
                <w:rFonts w:asciiTheme="minorHAnsi" w:hAnsiTheme="minorHAnsi" w:cstheme="minorHAnsi"/>
                <w:b/>
                <w:bCs/>
                <w:color w:val="3B3B3C"/>
                <w:sz w:val="18"/>
                <w:szCs w:val="18"/>
              </w:rPr>
              <w:t>Resourcing</w:t>
            </w:r>
          </w:p>
        </w:tc>
        <w:tc>
          <w:tcPr>
            <w:tcW w:w="1134" w:type="dxa"/>
            <w:shd w:val="clear" w:color="auto" w:fill="96C286" w:themeFill="text2" w:themeFillTint="99"/>
            <w:noWrap/>
            <w:vAlign w:val="center"/>
            <w:hideMark/>
          </w:tcPr>
          <w:p w14:paraId="03F15F4C" w14:textId="77777777" w:rsidR="00FF2998" w:rsidRPr="008A5F96" w:rsidRDefault="00FF2998" w:rsidP="00371D8F">
            <w:pPr>
              <w:jc w:val="center"/>
              <w:rPr>
                <w:rFonts w:asciiTheme="minorHAnsi" w:hAnsiTheme="minorHAnsi" w:cstheme="minorHAnsi"/>
                <w:b/>
                <w:bCs/>
                <w:color w:val="3B3B3C"/>
                <w:sz w:val="18"/>
                <w:szCs w:val="18"/>
              </w:rPr>
            </w:pPr>
            <w:r w:rsidRPr="008A5F96">
              <w:rPr>
                <w:rFonts w:asciiTheme="minorHAnsi" w:hAnsiTheme="minorHAnsi" w:cstheme="minorHAnsi"/>
                <w:b/>
                <w:bCs/>
                <w:color w:val="3B3B3C"/>
                <w:sz w:val="18"/>
                <w:szCs w:val="18"/>
              </w:rPr>
              <w:t>Other</w:t>
            </w:r>
          </w:p>
        </w:tc>
      </w:tr>
      <w:tr w:rsidR="00E46F96" w:rsidRPr="00E46F96" w14:paraId="1183C349" w14:textId="77777777" w:rsidTr="00E46F96">
        <w:trPr>
          <w:trHeight w:val="283"/>
        </w:trPr>
        <w:tc>
          <w:tcPr>
            <w:tcW w:w="1129" w:type="dxa"/>
            <w:shd w:val="clear" w:color="auto" w:fill="auto"/>
            <w:noWrap/>
            <w:vAlign w:val="center"/>
            <w:hideMark/>
          </w:tcPr>
          <w:p w14:paraId="356AB270" w14:textId="45C2DD19"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Bangladesh</w:t>
            </w:r>
          </w:p>
        </w:tc>
        <w:tc>
          <w:tcPr>
            <w:tcW w:w="851" w:type="dxa"/>
            <w:shd w:val="clear" w:color="000000" w:fill="BF8F00"/>
            <w:vAlign w:val="center"/>
          </w:tcPr>
          <w:p w14:paraId="594C4170"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92D050"/>
            <w:noWrap/>
            <w:vAlign w:val="center"/>
          </w:tcPr>
          <w:p w14:paraId="5D773BDB"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92D050"/>
            <w:noWrap/>
            <w:vAlign w:val="center"/>
          </w:tcPr>
          <w:p w14:paraId="4240160D"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2F9AD43B"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61CC974D"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92D050"/>
            <w:noWrap/>
            <w:vAlign w:val="center"/>
          </w:tcPr>
          <w:p w14:paraId="00D543D6"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10981A93"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2943E891" w14:textId="77777777" w:rsidTr="00E46F96">
        <w:trPr>
          <w:trHeight w:val="283"/>
        </w:trPr>
        <w:tc>
          <w:tcPr>
            <w:tcW w:w="1129" w:type="dxa"/>
            <w:shd w:val="clear" w:color="auto" w:fill="auto"/>
            <w:noWrap/>
            <w:vAlign w:val="center"/>
            <w:hideMark/>
          </w:tcPr>
          <w:p w14:paraId="55D2FEC0" w14:textId="121E6C3C" w:rsidR="00FF2998" w:rsidRPr="00E46F96" w:rsidRDefault="00DC1D8D"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 xml:space="preserve"> </w:t>
            </w:r>
            <w:r w:rsidR="00FF2998" w:rsidRPr="00E46F96">
              <w:rPr>
                <w:rFonts w:asciiTheme="minorHAnsi" w:hAnsiTheme="minorHAnsi" w:cstheme="minorHAnsi"/>
                <w:color w:val="3B3B3C"/>
                <w:sz w:val="18"/>
                <w:szCs w:val="18"/>
              </w:rPr>
              <w:t>Nepal</w:t>
            </w:r>
          </w:p>
        </w:tc>
        <w:tc>
          <w:tcPr>
            <w:tcW w:w="851" w:type="dxa"/>
            <w:shd w:val="clear" w:color="000000" w:fill="BF8F00"/>
            <w:vAlign w:val="center"/>
          </w:tcPr>
          <w:p w14:paraId="1A83E06C"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00B050"/>
            <w:noWrap/>
            <w:vAlign w:val="center"/>
          </w:tcPr>
          <w:p w14:paraId="50454C73"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00B050"/>
            <w:noWrap/>
            <w:vAlign w:val="center"/>
          </w:tcPr>
          <w:p w14:paraId="0D92C0FB"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5202118F"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34687384"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26245D41"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5C1A5955" w14:textId="77777777" w:rsidR="00FF2998" w:rsidRPr="00E46F96" w:rsidRDefault="00FF2998" w:rsidP="00371D8F">
            <w:pPr>
              <w:jc w:val="center"/>
              <w:rPr>
                <w:rFonts w:asciiTheme="minorHAnsi" w:hAnsiTheme="minorHAnsi" w:cstheme="minorHAnsi"/>
                <w:b/>
                <w:bCs/>
                <w:color w:val="3B3B3C"/>
                <w:sz w:val="18"/>
                <w:szCs w:val="18"/>
              </w:rPr>
            </w:pPr>
          </w:p>
        </w:tc>
      </w:tr>
      <w:tr w:rsidR="00E46F96" w:rsidRPr="00E46F96" w14:paraId="351DCA7B" w14:textId="77777777" w:rsidTr="00E46F96">
        <w:trPr>
          <w:trHeight w:val="283"/>
        </w:trPr>
        <w:tc>
          <w:tcPr>
            <w:tcW w:w="1129" w:type="dxa"/>
            <w:shd w:val="clear" w:color="auto" w:fill="auto"/>
            <w:noWrap/>
            <w:vAlign w:val="center"/>
            <w:hideMark/>
          </w:tcPr>
          <w:p w14:paraId="6E2AA056"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Kenya</w:t>
            </w:r>
          </w:p>
        </w:tc>
        <w:tc>
          <w:tcPr>
            <w:tcW w:w="851" w:type="dxa"/>
            <w:shd w:val="clear" w:color="000000" w:fill="BF8F00"/>
            <w:vAlign w:val="center"/>
          </w:tcPr>
          <w:p w14:paraId="7455FAC0"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92D050"/>
            <w:noWrap/>
            <w:vAlign w:val="center"/>
          </w:tcPr>
          <w:p w14:paraId="21818D2A"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00B050"/>
            <w:noWrap/>
            <w:vAlign w:val="center"/>
          </w:tcPr>
          <w:p w14:paraId="02115004"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000000" w:fill="00B050"/>
            <w:noWrap/>
            <w:vAlign w:val="center"/>
          </w:tcPr>
          <w:p w14:paraId="6D374F11"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000000" w:fill="92D050"/>
            <w:noWrap/>
            <w:vAlign w:val="center"/>
          </w:tcPr>
          <w:p w14:paraId="7DE1200F"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4097CAF9"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1A527F1C"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44B99750" w14:textId="77777777" w:rsidTr="00E46F96">
        <w:trPr>
          <w:trHeight w:val="283"/>
        </w:trPr>
        <w:tc>
          <w:tcPr>
            <w:tcW w:w="1129" w:type="dxa"/>
            <w:shd w:val="clear" w:color="auto" w:fill="auto"/>
            <w:noWrap/>
            <w:vAlign w:val="center"/>
            <w:hideMark/>
          </w:tcPr>
          <w:p w14:paraId="4A8403CA"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Tanzania</w:t>
            </w:r>
          </w:p>
        </w:tc>
        <w:tc>
          <w:tcPr>
            <w:tcW w:w="851" w:type="dxa"/>
            <w:shd w:val="clear" w:color="000000" w:fill="BF8F00"/>
            <w:vAlign w:val="center"/>
          </w:tcPr>
          <w:p w14:paraId="45923566"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92D050"/>
            <w:noWrap/>
            <w:vAlign w:val="center"/>
          </w:tcPr>
          <w:p w14:paraId="15175BCE"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92D050"/>
            <w:noWrap/>
            <w:vAlign w:val="center"/>
          </w:tcPr>
          <w:p w14:paraId="3C29A7D5"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2518607C"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000000" w:fill="92D050"/>
            <w:noWrap/>
            <w:vAlign w:val="center"/>
          </w:tcPr>
          <w:p w14:paraId="333A412D"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5CE323CD"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10E1621E" w14:textId="77777777" w:rsidR="00FF2998" w:rsidRPr="00E46F96" w:rsidRDefault="00FF2998" w:rsidP="00371D8F">
            <w:pPr>
              <w:jc w:val="center"/>
              <w:rPr>
                <w:rFonts w:asciiTheme="minorHAnsi" w:hAnsiTheme="minorHAnsi" w:cstheme="minorHAnsi"/>
                <w:b/>
                <w:bCs/>
                <w:color w:val="3B3B3C"/>
                <w:sz w:val="18"/>
                <w:szCs w:val="18"/>
              </w:rPr>
            </w:pPr>
          </w:p>
        </w:tc>
      </w:tr>
      <w:tr w:rsidR="00E46F96" w:rsidRPr="00E46F96" w14:paraId="5672EE96" w14:textId="77777777" w:rsidTr="00E46F96">
        <w:trPr>
          <w:trHeight w:val="283"/>
        </w:trPr>
        <w:tc>
          <w:tcPr>
            <w:tcW w:w="1129" w:type="dxa"/>
            <w:shd w:val="clear" w:color="auto" w:fill="auto"/>
            <w:noWrap/>
            <w:vAlign w:val="center"/>
            <w:hideMark/>
          </w:tcPr>
          <w:p w14:paraId="4192167F"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Uganda</w:t>
            </w:r>
          </w:p>
        </w:tc>
        <w:tc>
          <w:tcPr>
            <w:tcW w:w="851" w:type="dxa"/>
            <w:shd w:val="clear" w:color="000000" w:fill="FFD966"/>
            <w:vAlign w:val="center"/>
          </w:tcPr>
          <w:p w14:paraId="1C75DD48"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00B050"/>
            <w:noWrap/>
            <w:vAlign w:val="center"/>
          </w:tcPr>
          <w:p w14:paraId="70B6D025"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92D050"/>
            <w:noWrap/>
            <w:vAlign w:val="center"/>
          </w:tcPr>
          <w:p w14:paraId="305C161A"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57C8A442"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47525663"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3CC8E8B6"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0294524E" w14:textId="77777777" w:rsidR="00FF2998" w:rsidRPr="00E46F96" w:rsidRDefault="00FF2998" w:rsidP="00371D8F">
            <w:pPr>
              <w:jc w:val="center"/>
              <w:rPr>
                <w:rFonts w:asciiTheme="minorHAnsi" w:hAnsiTheme="minorHAnsi" w:cstheme="minorHAnsi"/>
                <w:b/>
                <w:bCs/>
                <w:color w:val="3B3B3C"/>
                <w:sz w:val="18"/>
                <w:szCs w:val="18"/>
              </w:rPr>
            </w:pPr>
          </w:p>
        </w:tc>
      </w:tr>
      <w:tr w:rsidR="00E46F96" w:rsidRPr="00E46F96" w14:paraId="026FBA83" w14:textId="77777777" w:rsidTr="00E46F96">
        <w:trPr>
          <w:trHeight w:val="283"/>
        </w:trPr>
        <w:tc>
          <w:tcPr>
            <w:tcW w:w="1129" w:type="dxa"/>
            <w:shd w:val="clear" w:color="auto" w:fill="auto"/>
            <w:noWrap/>
            <w:vAlign w:val="center"/>
            <w:hideMark/>
          </w:tcPr>
          <w:p w14:paraId="486782D6"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 xml:space="preserve"> Bhutan</w:t>
            </w:r>
          </w:p>
        </w:tc>
        <w:tc>
          <w:tcPr>
            <w:tcW w:w="851" w:type="dxa"/>
            <w:shd w:val="clear" w:color="000000" w:fill="FFD966"/>
            <w:vAlign w:val="center"/>
          </w:tcPr>
          <w:p w14:paraId="461337CA"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92D050"/>
            <w:noWrap/>
            <w:vAlign w:val="center"/>
          </w:tcPr>
          <w:p w14:paraId="6A50175F"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00B050"/>
            <w:noWrap/>
            <w:vAlign w:val="center"/>
          </w:tcPr>
          <w:p w14:paraId="1D9D934C"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412880C8"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49E15F02"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00B050"/>
            <w:noWrap/>
            <w:vAlign w:val="center"/>
          </w:tcPr>
          <w:p w14:paraId="6606AE36"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29562955" w14:textId="77777777" w:rsidR="00FF2998" w:rsidRPr="00E46F96" w:rsidRDefault="00FF2998" w:rsidP="00371D8F">
            <w:pPr>
              <w:jc w:val="center"/>
              <w:rPr>
                <w:rFonts w:asciiTheme="minorHAnsi" w:hAnsiTheme="minorHAnsi" w:cstheme="minorHAnsi"/>
                <w:b/>
                <w:bCs/>
                <w:color w:val="3B3B3C"/>
                <w:sz w:val="18"/>
                <w:szCs w:val="18"/>
              </w:rPr>
            </w:pPr>
          </w:p>
        </w:tc>
      </w:tr>
      <w:tr w:rsidR="00E46F96" w:rsidRPr="00E46F96" w14:paraId="3FFF7D30" w14:textId="77777777" w:rsidTr="00E46F96">
        <w:trPr>
          <w:trHeight w:val="283"/>
        </w:trPr>
        <w:tc>
          <w:tcPr>
            <w:tcW w:w="1129" w:type="dxa"/>
            <w:shd w:val="clear" w:color="auto" w:fill="auto"/>
            <w:noWrap/>
            <w:vAlign w:val="center"/>
            <w:hideMark/>
          </w:tcPr>
          <w:p w14:paraId="63C64000"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Pakistan</w:t>
            </w:r>
          </w:p>
        </w:tc>
        <w:tc>
          <w:tcPr>
            <w:tcW w:w="851" w:type="dxa"/>
            <w:shd w:val="clear" w:color="000000" w:fill="FBE4D5"/>
            <w:vAlign w:val="center"/>
          </w:tcPr>
          <w:p w14:paraId="47923DF4"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auto" w:fill="auto"/>
            <w:noWrap/>
            <w:vAlign w:val="center"/>
          </w:tcPr>
          <w:p w14:paraId="505FA071"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auto" w:fill="auto"/>
            <w:noWrap/>
            <w:vAlign w:val="center"/>
          </w:tcPr>
          <w:p w14:paraId="7F9AF0FA"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000000" w:fill="92D050"/>
            <w:noWrap/>
            <w:vAlign w:val="center"/>
          </w:tcPr>
          <w:p w14:paraId="761BB688"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2036683C"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62497DC4"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FFC000"/>
            <w:noWrap/>
            <w:vAlign w:val="center"/>
          </w:tcPr>
          <w:p w14:paraId="386ABC58"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3DCB4053" w14:textId="77777777" w:rsidTr="00E46F96">
        <w:trPr>
          <w:trHeight w:val="283"/>
        </w:trPr>
        <w:tc>
          <w:tcPr>
            <w:tcW w:w="1129" w:type="dxa"/>
            <w:shd w:val="clear" w:color="auto" w:fill="auto"/>
            <w:noWrap/>
            <w:vAlign w:val="center"/>
            <w:hideMark/>
          </w:tcPr>
          <w:p w14:paraId="2AF01623"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Vietnam</w:t>
            </w:r>
          </w:p>
        </w:tc>
        <w:tc>
          <w:tcPr>
            <w:tcW w:w="851" w:type="dxa"/>
            <w:shd w:val="clear" w:color="000000" w:fill="FBE4D5"/>
            <w:vAlign w:val="center"/>
          </w:tcPr>
          <w:p w14:paraId="578DF4FC"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92D050"/>
            <w:noWrap/>
            <w:vAlign w:val="center"/>
          </w:tcPr>
          <w:p w14:paraId="7BFC5131"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auto" w:fill="auto"/>
            <w:noWrap/>
            <w:vAlign w:val="center"/>
          </w:tcPr>
          <w:p w14:paraId="19C3C95A"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000000" w:fill="FFC000"/>
            <w:noWrap/>
            <w:vAlign w:val="center"/>
          </w:tcPr>
          <w:p w14:paraId="0710419D"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15B1D531"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624C7245"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FFC000"/>
            <w:noWrap/>
            <w:vAlign w:val="center"/>
          </w:tcPr>
          <w:p w14:paraId="29C8A71F"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348C8D23" w14:textId="77777777" w:rsidTr="00E46F96">
        <w:trPr>
          <w:trHeight w:val="283"/>
        </w:trPr>
        <w:tc>
          <w:tcPr>
            <w:tcW w:w="1129" w:type="dxa"/>
            <w:shd w:val="clear" w:color="auto" w:fill="auto"/>
            <w:noWrap/>
            <w:vAlign w:val="center"/>
            <w:hideMark/>
          </w:tcPr>
          <w:p w14:paraId="10A0E136"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Laos</w:t>
            </w:r>
          </w:p>
        </w:tc>
        <w:tc>
          <w:tcPr>
            <w:tcW w:w="851" w:type="dxa"/>
            <w:shd w:val="clear" w:color="000000" w:fill="FBE4D5"/>
            <w:vAlign w:val="center"/>
          </w:tcPr>
          <w:p w14:paraId="06EC9330"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92D050"/>
            <w:noWrap/>
            <w:vAlign w:val="center"/>
          </w:tcPr>
          <w:p w14:paraId="3CD73F40"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auto" w:fill="auto"/>
            <w:noWrap/>
            <w:vAlign w:val="center"/>
          </w:tcPr>
          <w:p w14:paraId="28A2578A"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77050213"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000000" w:fill="FCE4D6"/>
            <w:noWrap/>
            <w:vAlign w:val="center"/>
          </w:tcPr>
          <w:p w14:paraId="162D94E8"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6DB64173"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FCE4D6"/>
            <w:noWrap/>
            <w:vAlign w:val="center"/>
          </w:tcPr>
          <w:p w14:paraId="03F9C953"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3E894B1F" w14:textId="77777777" w:rsidTr="00E46F96">
        <w:trPr>
          <w:trHeight w:val="283"/>
        </w:trPr>
        <w:tc>
          <w:tcPr>
            <w:tcW w:w="1129" w:type="dxa"/>
            <w:shd w:val="clear" w:color="auto" w:fill="auto"/>
            <w:noWrap/>
            <w:vAlign w:val="center"/>
            <w:hideMark/>
          </w:tcPr>
          <w:p w14:paraId="2CFF858B"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Zambia</w:t>
            </w:r>
          </w:p>
        </w:tc>
        <w:tc>
          <w:tcPr>
            <w:tcW w:w="851" w:type="dxa"/>
            <w:shd w:val="clear" w:color="000000" w:fill="FBE4D5"/>
            <w:vAlign w:val="center"/>
          </w:tcPr>
          <w:p w14:paraId="61B2E9E7"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auto" w:fill="auto"/>
            <w:noWrap/>
            <w:vAlign w:val="center"/>
          </w:tcPr>
          <w:p w14:paraId="27C43CE7"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auto" w:fill="auto"/>
            <w:noWrap/>
            <w:vAlign w:val="center"/>
          </w:tcPr>
          <w:p w14:paraId="2E6138AB"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000000" w:fill="92D050"/>
            <w:noWrap/>
            <w:vAlign w:val="center"/>
          </w:tcPr>
          <w:p w14:paraId="62C7CE49"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2641C261"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43CAC061"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92D050"/>
            <w:noWrap/>
            <w:vAlign w:val="center"/>
          </w:tcPr>
          <w:p w14:paraId="54432B78"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4333ABFF" w14:textId="77777777" w:rsidTr="00E46F96">
        <w:trPr>
          <w:trHeight w:val="283"/>
        </w:trPr>
        <w:tc>
          <w:tcPr>
            <w:tcW w:w="1129" w:type="dxa"/>
            <w:shd w:val="clear" w:color="auto" w:fill="auto"/>
            <w:noWrap/>
            <w:vAlign w:val="center"/>
            <w:hideMark/>
          </w:tcPr>
          <w:p w14:paraId="5E2B2F54"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Ghana</w:t>
            </w:r>
          </w:p>
        </w:tc>
        <w:tc>
          <w:tcPr>
            <w:tcW w:w="851" w:type="dxa"/>
            <w:shd w:val="clear" w:color="000000" w:fill="FBE4D5"/>
            <w:vAlign w:val="center"/>
          </w:tcPr>
          <w:p w14:paraId="39C3A1B4"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FCE4D6"/>
            <w:noWrap/>
            <w:vAlign w:val="center"/>
          </w:tcPr>
          <w:p w14:paraId="211F375B"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FFC000"/>
            <w:noWrap/>
            <w:vAlign w:val="center"/>
          </w:tcPr>
          <w:p w14:paraId="459B640B"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000000" w:fill="92D050"/>
            <w:noWrap/>
            <w:vAlign w:val="center"/>
          </w:tcPr>
          <w:p w14:paraId="7559C67F"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1020E170"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58753D5C"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24BFCAB0" w14:textId="77777777" w:rsidR="00FF2998" w:rsidRPr="00E46F96" w:rsidRDefault="00FF2998" w:rsidP="00371D8F">
            <w:pPr>
              <w:jc w:val="center"/>
              <w:rPr>
                <w:rFonts w:asciiTheme="minorHAnsi" w:hAnsiTheme="minorHAnsi" w:cstheme="minorHAnsi"/>
                <w:b/>
                <w:bCs/>
                <w:color w:val="3B3B3C"/>
                <w:sz w:val="18"/>
                <w:szCs w:val="18"/>
              </w:rPr>
            </w:pPr>
          </w:p>
        </w:tc>
      </w:tr>
      <w:tr w:rsidR="00E46F96" w:rsidRPr="00E46F96" w14:paraId="55EB6BB2" w14:textId="77777777" w:rsidTr="00E46F96">
        <w:trPr>
          <w:trHeight w:val="283"/>
        </w:trPr>
        <w:tc>
          <w:tcPr>
            <w:tcW w:w="1129" w:type="dxa"/>
            <w:shd w:val="clear" w:color="auto" w:fill="auto"/>
            <w:noWrap/>
            <w:vAlign w:val="center"/>
            <w:hideMark/>
          </w:tcPr>
          <w:p w14:paraId="736FB4C6"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Sierra Leone</w:t>
            </w:r>
          </w:p>
        </w:tc>
        <w:tc>
          <w:tcPr>
            <w:tcW w:w="851" w:type="dxa"/>
            <w:shd w:val="clear" w:color="000000" w:fill="FBE4D5"/>
            <w:vAlign w:val="center"/>
          </w:tcPr>
          <w:p w14:paraId="1F76FCA7"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auto" w:fill="auto"/>
            <w:noWrap/>
            <w:vAlign w:val="center"/>
          </w:tcPr>
          <w:p w14:paraId="32C75BB9"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00B050"/>
            <w:noWrap/>
            <w:vAlign w:val="center"/>
          </w:tcPr>
          <w:p w14:paraId="2516A5DF"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70E6116F"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4537BCB8"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064FC02E"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00B050"/>
            <w:noWrap/>
            <w:vAlign w:val="center"/>
          </w:tcPr>
          <w:p w14:paraId="3C8C5650"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184A9CAB" w14:textId="77777777" w:rsidTr="00E46F96">
        <w:trPr>
          <w:trHeight w:val="283"/>
        </w:trPr>
        <w:tc>
          <w:tcPr>
            <w:tcW w:w="1129" w:type="dxa"/>
            <w:shd w:val="clear" w:color="auto" w:fill="auto"/>
            <w:noWrap/>
            <w:vAlign w:val="center"/>
            <w:hideMark/>
          </w:tcPr>
          <w:p w14:paraId="7410E34B" w14:textId="3B1C6038" w:rsidR="00FF2998" w:rsidRPr="00E46F96" w:rsidRDefault="00B30736" w:rsidP="00371D8F">
            <w:pPr>
              <w:jc w:val="center"/>
              <w:rPr>
                <w:rFonts w:asciiTheme="minorHAnsi" w:hAnsiTheme="minorHAnsi" w:cstheme="minorHAnsi"/>
                <w:color w:val="3B3B3C"/>
                <w:sz w:val="18"/>
                <w:szCs w:val="18"/>
              </w:rPr>
            </w:pPr>
            <w:r>
              <w:rPr>
                <w:rFonts w:asciiTheme="minorHAnsi" w:hAnsiTheme="minorHAnsi" w:cstheme="minorHAnsi"/>
                <w:color w:val="3B3B3C"/>
                <w:sz w:val="18"/>
                <w:szCs w:val="18"/>
              </w:rPr>
              <w:t>Timor-Leste</w:t>
            </w:r>
          </w:p>
        </w:tc>
        <w:tc>
          <w:tcPr>
            <w:tcW w:w="851" w:type="dxa"/>
            <w:shd w:val="clear" w:color="000000" w:fill="FBE4D5"/>
            <w:vAlign w:val="center"/>
          </w:tcPr>
          <w:p w14:paraId="46EC9F78"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auto" w:fill="auto"/>
            <w:noWrap/>
            <w:vAlign w:val="center"/>
          </w:tcPr>
          <w:p w14:paraId="7EAE95BB"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FFC000"/>
            <w:noWrap/>
            <w:vAlign w:val="center"/>
          </w:tcPr>
          <w:p w14:paraId="0AB330A8"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175E4B1D"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000000" w:fill="FFC000"/>
            <w:noWrap/>
            <w:vAlign w:val="center"/>
          </w:tcPr>
          <w:p w14:paraId="17746636"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6781F4D0"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FFC000"/>
            <w:noWrap/>
            <w:vAlign w:val="center"/>
          </w:tcPr>
          <w:p w14:paraId="7F99CF89"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11E0270B" w14:textId="77777777" w:rsidTr="00E46F96">
        <w:trPr>
          <w:trHeight w:val="283"/>
        </w:trPr>
        <w:tc>
          <w:tcPr>
            <w:tcW w:w="1129" w:type="dxa"/>
            <w:shd w:val="clear" w:color="auto" w:fill="auto"/>
            <w:noWrap/>
            <w:vAlign w:val="center"/>
            <w:hideMark/>
          </w:tcPr>
          <w:p w14:paraId="2065242B"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Indonesia</w:t>
            </w:r>
          </w:p>
        </w:tc>
        <w:tc>
          <w:tcPr>
            <w:tcW w:w="851" w:type="dxa"/>
            <w:shd w:val="clear" w:color="000000" w:fill="BDD6EE"/>
            <w:vAlign w:val="center"/>
          </w:tcPr>
          <w:p w14:paraId="632959B0"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ED7D31"/>
            <w:noWrap/>
            <w:vAlign w:val="center"/>
          </w:tcPr>
          <w:p w14:paraId="4462AD7F"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FCE4D6"/>
            <w:noWrap/>
            <w:vAlign w:val="center"/>
          </w:tcPr>
          <w:p w14:paraId="18A6C4F2"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000000" w:fill="ED7D31"/>
            <w:noWrap/>
            <w:vAlign w:val="center"/>
          </w:tcPr>
          <w:p w14:paraId="50DE294B"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75E2F09E"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1E35DD74"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137D6EF4" w14:textId="77777777" w:rsidR="00FF2998" w:rsidRPr="00E46F96" w:rsidRDefault="00FF2998" w:rsidP="00371D8F">
            <w:pPr>
              <w:jc w:val="center"/>
              <w:rPr>
                <w:rFonts w:asciiTheme="minorHAnsi" w:hAnsiTheme="minorHAnsi" w:cstheme="minorHAnsi"/>
                <w:b/>
                <w:bCs/>
                <w:color w:val="3B3B3C"/>
                <w:sz w:val="18"/>
                <w:szCs w:val="18"/>
              </w:rPr>
            </w:pPr>
          </w:p>
        </w:tc>
      </w:tr>
      <w:tr w:rsidR="00E46F96" w:rsidRPr="00E46F96" w14:paraId="699C5FC8" w14:textId="77777777" w:rsidTr="00E46F96">
        <w:trPr>
          <w:trHeight w:val="283"/>
        </w:trPr>
        <w:tc>
          <w:tcPr>
            <w:tcW w:w="1129" w:type="dxa"/>
            <w:shd w:val="clear" w:color="auto" w:fill="auto"/>
            <w:noWrap/>
            <w:vAlign w:val="center"/>
            <w:hideMark/>
          </w:tcPr>
          <w:p w14:paraId="47F6A918"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Nigeria</w:t>
            </w:r>
          </w:p>
        </w:tc>
        <w:tc>
          <w:tcPr>
            <w:tcW w:w="851" w:type="dxa"/>
            <w:shd w:val="clear" w:color="000000" w:fill="BDD6EE"/>
            <w:vAlign w:val="center"/>
          </w:tcPr>
          <w:p w14:paraId="5CC1D0E3"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000000" w:fill="92D050"/>
            <w:noWrap/>
            <w:vAlign w:val="center"/>
          </w:tcPr>
          <w:p w14:paraId="12778622"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FFC000"/>
            <w:noWrap/>
            <w:vAlign w:val="center"/>
          </w:tcPr>
          <w:p w14:paraId="0E618EE3"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auto" w:fill="auto"/>
            <w:noWrap/>
            <w:vAlign w:val="center"/>
          </w:tcPr>
          <w:p w14:paraId="4FB34759"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auto" w:fill="auto"/>
            <w:noWrap/>
            <w:vAlign w:val="center"/>
          </w:tcPr>
          <w:p w14:paraId="2BC4F39B"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3DC245B8"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000000" w:fill="FFC000"/>
            <w:noWrap/>
            <w:vAlign w:val="center"/>
          </w:tcPr>
          <w:p w14:paraId="60F97776" w14:textId="77777777" w:rsidR="00FF2998" w:rsidRPr="00E46F96" w:rsidRDefault="00FF2998" w:rsidP="00371D8F">
            <w:pPr>
              <w:jc w:val="center"/>
              <w:rPr>
                <w:rFonts w:asciiTheme="minorHAnsi" w:hAnsiTheme="minorHAnsi" w:cstheme="minorHAnsi"/>
                <w:color w:val="3B3B3C"/>
                <w:sz w:val="18"/>
                <w:szCs w:val="18"/>
              </w:rPr>
            </w:pPr>
          </w:p>
        </w:tc>
      </w:tr>
      <w:tr w:rsidR="00E46F96" w:rsidRPr="00E46F96" w14:paraId="3D8674B2" w14:textId="77777777" w:rsidTr="00E46F96">
        <w:trPr>
          <w:trHeight w:val="283"/>
        </w:trPr>
        <w:tc>
          <w:tcPr>
            <w:tcW w:w="1129" w:type="dxa"/>
            <w:shd w:val="clear" w:color="auto" w:fill="auto"/>
            <w:noWrap/>
            <w:vAlign w:val="center"/>
            <w:hideMark/>
          </w:tcPr>
          <w:p w14:paraId="1B3F195B" w14:textId="77777777" w:rsidR="00FF2998" w:rsidRPr="00E46F96" w:rsidRDefault="00FF2998" w:rsidP="00371D8F">
            <w:pPr>
              <w:jc w:val="center"/>
              <w:rPr>
                <w:rFonts w:asciiTheme="minorHAnsi" w:hAnsiTheme="minorHAnsi" w:cstheme="minorHAnsi"/>
                <w:color w:val="3B3B3C"/>
                <w:sz w:val="18"/>
                <w:szCs w:val="18"/>
              </w:rPr>
            </w:pPr>
            <w:r w:rsidRPr="00E46F96">
              <w:rPr>
                <w:rFonts w:asciiTheme="minorHAnsi" w:hAnsiTheme="minorHAnsi" w:cstheme="minorHAnsi"/>
                <w:color w:val="3B3B3C"/>
                <w:sz w:val="18"/>
                <w:szCs w:val="18"/>
              </w:rPr>
              <w:t>Senegal</w:t>
            </w:r>
          </w:p>
        </w:tc>
        <w:tc>
          <w:tcPr>
            <w:tcW w:w="851" w:type="dxa"/>
            <w:shd w:val="clear" w:color="000000" w:fill="BDD6EE"/>
            <w:vAlign w:val="center"/>
          </w:tcPr>
          <w:p w14:paraId="5EBC6730" w14:textId="77777777" w:rsidR="00FF2998" w:rsidRPr="00E46F96" w:rsidRDefault="00FF2998" w:rsidP="00371D8F">
            <w:pPr>
              <w:jc w:val="center"/>
              <w:rPr>
                <w:rFonts w:asciiTheme="minorHAnsi" w:hAnsiTheme="minorHAnsi" w:cstheme="minorHAnsi"/>
                <w:b/>
                <w:bCs/>
                <w:color w:val="3B3B3C"/>
                <w:sz w:val="18"/>
                <w:szCs w:val="18"/>
              </w:rPr>
            </w:pPr>
          </w:p>
        </w:tc>
        <w:tc>
          <w:tcPr>
            <w:tcW w:w="1134" w:type="dxa"/>
            <w:shd w:val="clear" w:color="auto" w:fill="auto"/>
            <w:noWrap/>
            <w:vAlign w:val="center"/>
          </w:tcPr>
          <w:p w14:paraId="7CCF7FF0" w14:textId="77777777" w:rsidR="00FF2998" w:rsidRPr="00E46F96" w:rsidRDefault="00FF2998" w:rsidP="00371D8F">
            <w:pPr>
              <w:jc w:val="center"/>
              <w:rPr>
                <w:rFonts w:asciiTheme="minorHAnsi" w:hAnsiTheme="minorHAnsi" w:cstheme="minorHAnsi"/>
                <w:color w:val="3B3B3C"/>
                <w:sz w:val="18"/>
                <w:szCs w:val="18"/>
              </w:rPr>
            </w:pPr>
          </w:p>
        </w:tc>
        <w:tc>
          <w:tcPr>
            <w:tcW w:w="709" w:type="dxa"/>
            <w:shd w:val="clear" w:color="000000" w:fill="FFC000"/>
            <w:noWrap/>
            <w:vAlign w:val="center"/>
          </w:tcPr>
          <w:p w14:paraId="3F6C22C8" w14:textId="77777777" w:rsidR="00FF2998" w:rsidRPr="00E46F96" w:rsidRDefault="00FF2998" w:rsidP="00371D8F">
            <w:pPr>
              <w:jc w:val="center"/>
              <w:rPr>
                <w:rFonts w:asciiTheme="minorHAnsi" w:hAnsiTheme="minorHAnsi" w:cstheme="minorHAnsi"/>
                <w:color w:val="3B3B3C"/>
                <w:sz w:val="18"/>
                <w:szCs w:val="18"/>
              </w:rPr>
            </w:pPr>
          </w:p>
        </w:tc>
        <w:tc>
          <w:tcPr>
            <w:tcW w:w="1275" w:type="dxa"/>
            <w:shd w:val="clear" w:color="000000" w:fill="FCE4D6"/>
            <w:noWrap/>
            <w:vAlign w:val="center"/>
          </w:tcPr>
          <w:p w14:paraId="327F3197" w14:textId="77777777" w:rsidR="00FF2998" w:rsidRPr="00E46F96" w:rsidRDefault="00FF2998" w:rsidP="00371D8F">
            <w:pPr>
              <w:jc w:val="center"/>
              <w:rPr>
                <w:rFonts w:asciiTheme="minorHAnsi" w:hAnsiTheme="minorHAnsi" w:cstheme="minorHAnsi"/>
                <w:color w:val="3B3B3C"/>
                <w:sz w:val="18"/>
                <w:szCs w:val="18"/>
              </w:rPr>
            </w:pPr>
          </w:p>
        </w:tc>
        <w:tc>
          <w:tcPr>
            <w:tcW w:w="993" w:type="dxa"/>
            <w:shd w:val="clear" w:color="000000" w:fill="FCE4D6"/>
            <w:noWrap/>
            <w:vAlign w:val="center"/>
          </w:tcPr>
          <w:p w14:paraId="549E4D03"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57FD6027" w14:textId="77777777" w:rsidR="00FF2998" w:rsidRPr="00E46F96" w:rsidRDefault="00FF2998"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2E5E9FDF" w14:textId="77777777" w:rsidR="00FF2998" w:rsidRPr="00E46F96" w:rsidRDefault="00FF2998" w:rsidP="00371D8F">
            <w:pPr>
              <w:jc w:val="center"/>
              <w:rPr>
                <w:rFonts w:asciiTheme="minorHAnsi" w:hAnsiTheme="minorHAnsi" w:cstheme="minorHAnsi"/>
                <w:b/>
                <w:bCs/>
                <w:color w:val="3B3B3C"/>
                <w:sz w:val="18"/>
                <w:szCs w:val="18"/>
              </w:rPr>
            </w:pPr>
          </w:p>
        </w:tc>
      </w:tr>
      <w:tr w:rsidR="00E46F96" w:rsidRPr="00E46F96" w14:paraId="072C9222" w14:textId="77777777" w:rsidTr="00E46F96">
        <w:trPr>
          <w:trHeight w:val="283"/>
        </w:trPr>
        <w:tc>
          <w:tcPr>
            <w:tcW w:w="1129" w:type="dxa"/>
            <w:shd w:val="clear" w:color="auto" w:fill="auto"/>
            <w:noWrap/>
            <w:vAlign w:val="center"/>
          </w:tcPr>
          <w:p w14:paraId="5FAFDF35" w14:textId="77777777" w:rsidR="00E46F96" w:rsidRPr="00E46F96" w:rsidRDefault="00E46F96" w:rsidP="00371D8F">
            <w:pPr>
              <w:jc w:val="center"/>
              <w:rPr>
                <w:rFonts w:asciiTheme="minorHAnsi" w:hAnsiTheme="minorHAnsi" w:cstheme="minorHAnsi"/>
                <w:color w:val="3B3B3C"/>
                <w:sz w:val="18"/>
                <w:szCs w:val="18"/>
              </w:rPr>
            </w:pPr>
          </w:p>
        </w:tc>
        <w:tc>
          <w:tcPr>
            <w:tcW w:w="851" w:type="dxa"/>
            <w:shd w:val="clear" w:color="000000" w:fill="BDD6EE"/>
            <w:vAlign w:val="center"/>
          </w:tcPr>
          <w:p w14:paraId="7912D50F" w14:textId="77777777" w:rsidR="00E46F96" w:rsidRPr="00E46F96" w:rsidRDefault="00E46F96" w:rsidP="00371D8F">
            <w:pPr>
              <w:jc w:val="center"/>
              <w:rPr>
                <w:rFonts w:asciiTheme="minorHAnsi" w:hAnsiTheme="minorHAnsi" w:cstheme="minorHAnsi"/>
                <w:b/>
                <w:bCs/>
                <w:color w:val="3B3B3C"/>
                <w:sz w:val="18"/>
                <w:szCs w:val="18"/>
              </w:rPr>
            </w:pPr>
          </w:p>
        </w:tc>
        <w:tc>
          <w:tcPr>
            <w:tcW w:w="1134" w:type="dxa"/>
            <w:shd w:val="clear" w:color="auto" w:fill="auto"/>
            <w:noWrap/>
            <w:vAlign w:val="center"/>
          </w:tcPr>
          <w:p w14:paraId="6284945D" w14:textId="77777777" w:rsidR="00E46F96" w:rsidRPr="00E46F96" w:rsidRDefault="00E46F96" w:rsidP="00371D8F">
            <w:pPr>
              <w:jc w:val="center"/>
              <w:rPr>
                <w:rFonts w:asciiTheme="minorHAnsi" w:hAnsiTheme="minorHAnsi" w:cstheme="minorHAnsi"/>
                <w:color w:val="3B3B3C"/>
                <w:sz w:val="18"/>
                <w:szCs w:val="18"/>
              </w:rPr>
            </w:pPr>
          </w:p>
        </w:tc>
        <w:tc>
          <w:tcPr>
            <w:tcW w:w="709" w:type="dxa"/>
            <w:shd w:val="clear" w:color="000000" w:fill="FFC000"/>
            <w:noWrap/>
            <w:vAlign w:val="center"/>
          </w:tcPr>
          <w:p w14:paraId="133C8DA1" w14:textId="77777777" w:rsidR="00E46F96" w:rsidRPr="00E46F96" w:rsidRDefault="00E46F96" w:rsidP="00371D8F">
            <w:pPr>
              <w:jc w:val="center"/>
              <w:rPr>
                <w:rFonts w:asciiTheme="minorHAnsi" w:hAnsiTheme="minorHAnsi" w:cstheme="minorHAnsi"/>
                <w:color w:val="3B3B3C"/>
                <w:sz w:val="18"/>
                <w:szCs w:val="18"/>
              </w:rPr>
            </w:pPr>
          </w:p>
        </w:tc>
        <w:tc>
          <w:tcPr>
            <w:tcW w:w="1275" w:type="dxa"/>
            <w:shd w:val="clear" w:color="000000" w:fill="FCE4D6"/>
            <w:noWrap/>
            <w:vAlign w:val="center"/>
          </w:tcPr>
          <w:p w14:paraId="151204CD" w14:textId="77777777" w:rsidR="00E46F96" w:rsidRPr="00E46F96" w:rsidRDefault="00E46F96" w:rsidP="00371D8F">
            <w:pPr>
              <w:jc w:val="center"/>
              <w:rPr>
                <w:rFonts w:asciiTheme="minorHAnsi" w:hAnsiTheme="minorHAnsi" w:cstheme="minorHAnsi"/>
                <w:color w:val="3B3B3C"/>
                <w:sz w:val="18"/>
                <w:szCs w:val="18"/>
              </w:rPr>
            </w:pPr>
          </w:p>
        </w:tc>
        <w:tc>
          <w:tcPr>
            <w:tcW w:w="993" w:type="dxa"/>
            <w:shd w:val="clear" w:color="000000" w:fill="FCE4D6"/>
            <w:noWrap/>
            <w:vAlign w:val="center"/>
          </w:tcPr>
          <w:p w14:paraId="6F4EDF7F" w14:textId="77777777" w:rsidR="00E46F96" w:rsidRPr="00E46F96" w:rsidRDefault="00E46F96"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3FE0FFBA" w14:textId="77777777" w:rsidR="00E46F96" w:rsidRPr="00E46F96" w:rsidRDefault="00E46F96" w:rsidP="00371D8F">
            <w:pPr>
              <w:jc w:val="center"/>
              <w:rPr>
                <w:rFonts w:asciiTheme="minorHAnsi" w:hAnsiTheme="minorHAnsi" w:cstheme="minorHAnsi"/>
                <w:color w:val="3B3B3C"/>
                <w:sz w:val="18"/>
                <w:szCs w:val="18"/>
              </w:rPr>
            </w:pPr>
          </w:p>
        </w:tc>
        <w:tc>
          <w:tcPr>
            <w:tcW w:w="1134" w:type="dxa"/>
            <w:shd w:val="clear" w:color="auto" w:fill="auto"/>
            <w:noWrap/>
            <w:vAlign w:val="center"/>
          </w:tcPr>
          <w:p w14:paraId="35BF4E53" w14:textId="77777777" w:rsidR="00E46F96" w:rsidRPr="00E46F96" w:rsidRDefault="00E46F96" w:rsidP="00371D8F">
            <w:pPr>
              <w:jc w:val="center"/>
              <w:rPr>
                <w:rFonts w:asciiTheme="minorHAnsi" w:hAnsiTheme="minorHAnsi" w:cstheme="minorHAnsi"/>
                <w:b/>
                <w:bCs/>
                <w:color w:val="3B3B3C"/>
                <w:sz w:val="18"/>
                <w:szCs w:val="18"/>
              </w:rPr>
            </w:pPr>
          </w:p>
        </w:tc>
      </w:tr>
    </w:tbl>
    <w:tbl>
      <w:tblPr>
        <w:tblStyle w:val="TableGrid"/>
        <w:tblpPr w:leftFromText="180" w:rightFromText="180" w:vertAnchor="text" w:horzAnchor="page" w:tblpX="3316" w:tblpY="457"/>
        <w:tblW w:w="0" w:type="auto"/>
        <w:tblLook w:val="04A0" w:firstRow="1" w:lastRow="0" w:firstColumn="1" w:lastColumn="0" w:noHBand="0" w:noVBand="1"/>
      </w:tblPr>
      <w:tblGrid>
        <w:gridCol w:w="1980"/>
      </w:tblGrid>
      <w:tr w:rsidR="00E46F96" w:rsidRPr="00E46F96" w14:paraId="5A1B94B5" w14:textId="77777777" w:rsidTr="00C446E2">
        <w:trPr>
          <w:trHeight w:val="227"/>
        </w:trPr>
        <w:tc>
          <w:tcPr>
            <w:tcW w:w="1980" w:type="dxa"/>
            <w:tcBorders>
              <w:bottom w:val="single" w:sz="4" w:space="0" w:color="auto"/>
            </w:tcBorders>
            <w:shd w:val="clear" w:color="auto" w:fill="auto"/>
          </w:tcPr>
          <w:p w14:paraId="154ADFA3" w14:textId="2449E9B9" w:rsidR="00791C85" w:rsidRPr="00E46F96" w:rsidRDefault="00791C85" w:rsidP="00791C85">
            <w:pPr>
              <w:rPr>
                <w:rFonts w:eastAsia="Yu Mincho"/>
                <w:b/>
                <w:bCs/>
                <w:color w:val="3B3B3C"/>
                <w:sz w:val="16"/>
                <w:szCs w:val="16"/>
              </w:rPr>
            </w:pPr>
            <w:r w:rsidRPr="00E46F96">
              <w:rPr>
                <w:rFonts w:eastAsia="Yu Mincho"/>
                <w:b/>
                <w:bCs/>
                <w:color w:val="3B3B3C"/>
                <w:sz w:val="16"/>
                <w:szCs w:val="16"/>
              </w:rPr>
              <w:t>Key: Fleming Fund contribution</w:t>
            </w:r>
          </w:p>
        </w:tc>
      </w:tr>
      <w:tr w:rsidR="00E46F96" w:rsidRPr="00E46F96" w14:paraId="72D75BDE" w14:textId="77777777" w:rsidTr="00C446E2">
        <w:trPr>
          <w:trHeight w:val="227"/>
        </w:trPr>
        <w:tc>
          <w:tcPr>
            <w:tcW w:w="1980" w:type="dxa"/>
            <w:tcBorders>
              <w:top w:val="single" w:sz="4" w:space="0" w:color="auto"/>
            </w:tcBorders>
            <w:shd w:val="clear" w:color="auto" w:fill="00B050"/>
          </w:tcPr>
          <w:p w14:paraId="59D8AE95" w14:textId="77777777" w:rsidR="00791C85" w:rsidRPr="00E46F96" w:rsidRDefault="00791C85" w:rsidP="00791C85">
            <w:pPr>
              <w:rPr>
                <w:rFonts w:eastAsia="Yu Mincho"/>
                <w:b/>
                <w:bCs/>
                <w:color w:val="3B3B3C"/>
                <w:sz w:val="16"/>
                <w:szCs w:val="16"/>
              </w:rPr>
            </w:pPr>
            <w:r w:rsidRPr="00E46F96">
              <w:rPr>
                <w:rFonts w:eastAsia="Yu Mincho"/>
                <w:b/>
                <w:bCs/>
                <w:color w:val="3B3B3C"/>
                <w:sz w:val="16"/>
                <w:szCs w:val="16"/>
              </w:rPr>
              <w:t>Vital</w:t>
            </w:r>
          </w:p>
        </w:tc>
      </w:tr>
      <w:tr w:rsidR="00E46F96" w:rsidRPr="00E46F96" w14:paraId="63EFCB41" w14:textId="77777777" w:rsidTr="00C446E2">
        <w:trPr>
          <w:trHeight w:val="227"/>
        </w:trPr>
        <w:tc>
          <w:tcPr>
            <w:tcW w:w="1980" w:type="dxa"/>
            <w:shd w:val="clear" w:color="auto" w:fill="92D050"/>
          </w:tcPr>
          <w:p w14:paraId="0915068A" w14:textId="77777777" w:rsidR="00791C85" w:rsidRPr="00E46F96" w:rsidRDefault="00791C85" w:rsidP="00791C85">
            <w:pPr>
              <w:rPr>
                <w:rFonts w:eastAsia="Yu Mincho"/>
                <w:b/>
                <w:bCs/>
                <w:color w:val="3B3B3C"/>
                <w:sz w:val="16"/>
                <w:szCs w:val="16"/>
              </w:rPr>
            </w:pPr>
            <w:r w:rsidRPr="00E46F96">
              <w:rPr>
                <w:rFonts w:eastAsia="Yu Mincho"/>
                <w:b/>
                <w:bCs/>
                <w:color w:val="3B3B3C"/>
                <w:sz w:val="16"/>
                <w:szCs w:val="16"/>
              </w:rPr>
              <w:t>Important</w:t>
            </w:r>
          </w:p>
        </w:tc>
      </w:tr>
      <w:tr w:rsidR="00E46F96" w:rsidRPr="00E46F96" w14:paraId="46A25B1C" w14:textId="77777777" w:rsidTr="00CE1890">
        <w:trPr>
          <w:trHeight w:val="227"/>
        </w:trPr>
        <w:tc>
          <w:tcPr>
            <w:tcW w:w="1980" w:type="dxa"/>
            <w:shd w:val="clear" w:color="auto" w:fill="FCE4D6"/>
          </w:tcPr>
          <w:p w14:paraId="0D0A14CB" w14:textId="77777777" w:rsidR="00791C85" w:rsidRPr="00E46F96" w:rsidRDefault="00791C85" w:rsidP="00791C85">
            <w:pPr>
              <w:rPr>
                <w:rFonts w:eastAsia="Yu Mincho"/>
                <w:b/>
                <w:bCs/>
                <w:color w:val="3B3B3C"/>
                <w:sz w:val="16"/>
                <w:szCs w:val="16"/>
              </w:rPr>
            </w:pPr>
            <w:r w:rsidRPr="00E46F96">
              <w:rPr>
                <w:rFonts w:eastAsia="Yu Mincho"/>
                <w:b/>
                <w:bCs/>
                <w:color w:val="3B3B3C"/>
                <w:sz w:val="16"/>
                <w:szCs w:val="16"/>
              </w:rPr>
              <w:t>Limited</w:t>
            </w:r>
          </w:p>
        </w:tc>
      </w:tr>
      <w:tr w:rsidR="00E46F96" w:rsidRPr="00E46F96" w14:paraId="2D171D1A" w14:textId="77777777" w:rsidTr="00C446E2">
        <w:trPr>
          <w:trHeight w:val="227"/>
        </w:trPr>
        <w:tc>
          <w:tcPr>
            <w:tcW w:w="1980" w:type="dxa"/>
            <w:shd w:val="clear" w:color="auto" w:fill="FFC000"/>
          </w:tcPr>
          <w:p w14:paraId="7B660399" w14:textId="77777777" w:rsidR="00791C85" w:rsidRPr="00E46F96" w:rsidRDefault="00791C85" w:rsidP="00791C85">
            <w:pPr>
              <w:rPr>
                <w:rFonts w:eastAsia="Yu Mincho"/>
                <w:b/>
                <w:bCs/>
                <w:color w:val="3B3B3C"/>
                <w:sz w:val="16"/>
                <w:szCs w:val="16"/>
              </w:rPr>
            </w:pPr>
            <w:r w:rsidRPr="00E46F96">
              <w:rPr>
                <w:rFonts w:eastAsia="Yu Mincho"/>
                <w:b/>
                <w:bCs/>
                <w:color w:val="3B3B3C"/>
                <w:sz w:val="16"/>
                <w:szCs w:val="16"/>
              </w:rPr>
              <w:t xml:space="preserve">Some </w:t>
            </w:r>
          </w:p>
        </w:tc>
      </w:tr>
      <w:tr w:rsidR="00E46F96" w:rsidRPr="00E46F96" w14:paraId="04C00518" w14:textId="77777777" w:rsidTr="00CE1890">
        <w:trPr>
          <w:trHeight w:val="227"/>
        </w:trPr>
        <w:tc>
          <w:tcPr>
            <w:tcW w:w="1980" w:type="dxa"/>
            <w:shd w:val="clear" w:color="auto" w:fill="ED7D31"/>
          </w:tcPr>
          <w:p w14:paraId="3C08EC87" w14:textId="77777777" w:rsidR="00791C85" w:rsidRPr="00E46F96" w:rsidRDefault="00791C85" w:rsidP="00791C85">
            <w:pPr>
              <w:rPr>
                <w:rFonts w:eastAsia="Yu Mincho"/>
                <w:b/>
                <w:bCs/>
                <w:color w:val="3B3B3C"/>
                <w:sz w:val="16"/>
                <w:szCs w:val="16"/>
              </w:rPr>
            </w:pPr>
            <w:r w:rsidRPr="00E46F96">
              <w:rPr>
                <w:rFonts w:eastAsia="Yu Mincho"/>
                <w:b/>
                <w:bCs/>
                <w:color w:val="3B3B3C"/>
                <w:sz w:val="16"/>
                <w:szCs w:val="16"/>
              </w:rPr>
              <w:t>None</w:t>
            </w:r>
          </w:p>
        </w:tc>
      </w:tr>
    </w:tbl>
    <w:p w14:paraId="45651F17" w14:textId="264CA240" w:rsidR="00791C85" w:rsidRPr="00E46F96" w:rsidRDefault="00791C85" w:rsidP="00791C85">
      <w:pPr>
        <w:rPr>
          <w:rFonts w:eastAsia="Yu Mincho"/>
          <w:b/>
          <w:bCs/>
          <w:color w:val="3B3B3C"/>
          <w:sz w:val="16"/>
          <w:szCs w:val="16"/>
        </w:rPr>
      </w:pPr>
    </w:p>
    <w:tbl>
      <w:tblPr>
        <w:tblStyle w:val="TableGrid"/>
        <w:tblpPr w:leftFromText="180" w:rightFromText="180" w:vertAnchor="text" w:horzAnchor="margin" w:tblpY="217"/>
        <w:tblW w:w="0" w:type="auto"/>
        <w:tblLook w:val="04A0" w:firstRow="1" w:lastRow="0" w:firstColumn="1" w:lastColumn="0" w:noHBand="0" w:noVBand="1"/>
      </w:tblPr>
      <w:tblGrid>
        <w:gridCol w:w="1696"/>
      </w:tblGrid>
      <w:tr w:rsidR="00E46F96" w:rsidRPr="00E46F96" w14:paraId="2FB95563" w14:textId="77777777" w:rsidTr="00C446E2">
        <w:trPr>
          <w:trHeight w:val="227"/>
        </w:trPr>
        <w:tc>
          <w:tcPr>
            <w:tcW w:w="1696" w:type="dxa"/>
            <w:shd w:val="clear" w:color="auto" w:fill="auto"/>
          </w:tcPr>
          <w:p w14:paraId="1C76E8D7" w14:textId="5047BFE7" w:rsidR="00C446E2" w:rsidRPr="00E46F96" w:rsidRDefault="00C446E2" w:rsidP="00C446E2">
            <w:pPr>
              <w:rPr>
                <w:rFonts w:eastAsia="Yu Mincho"/>
                <w:b/>
                <w:bCs/>
                <w:color w:val="3B3B3C"/>
                <w:sz w:val="16"/>
                <w:szCs w:val="16"/>
              </w:rPr>
            </w:pPr>
            <w:r w:rsidRPr="00E46F96">
              <w:rPr>
                <w:rFonts w:eastAsia="Yu Mincho"/>
                <w:b/>
                <w:bCs/>
                <w:color w:val="3B3B3C"/>
                <w:sz w:val="16"/>
                <w:szCs w:val="16"/>
              </w:rPr>
              <w:t xml:space="preserve">Key: Extent of </w:t>
            </w:r>
            <w:r w:rsidR="00627B0D">
              <w:rPr>
                <w:rFonts w:eastAsia="Yu Mincho"/>
                <w:b/>
                <w:bCs/>
                <w:color w:val="3B3B3C"/>
                <w:sz w:val="16"/>
                <w:szCs w:val="16"/>
              </w:rPr>
              <w:t>c</w:t>
            </w:r>
            <w:r w:rsidRPr="00E46F96">
              <w:rPr>
                <w:rFonts w:eastAsia="Yu Mincho"/>
                <w:b/>
                <w:bCs/>
                <w:color w:val="3B3B3C"/>
                <w:sz w:val="16"/>
                <w:szCs w:val="16"/>
              </w:rPr>
              <w:t>hange</w:t>
            </w:r>
          </w:p>
        </w:tc>
      </w:tr>
      <w:tr w:rsidR="00E46F96" w:rsidRPr="00E46F96" w14:paraId="46BE28EA" w14:textId="77777777" w:rsidTr="00CE1890">
        <w:trPr>
          <w:trHeight w:val="227"/>
        </w:trPr>
        <w:tc>
          <w:tcPr>
            <w:tcW w:w="1696" w:type="dxa"/>
            <w:shd w:val="clear" w:color="auto" w:fill="BF8F00"/>
          </w:tcPr>
          <w:p w14:paraId="5FFAACCD" w14:textId="77777777" w:rsidR="00C446E2" w:rsidRPr="00E46F96" w:rsidRDefault="00C446E2" w:rsidP="00C446E2">
            <w:pPr>
              <w:rPr>
                <w:rFonts w:eastAsia="Yu Mincho"/>
                <w:b/>
                <w:bCs/>
                <w:color w:val="3B3B3C"/>
                <w:sz w:val="16"/>
                <w:szCs w:val="16"/>
              </w:rPr>
            </w:pPr>
            <w:r w:rsidRPr="00E46F96">
              <w:rPr>
                <w:rFonts w:eastAsia="Yu Mincho"/>
                <w:b/>
                <w:bCs/>
                <w:color w:val="3B3B3C"/>
                <w:sz w:val="16"/>
                <w:szCs w:val="16"/>
              </w:rPr>
              <w:t>Considerable</w:t>
            </w:r>
          </w:p>
        </w:tc>
      </w:tr>
      <w:tr w:rsidR="00E46F96" w:rsidRPr="00E46F96" w14:paraId="5EFE8250" w14:textId="77777777" w:rsidTr="00CE1890">
        <w:trPr>
          <w:trHeight w:val="227"/>
        </w:trPr>
        <w:tc>
          <w:tcPr>
            <w:tcW w:w="1696" w:type="dxa"/>
            <w:shd w:val="clear" w:color="auto" w:fill="FFD966"/>
          </w:tcPr>
          <w:p w14:paraId="3254A583" w14:textId="77777777" w:rsidR="00C446E2" w:rsidRPr="00E46F96" w:rsidRDefault="00C446E2" w:rsidP="00C446E2">
            <w:pPr>
              <w:rPr>
                <w:rFonts w:eastAsia="Yu Mincho"/>
                <w:b/>
                <w:bCs/>
                <w:color w:val="3B3B3C"/>
                <w:sz w:val="16"/>
                <w:szCs w:val="16"/>
              </w:rPr>
            </w:pPr>
            <w:r w:rsidRPr="00E46F96">
              <w:rPr>
                <w:rFonts w:eastAsia="Yu Mincho"/>
                <w:b/>
                <w:bCs/>
                <w:color w:val="3B3B3C"/>
                <w:sz w:val="16"/>
                <w:szCs w:val="16"/>
              </w:rPr>
              <w:t>Some</w:t>
            </w:r>
          </w:p>
        </w:tc>
      </w:tr>
      <w:tr w:rsidR="00E46F96" w:rsidRPr="00E46F96" w14:paraId="1F9B9F01" w14:textId="77777777" w:rsidTr="00CE1890">
        <w:trPr>
          <w:trHeight w:val="227"/>
        </w:trPr>
        <w:tc>
          <w:tcPr>
            <w:tcW w:w="1696" w:type="dxa"/>
            <w:shd w:val="clear" w:color="auto" w:fill="FBE4D5"/>
          </w:tcPr>
          <w:p w14:paraId="635621F2" w14:textId="77777777" w:rsidR="00C446E2" w:rsidRPr="00E46F96" w:rsidRDefault="00C446E2" w:rsidP="00C446E2">
            <w:pPr>
              <w:rPr>
                <w:rFonts w:eastAsia="Yu Mincho"/>
                <w:b/>
                <w:bCs/>
                <w:color w:val="3B3B3C"/>
                <w:sz w:val="16"/>
                <w:szCs w:val="16"/>
              </w:rPr>
            </w:pPr>
            <w:r w:rsidRPr="00E46F96">
              <w:rPr>
                <w:rFonts w:eastAsia="Yu Mincho"/>
                <w:b/>
                <w:bCs/>
                <w:color w:val="3B3B3C"/>
                <w:sz w:val="16"/>
                <w:szCs w:val="16"/>
              </w:rPr>
              <w:t>Limited</w:t>
            </w:r>
          </w:p>
        </w:tc>
      </w:tr>
      <w:tr w:rsidR="00E46F96" w:rsidRPr="00E46F96" w14:paraId="2D27FB36" w14:textId="77777777" w:rsidTr="00CE1890">
        <w:trPr>
          <w:trHeight w:val="227"/>
        </w:trPr>
        <w:tc>
          <w:tcPr>
            <w:tcW w:w="1696" w:type="dxa"/>
            <w:shd w:val="clear" w:color="auto" w:fill="FFFF00"/>
          </w:tcPr>
          <w:p w14:paraId="7B60235E" w14:textId="55CC145F" w:rsidR="00C446E2" w:rsidRPr="00E46F96" w:rsidRDefault="00CE1890" w:rsidP="00C446E2">
            <w:pPr>
              <w:rPr>
                <w:rFonts w:eastAsia="Yu Mincho"/>
                <w:b/>
                <w:bCs/>
                <w:color w:val="3B3B3C"/>
                <w:sz w:val="16"/>
                <w:szCs w:val="16"/>
              </w:rPr>
            </w:pPr>
            <w:r>
              <w:rPr>
                <w:rFonts w:eastAsia="Yu Mincho"/>
                <w:b/>
                <w:bCs/>
                <w:color w:val="3B3B3C"/>
                <w:sz w:val="16"/>
                <w:szCs w:val="16"/>
              </w:rPr>
              <w:t>Unclear</w:t>
            </w:r>
          </w:p>
        </w:tc>
      </w:tr>
      <w:tr w:rsidR="00E46F96" w:rsidRPr="00E46F96" w14:paraId="44DF4457" w14:textId="77777777" w:rsidTr="00C446E2">
        <w:trPr>
          <w:trHeight w:val="227"/>
        </w:trPr>
        <w:tc>
          <w:tcPr>
            <w:tcW w:w="1696" w:type="dxa"/>
            <w:shd w:val="clear" w:color="auto" w:fill="BDD6EE"/>
          </w:tcPr>
          <w:p w14:paraId="6CB05CA6" w14:textId="270596E6" w:rsidR="00C446E2" w:rsidRPr="00E46F96" w:rsidRDefault="00CE1890" w:rsidP="00C446E2">
            <w:pPr>
              <w:rPr>
                <w:rFonts w:eastAsia="Yu Mincho"/>
                <w:b/>
                <w:bCs/>
                <w:color w:val="3B3B3C"/>
                <w:sz w:val="16"/>
                <w:szCs w:val="16"/>
              </w:rPr>
            </w:pPr>
            <w:r>
              <w:rPr>
                <w:rFonts w:eastAsia="Yu Mincho"/>
                <w:b/>
                <w:bCs/>
                <w:color w:val="3B3B3C"/>
                <w:sz w:val="16"/>
                <w:szCs w:val="16"/>
              </w:rPr>
              <w:t>None yet</w:t>
            </w:r>
          </w:p>
        </w:tc>
      </w:tr>
    </w:tbl>
    <w:p w14:paraId="4CE58F07" w14:textId="58FF6B49" w:rsidR="00FF2998" w:rsidRDefault="00FF2998" w:rsidP="00FF2998">
      <w:pPr>
        <w:spacing w:after="120"/>
        <w:rPr>
          <w:rFonts w:eastAsia="Yu Mincho"/>
          <w:b/>
          <w:bCs/>
          <w:color w:val="3B3B3C"/>
        </w:rPr>
      </w:pPr>
    </w:p>
    <w:p w14:paraId="59C3B0A0" w14:textId="435BD38D" w:rsidR="00791C85" w:rsidRDefault="00791C85" w:rsidP="00FF2998">
      <w:pPr>
        <w:spacing w:after="120"/>
        <w:rPr>
          <w:rFonts w:eastAsia="Yu Mincho"/>
          <w:b/>
          <w:bCs/>
          <w:color w:val="3B3B3C"/>
        </w:rPr>
      </w:pPr>
    </w:p>
    <w:p w14:paraId="34CF9181" w14:textId="77777777" w:rsidR="00791C85" w:rsidRDefault="00791C85" w:rsidP="00FF2998">
      <w:pPr>
        <w:spacing w:after="120"/>
        <w:rPr>
          <w:rFonts w:eastAsia="Yu Mincho"/>
          <w:b/>
          <w:bCs/>
          <w:color w:val="3B3B3C"/>
        </w:rPr>
      </w:pPr>
    </w:p>
    <w:p w14:paraId="6AC94F94" w14:textId="77777777" w:rsidR="00791C85" w:rsidRDefault="00791C85" w:rsidP="00FF2998">
      <w:pPr>
        <w:spacing w:after="120"/>
        <w:rPr>
          <w:rFonts w:eastAsia="Yu Mincho"/>
          <w:b/>
          <w:bCs/>
          <w:color w:val="3B3B3C"/>
        </w:rPr>
      </w:pPr>
    </w:p>
    <w:p w14:paraId="39259036" w14:textId="77777777" w:rsidR="00791C85" w:rsidRDefault="00791C85" w:rsidP="00FF2998">
      <w:pPr>
        <w:spacing w:after="120"/>
        <w:rPr>
          <w:rFonts w:eastAsia="Yu Mincho"/>
          <w:b/>
          <w:bCs/>
          <w:color w:val="3B3B3C"/>
        </w:rPr>
      </w:pPr>
    </w:p>
    <w:p w14:paraId="2DBD748A" w14:textId="327E56A1" w:rsidR="00B608A2" w:rsidRDefault="004E6217" w:rsidP="003350F4">
      <w:pPr>
        <w:pStyle w:val="ItadNormalText"/>
      </w:pPr>
      <w:bookmarkStart w:id="305" w:name="_Hlk136476692"/>
      <w:r w:rsidRPr="003350F4">
        <w:rPr>
          <w:b/>
          <w:bCs/>
        </w:rPr>
        <w:t>Finding 2.</w:t>
      </w:r>
      <w:r w:rsidR="00EF6EAF" w:rsidRPr="003350F4">
        <w:rPr>
          <w:b/>
          <w:bCs/>
        </w:rPr>
        <w:t>2.</w:t>
      </w:r>
      <w:r w:rsidR="00245A1C" w:rsidRPr="003350F4">
        <w:rPr>
          <w:b/>
          <w:bCs/>
        </w:rPr>
        <w:t>10</w:t>
      </w:r>
      <w:r w:rsidR="00EF6EAF" w:rsidRPr="003350F4">
        <w:rPr>
          <w:b/>
          <w:bCs/>
        </w:rPr>
        <w:t xml:space="preserve">: </w:t>
      </w:r>
      <w:r w:rsidR="00FF2998" w:rsidRPr="003350F4">
        <w:rPr>
          <w:b/>
          <w:bCs/>
        </w:rPr>
        <w:t>Fleming Fund</w:t>
      </w:r>
      <w:r w:rsidR="00AA6A7B" w:rsidRPr="003350F4">
        <w:rPr>
          <w:b/>
          <w:bCs/>
        </w:rPr>
        <w:t>’</w:t>
      </w:r>
      <w:r w:rsidR="00FF2998" w:rsidRPr="003350F4">
        <w:rPr>
          <w:b/>
          <w:bCs/>
        </w:rPr>
        <w:t xml:space="preserve">s approach in </w:t>
      </w:r>
      <w:r w:rsidR="00222C91" w:rsidRPr="003350F4">
        <w:rPr>
          <w:b/>
          <w:bCs/>
        </w:rPr>
        <w:t>phase 1</w:t>
      </w:r>
      <w:r w:rsidR="00FF2998" w:rsidRPr="003350F4">
        <w:rPr>
          <w:b/>
          <w:bCs/>
        </w:rPr>
        <w:t>, especially emphasising One Health and Fellowships and some RGs, has contributed positively to the prospects for data use.</w:t>
      </w:r>
      <w:r w:rsidR="0044774F">
        <w:t xml:space="preserve"> However</w:t>
      </w:r>
      <w:r w:rsidR="00D97FFA">
        <w:t>,</w:t>
      </w:r>
      <w:r w:rsidR="0044774F">
        <w:t xml:space="preserve"> limitation in the MA</w:t>
      </w:r>
      <w:r w:rsidR="00AA6A7B">
        <w:t>’</w:t>
      </w:r>
      <w:r w:rsidR="0044774F">
        <w:t>s conceptual frameworks currently limit the prospects for Fleming Fund contributions to</w:t>
      </w:r>
      <w:r w:rsidR="00B608A2">
        <w:t xml:space="preserve"> </w:t>
      </w:r>
      <w:r w:rsidR="0044774F">
        <w:t xml:space="preserve">data use as part of a sustainable, aligned, country-owned approach. As a result, the Fleming Fund has so far only made a limited contribution to </w:t>
      </w:r>
      <w:r w:rsidR="00B608A2">
        <w:t>advance</w:t>
      </w:r>
      <w:r w:rsidR="0044774F">
        <w:t xml:space="preserve"> the </w:t>
      </w:r>
      <w:r w:rsidR="00B608A2">
        <w:t>prospects</w:t>
      </w:r>
      <w:r w:rsidR="0044774F">
        <w:t xml:space="preserve"> for sustainable country-owned data use.</w:t>
      </w:r>
    </w:p>
    <w:p w14:paraId="1DACD7A9" w14:textId="660C7E8A" w:rsidR="00FF2998" w:rsidRPr="008343D7" w:rsidRDefault="00FF2998" w:rsidP="003350F4">
      <w:pPr>
        <w:pStyle w:val="ItadNormalText"/>
        <w:rPr>
          <w:rFonts w:eastAsia="Calibri" w:cs="Calibri"/>
        </w:rPr>
      </w:pPr>
      <w:r w:rsidRPr="008343D7">
        <w:t>Fleming Fund has accorded visibility to the One Health approach in all its countries of operation. This was done</w:t>
      </w:r>
      <w:r w:rsidRPr="008343D7" w:rsidDel="00D848A4">
        <w:t xml:space="preserve"> </w:t>
      </w:r>
      <w:r w:rsidRPr="008343D7">
        <w:t>by encouraging the development of formal partnership mechanisms, especially CG governance-related work, as well as by encouraging interactions between sectoral actors through events such as World AMR Awareness Week. In addition, the Fleming Fund Fellowships</w:t>
      </w:r>
      <w:r w:rsidR="00AA6A7B">
        <w:t>’</w:t>
      </w:r>
      <w:r w:rsidRPr="008343D7">
        <w:t xml:space="preserve"> contribution to data use extends far beyond simple direct contributions to national data sharing (see Annex 9</w:t>
      </w:r>
      <w:r w:rsidR="0006656D">
        <w:t>.2</w:t>
      </w:r>
      <w:r w:rsidRPr="008343D7">
        <w:t>). The positive contribution being made by the Fellowships is best understood in terms of their role in forming communities around AMR, increasing the chances of AMR being prioritised.</w:t>
      </w:r>
      <w:r w:rsidRPr="008343D7" w:rsidDel="007D2E99">
        <w:t xml:space="preserve"> </w:t>
      </w:r>
      <w:r w:rsidR="001D2FB4">
        <w:t>P</w:t>
      </w:r>
      <w:r w:rsidR="00222C91">
        <w:t>hase 1</w:t>
      </w:r>
      <w:r w:rsidRPr="008343D7">
        <w:t xml:space="preserve"> RG</w:t>
      </w:r>
      <w:r w:rsidR="00AC5CE7">
        <w:t>s</w:t>
      </w:r>
      <w:r w:rsidRPr="008343D7">
        <w:t xml:space="preserve"> activities have also helped to build consensus on data use issues and to equip stakeholders for future initiatives. Notably, the </w:t>
      </w:r>
      <w:r w:rsidRPr="008343D7">
        <w:rPr>
          <w:rFonts w:eastAsia="Calibri" w:cs="Calibri"/>
        </w:rPr>
        <w:t xml:space="preserve">RADAAR </w:t>
      </w:r>
      <w:r w:rsidR="00F66506">
        <w:rPr>
          <w:rFonts w:eastAsia="Calibri" w:cs="Calibri"/>
        </w:rPr>
        <w:t>RG</w:t>
      </w:r>
      <w:r w:rsidRPr="008343D7">
        <w:rPr>
          <w:rFonts w:eastAsia="Calibri" w:cs="Calibri"/>
        </w:rPr>
        <w:t xml:space="preserve"> aimed to catalyse a sustained demand among decision</w:t>
      </w:r>
      <w:r w:rsidR="00D50F4C">
        <w:rPr>
          <w:rFonts w:eastAsia="Calibri" w:cs="Calibri"/>
        </w:rPr>
        <w:t>-</w:t>
      </w:r>
      <w:r w:rsidRPr="008343D7">
        <w:rPr>
          <w:rFonts w:eastAsia="Calibri" w:cs="Calibri"/>
        </w:rPr>
        <w:t>makers for high-quality information and data</w:t>
      </w:r>
      <w:r w:rsidR="00E278CD">
        <w:rPr>
          <w:rFonts w:eastAsia="Calibri" w:cs="Calibri"/>
        </w:rPr>
        <w:t xml:space="preserve"> </w:t>
      </w:r>
      <w:r w:rsidRPr="008343D7">
        <w:rPr>
          <w:rFonts w:eastAsia="Calibri" w:cs="Calibri"/>
        </w:rPr>
        <w:t>sharing for use in global AMR planning, policy and advocacy</w:t>
      </w:r>
      <w:r w:rsidR="00AC5CE7">
        <w:rPr>
          <w:rFonts w:eastAsia="Calibri" w:cs="Calibri"/>
        </w:rPr>
        <w:t>;</w:t>
      </w:r>
      <w:r w:rsidRPr="008343D7">
        <w:rPr>
          <w:rFonts w:eastAsia="Calibri" w:cs="Calibri"/>
        </w:rPr>
        <w:t xml:space="preserve"> first through a series of data gathering and consultative workshop exercises in 2021</w:t>
      </w:r>
      <w:r w:rsidR="00E278CD">
        <w:rPr>
          <w:rFonts w:eastAsia="Calibri" w:cs="Calibri"/>
        </w:rPr>
        <w:t>–</w:t>
      </w:r>
      <w:r w:rsidRPr="008343D7">
        <w:rPr>
          <w:rFonts w:eastAsia="Calibri" w:cs="Calibri"/>
        </w:rPr>
        <w:t>22 then through pilot training sessions in the Basic Principles of Translating Evidence to Policy. CAPTURA and MAAP RGs have also generated policy brief material which will be available to inform national policy efforts going forward.</w:t>
      </w:r>
    </w:p>
    <w:p w14:paraId="0ADA3940" w14:textId="4EC2D2A6" w:rsidR="00FF2998" w:rsidRPr="00627B0D" w:rsidRDefault="00FF2998" w:rsidP="001D2FB4">
      <w:pPr>
        <w:pStyle w:val="ItadNormalText"/>
      </w:pPr>
      <w:r w:rsidRPr="00627B0D">
        <w:t>However, limitations in the MA</w:t>
      </w:r>
      <w:r w:rsidR="00AA6A7B">
        <w:t>’</w:t>
      </w:r>
      <w:r w:rsidRPr="00627B0D">
        <w:t>s conceptual frameworks (on One Health, categorising country capabilities, and on understanding the political economy</w:t>
      </w:r>
      <w:r w:rsidRPr="00627B0D" w:rsidDel="00102984">
        <w:t>)</w:t>
      </w:r>
      <w:r w:rsidRPr="00627B0D">
        <w:t xml:space="preserve"> currently limit the prospects for the </w:t>
      </w:r>
      <w:r w:rsidRPr="00627B0D">
        <w:rPr>
          <w:rFonts w:eastAsia="Calibri"/>
        </w:rPr>
        <w:t>Fleming Fund</w:t>
      </w:r>
      <w:r w:rsidR="00AA6A7B">
        <w:rPr>
          <w:rFonts w:eastAsia="Calibri"/>
        </w:rPr>
        <w:t>’</w:t>
      </w:r>
      <w:r w:rsidRPr="00627B0D">
        <w:rPr>
          <w:rFonts w:eastAsia="Calibri"/>
        </w:rPr>
        <w:t>s contributions to data use as part of a sustainable, aligned, country-owned approach</w:t>
      </w:r>
      <w:r w:rsidRPr="00627B0D">
        <w:t>.</w:t>
      </w:r>
    </w:p>
    <w:p w14:paraId="70D31155" w14:textId="38B4217A" w:rsidR="00FF2998" w:rsidRPr="008343D7" w:rsidRDefault="00FF2998" w:rsidP="008A5F96">
      <w:pPr>
        <w:pStyle w:val="ItadBullets"/>
      </w:pPr>
      <w:bookmarkStart w:id="306" w:name="_Hlk136476733"/>
      <w:bookmarkEnd w:id="305"/>
      <w:r w:rsidRPr="008343D7">
        <w:t>The MA</w:t>
      </w:r>
      <w:r w:rsidR="00AA6A7B">
        <w:t>’</w:t>
      </w:r>
      <w:r w:rsidRPr="008343D7">
        <w:t xml:space="preserve">s approach to One Health is characterised as an institutional mechanism for encouraging data sharing. However, as discussed in </w:t>
      </w:r>
      <w:r w:rsidR="007B5BA3">
        <w:fldChar w:fldCharType="begin"/>
      </w:r>
      <w:r w:rsidR="007B5BA3">
        <w:instrText xml:space="preserve"> REF _Ref144720104 \h </w:instrText>
      </w:r>
      <w:r w:rsidR="007B5BA3">
        <w:fldChar w:fldCharType="separate"/>
      </w:r>
      <w:r w:rsidR="00076E67">
        <w:t xml:space="preserve">Box </w:t>
      </w:r>
      <w:r w:rsidR="00076E67">
        <w:rPr>
          <w:noProof/>
        </w:rPr>
        <w:t>7</w:t>
      </w:r>
      <w:r w:rsidR="007B5BA3">
        <w:fldChar w:fldCharType="end"/>
      </w:r>
      <w:r w:rsidR="007B5BA3">
        <w:t xml:space="preserve"> </w:t>
      </w:r>
      <w:r w:rsidR="00E815AE">
        <w:t xml:space="preserve">below and in </w:t>
      </w:r>
      <w:r w:rsidRPr="008343D7">
        <w:rPr>
          <w:rFonts w:eastAsia="Calibri"/>
        </w:rPr>
        <w:t>Vol. II, Annex 7</w:t>
      </w:r>
      <w:r w:rsidRPr="008343D7">
        <w:t xml:space="preserve">, the drivers and mechanisms for multisector partnerships are not restricted to AMRCCs or </w:t>
      </w:r>
      <w:r w:rsidR="00A5658C">
        <w:t>technical working group</w:t>
      </w:r>
      <w:r w:rsidRPr="008343D7">
        <w:t xml:space="preserve">s. Cross-sector partnerships require navigating local institutional and interpersonal political dynamics. Although the One Health emphasis has been positive in </w:t>
      </w:r>
      <w:r w:rsidR="00222C91">
        <w:t>phase 1</w:t>
      </w:r>
      <w:r w:rsidRPr="008343D7">
        <w:t>, the form and function of One Health partnerships need</w:t>
      </w:r>
      <w:r w:rsidR="00AC5CE7">
        <w:t>s</w:t>
      </w:r>
      <w:r w:rsidRPr="008343D7">
        <w:t xml:space="preserve"> to be thought out better, grounded within the institutional context of each country, incorporating flexible and informal cross-sector collaborations such as research networks.</w:t>
      </w:r>
    </w:p>
    <w:p w14:paraId="6C4CD5D9" w14:textId="5F334F98" w:rsidR="00FF2998" w:rsidRPr="008343D7" w:rsidRDefault="00FF2998" w:rsidP="008A5F96">
      <w:pPr>
        <w:pStyle w:val="ItadBullets"/>
      </w:pPr>
      <w:r w:rsidRPr="008343D7">
        <w:t>MA frameworks for justifying and assessing Fleming Fund investments</w:t>
      </w:r>
      <w:r w:rsidRPr="008343D7" w:rsidDel="002E73E3">
        <w:t xml:space="preserve"> </w:t>
      </w:r>
      <w:r w:rsidRPr="008343D7">
        <w:t xml:space="preserve">tend to focus exclusively on surveillance systems. Under </w:t>
      </w:r>
      <w:r w:rsidR="00222C91">
        <w:t>phase 1</w:t>
      </w:r>
      <w:r w:rsidRPr="008343D7">
        <w:t>, the MA classified countries according to broad descriptions of the successive stages of idealised surveillance systems (see the MA A-D categories in Annex 15</w:t>
      </w:r>
      <w:r w:rsidR="00F46E05">
        <w:t>, Table 4</w:t>
      </w:r>
      <w:r w:rsidR="00DB6BFF">
        <w:t>7</w:t>
      </w:r>
      <w:r w:rsidRPr="008343D7">
        <w:t>). This tended to exclude other reference points that could inform strategic orientation, notably an assessment of the prospects for advancing data use in a particular country (for example, the categorisation could reflect on historical data trends from CAPTURA/MAAP, policy reflections from RADAAR, research or other inputs from Fellows).</w:t>
      </w:r>
    </w:p>
    <w:p w14:paraId="5AB4DC4B" w14:textId="5F690894" w:rsidR="00FF2998" w:rsidRPr="008343D7" w:rsidRDefault="00FF2998" w:rsidP="008A5F96">
      <w:pPr>
        <w:pStyle w:val="ItadBullets"/>
      </w:pPr>
      <w:r w:rsidRPr="008343D7">
        <w:t xml:space="preserve">Political </w:t>
      </w:r>
      <w:r w:rsidR="00DB6BFF" w:rsidRPr="008343D7">
        <w:t xml:space="preserve">economy analysis </w:t>
      </w:r>
      <w:r w:rsidRPr="008343D7">
        <w:t>(PEA) plays a minor role in programme management. Whil</w:t>
      </w:r>
      <w:r w:rsidR="000C2D5D">
        <w:t>e</w:t>
      </w:r>
      <w:r w:rsidRPr="008343D7">
        <w:t xml:space="preserve"> the MA chose to deprioritise formal PEA processes during </w:t>
      </w:r>
      <w:r w:rsidR="00222C91">
        <w:t>phase 1</w:t>
      </w:r>
      <w:r w:rsidRPr="008343D7">
        <w:t>, MA teams are certainly aware of relevant political economy considerations</w:t>
      </w:r>
      <w:r w:rsidR="00AC5CE7">
        <w:t>.</w:t>
      </w:r>
      <w:r w:rsidRPr="008343D7">
        <w:t xml:space="preserve"> </w:t>
      </w:r>
      <w:r w:rsidR="00AC5CE7" w:rsidRPr="008343D7">
        <w:t>However</w:t>
      </w:r>
      <w:r w:rsidRPr="008343D7">
        <w:t>, the lack of formal PEAs makes it difficult to see how the MA</w:t>
      </w:r>
      <w:r w:rsidR="00AA6A7B">
        <w:t>’</w:t>
      </w:r>
      <w:r w:rsidRPr="008343D7">
        <w:t xml:space="preserve">s knowledge is explicitly used in prioritisation and positioning. It is important that it is explicit so that HMG can understand how it is used, and can then use to leverage broader UK networks. Multiple </w:t>
      </w:r>
      <w:r w:rsidR="00DB6BFF">
        <w:t>s</w:t>
      </w:r>
      <w:r w:rsidRPr="008343D7">
        <w:t xml:space="preserve">treams </w:t>
      </w:r>
      <w:r w:rsidR="00DB6BFF">
        <w:t>a</w:t>
      </w:r>
      <w:r w:rsidRPr="008343D7">
        <w:t>pproach analysis of the drivers of data use in the wider context (see</w:t>
      </w:r>
      <w:r w:rsidR="007B5BA3">
        <w:t xml:space="preserve"> </w:t>
      </w:r>
      <w:r w:rsidR="007B5BA3">
        <w:fldChar w:fldCharType="begin"/>
      </w:r>
      <w:r w:rsidR="007B5BA3">
        <w:instrText xml:space="preserve"> REF _Ref144720104 \h </w:instrText>
      </w:r>
      <w:r w:rsidR="007B5BA3">
        <w:fldChar w:fldCharType="separate"/>
      </w:r>
      <w:r w:rsidR="00076E67">
        <w:t xml:space="preserve">Box </w:t>
      </w:r>
      <w:r w:rsidR="00076E67">
        <w:rPr>
          <w:noProof/>
        </w:rPr>
        <w:t>7</w:t>
      </w:r>
      <w:r w:rsidR="007B5BA3">
        <w:fldChar w:fldCharType="end"/>
      </w:r>
      <w:r w:rsidRPr="008343D7">
        <w:t xml:space="preserve">) suggests the value of working more opportunistically and entrepreneurially. PEAs were undertaken in some, but we are unaware of, for example, any systematic efforts to reflect on similarities or differences between countries involving significant decentralisation of health system </w:t>
      </w:r>
      <w:r w:rsidRPr="008343D7" w:rsidDel="00C8382F">
        <w:t>decision</w:t>
      </w:r>
      <w:r w:rsidR="00E278CD">
        <w:t>-</w:t>
      </w:r>
      <w:r w:rsidRPr="008343D7">
        <w:t>making or financing. This falls short of the state of the art in relevant development practice, which the UK has helped to pioneer.</w:t>
      </w:r>
      <w:r w:rsidRPr="008343D7">
        <w:rPr>
          <w:vertAlign w:val="superscript"/>
        </w:rPr>
        <w:footnoteReference w:id="124"/>
      </w:r>
    </w:p>
    <w:p w14:paraId="21663F46" w14:textId="2D25C56A" w:rsidR="007B5BA3" w:rsidRDefault="007B5BA3" w:rsidP="007B5BA3">
      <w:pPr>
        <w:pStyle w:val="Caption"/>
        <w:keepNext/>
      </w:pPr>
      <w:bookmarkStart w:id="307" w:name="_Ref144720104"/>
      <w:bookmarkStart w:id="308" w:name="_Toc144721402"/>
      <w:r>
        <w:t xml:space="preserve">Box </w:t>
      </w:r>
      <w:r>
        <w:fldChar w:fldCharType="begin"/>
      </w:r>
      <w:r>
        <w:instrText>SEQ Box \* ARABIC</w:instrText>
      </w:r>
      <w:r>
        <w:fldChar w:fldCharType="separate"/>
      </w:r>
      <w:r w:rsidR="009A7BD2">
        <w:rPr>
          <w:noProof/>
        </w:rPr>
        <w:t>7</w:t>
      </w:r>
      <w:r>
        <w:fldChar w:fldCharType="end"/>
      </w:r>
      <w:bookmarkEnd w:id="307"/>
      <w:r>
        <w:t xml:space="preserve">: </w:t>
      </w:r>
      <w:r w:rsidRPr="008343D7">
        <w:t xml:space="preserve">One Health and AMR data use: </w:t>
      </w:r>
      <w:r>
        <w:t>t</w:t>
      </w:r>
      <w:r w:rsidRPr="008343D7">
        <w:t>he case for considering informal approaches</w:t>
      </w:r>
      <w:bookmarkEnd w:id="308"/>
    </w:p>
    <w:tbl>
      <w:tblPr>
        <w:tblStyle w:val="Itadpulloutboxorange"/>
        <w:tblW w:w="0" w:type="auto"/>
        <w:tblLook w:val="04A0" w:firstRow="1" w:lastRow="0" w:firstColumn="1" w:lastColumn="0" w:noHBand="0" w:noVBand="1"/>
      </w:tblPr>
      <w:tblGrid>
        <w:gridCol w:w="9170"/>
      </w:tblGrid>
      <w:tr w:rsidR="00740EF4" w14:paraId="31A05610" w14:textId="77777777" w:rsidTr="007B5BA3">
        <w:trPr>
          <w:trHeight w:val="787"/>
        </w:trPr>
        <w:tc>
          <w:tcPr>
            <w:tcW w:w="9170" w:type="dxa"/>
          </w:tcPr>
          <w:p w14:paraId="044057C7" w14:textId="1B93E48B" w:rsidR="00740EF4" w:rsidRPr="008A5F96" w:rsidRDefault="00740EF4" w:rsidP="00F07824">
            <w:pPr>
              <w:pStyle w:val="FFBoxText"/>
              <w:rPr>
                <w:rFonts w:eastAsia="Yu Mincho"/>
              </w:rPr>
            </w:pPr>
            <w:bookmarkStart w:id="309" w:name="_Hlk136476917"/>
            <w:bookmarkStart w:id="310" w:name="_Hlk129335296"/>
            <w:bookmarkEnd w:id="306"/>
            <w:r w:rsidRPr="008A5F96">
              <w:rPr>
                <w:rFonts w:eastAsia="Yu Mincho"/>
              </w:rPr>
              <w:t xml:space="preserve">As discussed in </w:t>
            </w:r>
            <w:r w:rsidR="0049325A">
              <w:rPr>
                <w:rFonts w:eastAsia="Yu Mincho"/>
              </w:rPr>
              <w:t xml:space="preserve">Vol. II, </w:t>
            </w:r>
            <w:r w:rsidRPr="008A5F96">
              <w:rPr>
                <w:rFonts w:eastAsia="Yu Mincho"/>
              </w:rPr>
              <w:t>Annex 7, we found that One Health partnerships can assume different forms across different countries, including varying levels of formality. Often formal institutional partnerships can arise from informal networks. For example, in Indonesia, the Antimicrobial Resistance Control Committee under the Ministry of Health (KPRA) borrows its leadership from a professional network of AMR researchers.</w:t>
            </w:r>
          </w:p>
          <w:p w14:paraId="33742D35" w14:textId="13B37B85" w:rsidR="00740EF4" w:rsidRPr="008A5F96" w:rsidRDefault="00740EF4" w:rsidP="00F07824">
            <w:pPr>
              <w:pStyle w:val="FFBoxText"/>
              <w:rPr>
                <w:rFonts w:eastAsia="Yu Mincho"/>
              </w:rPr>
            </w:pPr>
            <w:r w:rsidRPr="008A5F96">
              <w:rPr>
                <w:rFonts w:eastAsia="Yu Mincho"/>
              </w:rPr>
              <w:t>Similarly, countries such as Bangladesh have been home to active professional networks around One Health, such as One Health Bangladesh, that are able to mobilise research as well as policy action.</w:t>
            </w:r>
          </w:p>
          <w:p w14:paraId="66F07408" w14:textId="0A384037" w:rsidR="00740EF4" w:rsidRPr="00B927F9" w:rsidRDefault="00740EF4" w:rsidP="00F07824">
            <w:pPr>
              <w:pStyle w:val="FFBoxText"/>
            </w:pPr>
            <w:r w:rsidRPr="008A5F96">
              <w:rPr>
                <w:rFonts w:eastAsia="Yu Mincho"/>
              </w:rPr>
              <w:t>On the other hand, countries with more formalised administrative cultures, such as Senegal, might find cross-sectoral institutional collaborations more difficult to convene because of the presence of strong bureaucracies with demarcated jurisdictions.</w:t>
            </w:r>
            <w:bookmarkEnd w:id="309"/>
            <w:r w:rsidRPr="008A5F96" w:rsidDel="007D2E99">
              <w:t xml:space="preserve"> </w:t>
            </w:r>
            <w:bookmarkEnd w:id="310"/>
          </w:p>
        </w:tc>
      </w:tr>
    </w:tbl>
    <w:p w14:paraId="253D1B40" w14:textId="4C57A7BE" w:rsidR="00C73151" w:rsidRPr="008343D7" w:rsidRDefault="00FF2998" w:rsidP="00B927F9">
      <w:pPr>
        <w:spacing w:before="240" w:after="120"/>
        <w:rPr>
          <w:rFonts w:eastAsia="Yu Mincho"/>
          <w:color w:val="3B3B3C"/>
        </w:rPr>
      </w:pPr>
      <w:bookmarkStart w:id="311" w:name="_Hlk129335798"/>
      <w:r w:rsidRPr="00E815AE">
        <w:rPr>
          <w:rFonts w:eastAsia="Yu Mincho"/>
          <w:color w:val="3B3B3C"/>
        </w:rPr>
        <w:t>As a result, the Fleming Fund has so far only made a limited contribution to advancing the prospects for sustainable country-owned data use.</w:t>
      </w:r>
      <w:r w:rsidRPr="008343D7">
        <w:rPr>
          <w:rFonts w:eastAsia="Yu Mincho"/>
          <w:b/>
          <w:bCs/>
          <w:color w:val="3B3B3C"/>
        </w:rPr>
        <w:t xml:space="preserve"> </w:t>
      </w:r>
      <w:r w:rsidRPr="008343D7">
        <w:rPr>
          <w:rFonts w:eastAsia="Yu Mincho"/>
          <w:color w:val="3B3B3C"/>
        </w:rPr>
        <w:t>In particular,</w:t>
      </w:r>
      <w:r w:rsidRPr="008343D7">
        <w:rPr>
          <w:rFonts w:eastAsia="Yu Mincho"/>
          <w:b/>
          <w:bCs/>
          <w:color w:val="3B3B3C"/>
        </w:rPr>
        <w:t xml:space="preserve"> </w:t>
      </w:r>
      <w:r w:rsidRPr="008343D7">
        <w:rPr>
          <w:rFonts w:eastAsia="Yu Mincho"/>
          <w:color w:val="3B3B3C"/>
        </w:rPr>
        <w:t xml:space="preserve">the Fleming Fund was unable to make much progress over </w:t>
      </w:r>
      <w:r w:rsidR="00222C91">
        <w:rPr>
          <w:rFonts w:eastAsia="Yu Mincho"/>
          <w:color w:val="3B3B3C"/>
        </w:rPr>
        <w:t>phase 1</w:t>
      </w:r>
      <w:r w:rsidRPr="008343D7">
        <w:rPr>
          <w:rFonts w:eastAsia="Yu Mincho"/>
          <w:color w:val="3B3B3C"/>
        </w:rPr>
        <w:t xml:space="preserve"> in the key dimension of resources for AMR surveillance (see section </w:t>
      </w:r>
      <w:r w:rsidR="00AC2686">
        <w:rPr>
          <w:rFonts w:eastAsia="Yu Mincho"/>
          <w:color w:val="3B3B3C"/>
        </w:rPr>
        <w:fldChar w:fldCharType="begin"/>
      </w:r>
      <w:r w:rsidR="00AC2686">
        <w:rPr>
          <w:rFonts w:eastAsia="Yu Mincho"/>
          <w:color w:val="3B3B3C"/>
        </w:rPr>
        <w:instrText xml:space="preserve"> REF _Ref129333571 \r \h </w:instrText>
      </w:r>
      <w:r w:rsidR="00AC2686">
        <w:rPr>
          <w:rFonts w:eastAsia="Yu Mincho"/>
          <w:color w:val="3B3B3C"/>
        </w:rPr>
      </w:r>
      <w:r w:rsidR="00AC2686">
        <w:rPr>
          <w:rFonts w:eastAsia="Yu Mincho"/>
          <w:color w:val="3B3B3C"/>
        </w:rPr>
        <w:fldChar w:fldCharType="separate"/>
      </w:r>
      <w:r w:rsidR="00AC2686">
        <w:rPr>
          <w:rFonts w:eastAsia="Yu Mincho"/>
          <w:color w:val="3B3B3C"/>
        </w:rPr>
        <w:t>2.</w:t>
      </w:r>
      <w:r w:rsidR="00AC2686">
        <w:rPr>
          <w:rFonts w:eastAsia="Yu Mincho"/>
          <w:color w:val="3B3B3C"/>
        </w:rPr>
        <w:fldChar w:fldCharType="end"/>
      </w:r>
      <w:r w:rsidR="00D77444">
        <w:rPr>
          <w:rFonts w:eastAsia="Yu Mincho"/>
          <w:color w:val="3B3B3C"/>
        </w:rPr>
        <w:t>3 on sustainability</w:t>
      </w:r>
      <w:r w:rsidRPr="008343D7">
        <w:rPr>
          <w:rFonts w:eastAsia="Yu Mincho"/>
          <w:color w:val="3B3B3C"/>
        </w:rPr>
        <w:t xml:space="preserve">). Increasing emphasis on use at </w:t>
      </w:r>
      <w:r w:rsidR="00307B02">
        <w:rPr>
          <w:rFonts w:eastAsia="Yu Mincho"/>
          <w:color w:val="3B3B3C"/>
        </w:rPr>
        <w:t xml:space="preserve">the </w:t>
      </w:r>
      <w:r w:rsidRPr="008343D7">
        <w:rPr>
          <w:rFonts w:eastAsia="Yu Mincho"/>
          <w:color w:val="3B3B3C"/>
        </w:rPr>
        <w:t>facility</w:t>
      </w:r>
      <w:r w:rsidR="00AC2686">
        <w:rPr>
          <w:rFonts w:eastAsia="Yu Mincho"/>
          <w:color w:val="3B3B3C"/>
        </w:rPr>
        <w:t xml:space="preserve"> </w:t>
      </w:r>
      <w:r w:rsidRPr="008343D7">
        <w:rPr>
          <w:rFonts w:eastAsia="Yu Mincho"/>
          <w:color w:val="3B3B3C"/>
        </w:rPr>
        <w:t xml:space="preserve">level (see </w:t>
      </w:r>
      <w:r w:rsidR="00CD0CA0">
        <w:rPr>
          <w:rFonts w:eastAsia="Yu Mincho"/>
          <w:color w:val="3B3B3C"/>
        </w:rPr>
        <w:t>above sub-</w:t>
      </w:r>
      <w:r w:rsidRPr="008343D7">
        <w:rPr>
          <w:rFonts w:eastAsia="Yu Mincho"/>
          <w:color w:val="3B3B3C"/>
        </w:rPr>
        <w:t xml:space="preserve">section </w:t>
      </w:r>
      <w:r w:rsidR="007B7B0A">
        <w:rPr>
          <w:rFonts w:eastAsia="Yu Mincho"/>
          <w:color w:val="3B3B3C"/>
        </w:rPr>
        <w:t xml:space="preserve">on </w:t>
      </w:r>
      <w:r w:rsidR="007B7B0A" w:rsidRPr="00CD0CA0">
        <w:rPr>
          <w:rFonts w:eastAsia="Yu Mincho"/>
          <w:i/>
          <w:iCs/>
          <w:color w:val="3B3B3C"/>
        </w:rPr>
        <w:t>‘data use: progress in data use at the facility level</w:t>
      </w:r>
      <w:r w:rsidR="00CD0CA0" w:rsidRPr="00CD0CA0">
        <w:rPr>
          <w:rFonts w:eastAsia="Yu Mincho"/>
          <w:i/>
          <w:iCs/>
          <w:color w:val="3B3B3C"/>
        </w:rPr>
        <w:t>’</w:t>
      </w:r>
      <w:r w:rsidRPr="008343D7">
        <w:rPr>
          <w:rFonts w:eastAsia="Yu Mincho"/>
          <w:color w:val="3B3B3C"/>
        </w:rPr>
        <w:t xml:space="preserve">) could offer alternative pathways to secure resources for AMR functions, for example circumventing national budget allocations and focusing instead on </w:t>
      </w:r>
      <w:r w:rsidR="00432299">
        <w:rPr>
          <w:rFonts w:eastAsia="Yu Mincho"/>
          <w:color w:val="3B3B3C"/>
        </w:rPr>
        <w:t xml:space="preserve">the </w:t>
      </w:r>
      <w:r w:rsidRPr="008343D7">
        <w:rPr>
          <w:rFonts w:eastAsia="Yu Mincho"/>
          <w:color w:val="3B3B3C"/>
        </w:rPr>
        <w:t>facility-level resource allocation decisions. But there are complications involved in mobilising any such solutions consistently at scale. The politics of local health system distribution in resource-constrained settings are notoriously challenging. The Fleming Fund</w:t>
      </w:r>
      <w:r w:rsidR="00AA6A7B">
        <w:rPr>
          <w:rFonts w:eastAsia="Yu Mincho"/>
          <w:color w:val="3B3B3C"/>
        </w:rPr>
        <w:t>’</w:t>
      </w:r>
      <w:r w:rsidRPr="008343D7">
        <w:rPr>
          <w:rFonts w:eastAsia="Yu Mincho"/>
          <w:color w:val="3B3B3C"/>
        </w:rPr>
        <w:t xml:space="preserve">s contribution </w:t>
      </w:r>
      <w:r w:rsidR="00AC2686">
        <w:rPr>
          <w:rFonts w:eastAsia="Yu Mincho"/>
          <w:color w:val="3B3B3C"/>
        </w:rPr>
        <w:t>to</w:t>
      </w:r>
      <w:r w:rsidR="00AC2686" w:rsidRPr="008343D7">
        <w:rPr>
          <w:rFonts w:eastAsia="Yu Mincho"/>
          <w:color w:val="3B3B3C"/>
        </w:rPr>
        <w:t xml:space="preserve"> </w:t>
      </w:r>
      <w:r w:rsidRPr="008343D7">
        <w:rPr>
          <w:rFonts w:eastAsia="Yu Mincho"/>
          <w:color w:val="3B3B3C"/>
        </w:rPr>
        <w:t>sustainability is likely to remain limited without significant improvement in terms of demand-led institutional partnership for AMR surveillance with genuine national government counterpart institutional prioritisation of the AMR agenda.</w:t>
      </w:r>
    </w:p>
    <w:p w14:paraId="69A9E906" w14:textId="77777777" w:rsidR="00FF2998" w:rsidRPr="008A5F96" w:rsidRDefault="00FF2998" w:rsidP="00627B0D">
      <w:pPr>
        <w:pStyle w:val="ItadH3"/>
        <w:widowControl w:val="0"/>
      </w:pPr>
      <w:bookmarkStart w:id="312" w:name="_Ref129120285"/>
      <w:bookmarkStart w:id="313" w:name="_Toc144049392"/>
      <w:bookmarkStart w:id="314" w:name="_Toc144715821"/>
      <w:bookmarkEnd w:id="311"/>
      <w:r w:rsidRPr="008A5F96">
        <w:t>Fleming Fund contribution to these drivers at the international level</w:t>
      </w:r>
      <w:bookmarkEnd w:id="312"/>
      <w:bookmarkEnd w:id="313"/>
      <w:bookmarkEnd w:id="314"/>
    </w:p>
    <w:p w14:paraId="365D714F" w14:textId="23BB284C" w:rsidR="00FF2998" w:rsidRPr="008343D7" w:rsidRDefault="003B4E3C" w:rsidP="00BF2272">
      <w:pPr>
        <w:pStyle w:val="ItadNormalText"/>
      </w:pPr>
      <w:bookmarkStart w:id="315" w:name="_Hlk136477179"/>
      <w:r w:rsidRPr="00C73151">
        <w:rPr>
          <w:b/>
          <w:bCs/>
        </w:rPr>
        <w:t>Finding 2.2.1</w:t>
      </w:r>
      <w:r w:rsidR="00245A1C" w:rsidRPr="00C73151">
        <w:rPr>
          <w:b/>
          <w:bCs/>
        </w:rPr>
        <w:t>1</w:t>
      </w:r>
      <w:r w:rsidRPr="00C73151">
        <w:rPr>
          <w:b/>
          <w:bCs/>
        </w:rPr>
        <w:t>: F</w:t>
      </w:r>
      <w:r w:rsidR="00AC2686" w:rsidRPr="00C73151">
        <w:rPr>
          <w:b/>
          <w:bCs/>
        </w:rPr>
        <w:t xml:space="preserve">or </w:t>
      </w:r>
      <w:r w:rsidR="00FF2998" w:rsidRPr="00C73151">
        <w:rPr>
          <w:b/>
          <w:bCs/>
        </w:rPr>
        <w:t>changes in reporting to GLASS, the Fleming Fund has contributed to most but not all key drivers of data sharing in all countries, albeit with less significance than Fleming Fund</w:t>
      </w:r>
      <w:r w:rsidR="00AA6A7B" w:rsidRPr="00C73151">
        <w:rPr>
          <w:b/>
          <w:bCs/>
        </w:rPr>
        <w:t>’</w:t>
      </w:r>
      <w:r w:rsidR="00FF2998" w:rsidRPr="00C73151">
        <w:rPr>
          <w:b/>
          <w:bCs/>
        </w:rPr>
        <w:t xml:space="preserve">s contribution to changes in data </w:t>
      </w:r>
      <w:r w:rsidR="00FF2998" w:rsidRPr="00BF2272">
        <w:rPr>
          <w:b/>
          <w:bCs/>
        </w:rPr>
        <w:t>availability</w:t>
      </w:r>
      <w:r w:rsidRPr="003B4E3C">
        <w:t xml:space="preserve"> </w:t>
      </w:r>
      <w:r w:rsidRPr="00BF2272">
        <w:t>(as shown in</w:t>
      </w:r>
      <w:r w:rsidR="00BF2272">
        <w:t xml:space="preserve"> </w:t>
      </w:r>
      <w:r w:rsidR="00BF2272">
        <w:fldChar w:fldCharType="begin"/>
      </w:r>
      <w:r w:rsidR="00BF2272">
        <w:instrText xml:space="preserve"> REF _Ref144104767 \h </w:instrText>
      </w:r>
      <w:r w:rsidR="00BF2272">
        <w:fldChar w:fldCharType="separate"/>
      </w:r>
      <w:r w:rsidR="00563B66">
        <w:t xml:space="preserve">Table </w:t>
      </w:r>
      <w:r w:rsidR="00563B66">
        <w:rPr>
          <w:noProof/>
        </w:rPr>
        <w:t>7</w:t>
      </w:r>
      <w:r w:rsidR="00BF2272">
        <w:fldChar w:fldCharType="end"/>
      </w:r>
      <w:r w:rsidRPr="00C73151">
        <w:t>)</w:t>
      </w:r>
      <w:r w:rsidR="00FF2998" w:rsidRPr="008343D7">
        <w:t xml:space="preserve">. </w:t>
      </w:r>
      <w:r w:rsidR="003E7253">
        <w:t xml:space="preserve">The </w:t>
      </w:r>
      <w:r w:rsidR="00FF2998" w:rsidRPr="008343D7">
        <w:t xml:space="preserve">Fleming Fund has </w:t>
      </w:r>
      <w:r w:rsidR="00BD2659">
        <w:t xml:space="preserve">made a </w:t>
      </w:r>
      <w:r w:rsidR="00FF2998" w:rsidRPr="008343D7">
        <w:t xml:space="preserve">more significant </w:t>
      </w:r>
      <w:r w:rsidR="00BD2659">
        <w:t xml:space="preserve">contribution to progress </w:t>
      </w:r>
      <w:r w:rsidR="00FF2998" w:rsidRPr="008343D7">
        <w:t xml:space="preserve">in countries that </w:t>
      </w:r>
      <w:r w:rsidR="00BD2659">
        <w:t xml:space="preserve">reported </w:t>
      </w:r>
      <w:r w:rsidR="00FF2998" w:rsidRPr="008343D7">
        <w:t>some change</w:t>
      </w:r>
      <w:r w:rsidR="00BD2659">
        <w:t>,</w:t>
      </w:r>
      <w:r w:rsidR="00FF2998" w:rsidRPr="008343D7">
        <w:t xml:space="preserve"> and </w:t>
      </w:r>
      <w:r w:rsidR="00BD2659">
        <w:t xml:space="preserve">less </w:t>
      </w:r>
      <w:r w:rsidR="00FF2998" w:rsidRPr="008343D7">
        <w:t xml:space="preserve">in countries </w:t>
      </w:r>
      <w:r w:rsidR="00BD2659">
        <w:t xml:space="preserve">where </w:t>
      </w:r>
      <w:r w:rsidR="00FF2998" w:rsidRPr="008343D7">
        <w:t>limited or no change</w:t>
      </w:r>
      <w:r w:rsidR="00BD2659">
        <w:t xml:space="preserve"> has been reported so far. It also appears that </w:t>
      </w:r>
      <w:r w:rsidR="003E7253">
        <w:t>the</w:t>
      </w:r>
      <w:r w:rsidR="00FF2998" w:rsidRPr="008343D7">
        <w:t xml:space="preserve"> Fleming Fund</w:t>
      </w:r>
      <w:r w:rsidR="00AA6A7B">
        <w:t>’</w:t>
      </w:r>
      <w:r w:rsidR="00307B02">
        <w:t>s</w:t>
      </w:r>
      <w:r w:rsidR="00FF2998" w:rsidRPr="008343D7">
        <w:t xml:space="preserve"> contribution </w:t>
      </w:r>
      <w:r w:rsidR="00BD2659">
        <w:t xml:space="preserve">to international data sharing </w:t>
      </w:r>
      <w:r w:rsidR="00FF2998" w:rsidRPr="008343D7">
        <w:t xml:space="preserve">has been less </w:t>
      </w:r>
      <w:r w:rsidR="00BD2659">
        <w:t xml:space="preserve">significant </w:t>
      </w:r>
      <w:r w:rsidR="00FF2998" w:rsidRPr="008343D7">
        <w:t xml:space="preserve">than </w:t>
      </w:r>
      <w:r w:rsidR="00BD2659">
        <w:t xml:space="preserve">its contribution to increasing </w:t>
      </w:r>
      <w:r w:rsidR="00307B02">
        <w:t xml:space="preserve">the </w:t>
      </w:r>
      <w:r w:rsidR="00FF2998" w:rsidRPr="008343D7">
        <w:t xml:space="preserve">quantity and quality of </w:t>
      </w:r>
      <w:r w:rsidR="00BD2659">
        <w:t xml:space="preserve">AMR </w:t>
      </w:r>
      <w:r w:rsidR="00FF2998" w:rsidRPr="008343D7">
        <w:t>data.</w:t>
      </w:r>
      <w:r w:rsidR="00FF2998" w:rsidRPr="008343D7">
        <w:rPr>
          <w:sz w:val="20"/>
          <w:szCs w:val="20"/>
          <w:vertAlign w:val="superscript"/>
        </w:rPr>
        <w:footnoteReference w:id="125"/>
      </w:r>
      <w:r w:rsidR="00FF2998" w:rsidRPr="008343D7" w:rsidDel="007D2E99">
        <w:t xml:space="preserve"> </w:t>
      </w:r>
      <w:r w:rsidR="00FF2998" w:rsidRPr="008343D7">
        <w:t>Nonetheless, the Fleming Fund has made a vital or important contribution to data supply in</w:t>
      </w:r>
      <w:r w:rsidR="00FF2998" w:rsidRPr="008343D7" w:rsidDel="00DD0D95">
        <w:t xml:space="preserve"> </w:t>
      </w:r>
      <w:r w:rsidR="00FF2998" w:rsidRPr="008343D7">
        <w:t>nine out of 16 countries (56%)</w:t>
      </w:r>
      <w:r w:rsidR="00AC2686">
        <w:t>.</w:t>
      </w:r>
      <w:r w:rsidR="00FF2998" w:rsidRPr="008343D7">
        <w:rPr>
          <w:sz w:val="20"/>
          <w:szCs w:val="20"/>
          <w:vertAlign w:val="superscript"/>
        </w:rPr>
        <w:footnoteReference w:id="126"/>
      </w:r>
    </w:p>
    <w:p w14:paraId="39D0AD48" w14:textId="349105AD" w:rsidR="00FF2998" w:rsidRDefault="003B4E3C" w:rsidP="00C73151">
      <w:pPr>
        <w:pStyle w:val="ItadNormalText"/>
      </w:pPr>
      <w:r w:rsidRPr="00C73151">
        <w:rPr>
          <w:b/>
          <w:bCs/>
        </w:rPr>
        <w:t>Finding 2.2.1</w:t>
      </w:r>
      <w:r w:rsidR="00245A1C" w:rsidRPr="00C73151">
        <w:rPr>
          <w:b/>
          <w:bCs/>
        </w:rPr>
        <w:t>2</w:t>
      </w:r>
      <w:r w:rsidRPr="00C73151">
        <w:rPr>
          <w:b/>
          <w:bCs/>
        </w:rPr>
        <w:t xml:space="preserve">: </w:t>
      </w:r>
      <w:r w:rsidR="00FF2998" w:rsidRPr="00C73151">
        <w:rPr>
          <w:b/>
          <w:bCs/>
        </w:rPr>
        <w:t xml:space="preserve">For reporting to WOAH, the Fleming Fund has contributed to some drivers of data sharing in some countries, with the limited contribution understandable given that this was not an area of focus for </w:t>
      </w:r>
      <w:r w:rsidR="00222C91" w:rsidRPr="00C73151">
        <w:rPr>
          <w:b/>
          <w:bCs/>
        </w:rPr>
        <w:t>phase 1</w:t>
      </w:r>
      <w:r w:rsidR="00FF2998" w:rsidRPr="00C73151">
        <w:rPr>
          <w:b/>
          <w:bCs/>
        </w:rPr>
        <w:t>.</w:t>
      </w:r>
      <w:r w:rsidR="00FF2998" w:rsidRPr="008343D7">
        <w:t xml:space="preserve"> The Fleming Fund appears to have made a vital or important contribution to data sharing processes and systems for AMU reporting (as a driver of reporting to WOAH) in at least eight out of 16 countries (50%) and to the availability of more and better AMU AH data in six of the 16 </w:t>
      </w:r>
      <w:r w:rsidR="00D51EA7" w:rsidRPr="00C73151">
        <w:rPr>
          <w:rFonts w:eastAsia="Calibri"/>
          <w:b/>
          <w:bCs/>
          <w:noProof/>
          <w:lang w:eastAsia="en-GB"/>
        </w:rPr>
        <mc:AlternateContent>
          <mc:Choice Requires="wps">
            <w:drawing>
              <wp:anchor distT="45720" distB="45720" distL="114300" distR="114300" simplePos="0" relativeHeight="251658249" behindDoc="0" locked="0" layoutInCell="1" allowOverlap="1" wp14:anchorId="5E8E94AC" wp14:editId="7A15611C">
                <wp:simplePos x="0" y="0"/>
                <wp:positionH relativeFrom="margin">
                  <wp:align>left</wp:align>
                </wp:positionH>
                <wp:positionV relativeFrom="paragraph">
                  <wp:posOffset>468630</wp:posOffset>
                </wp:positionV>
                <wp:extent cx="5791200" cy="2457450"/>
                <wp:effectExtent l="0" t="0" r="19050" b="19050"/>
                <wp:wrapSquare wrapText="bothSides"/>
                <wp:docPr id="62761672" name="Text Box 62761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2457450"/>
                        </a:xfrm>
                        <a:prstGeom prst="rect">
                          <a:avLst/>
                        </a:prstGeom>
                        <a:solidFill>
                          <a:srgbClr val="588B46">
                            <a:lumMod val="20000"/>
                            <a:lumOff val="80000"/>
                          </a:srgbClr>
                        </a:solidFill>
                        <a:ln w="9525">
                          <a:solidFill>
                            <a:srgbClr val="588B46">
                              <a:lumMod val="20000"/>
                              <a:lumOff val="80000"/>
                            </a:srgbClr>
                          </a:solidFill>
                          <a:miter lim="800000"/>
                          <a:headEnd/>
                          <a:tailEnd/>
                        </a:ln>
                      </wps:spPr>
                      <wps:txbx>
                        <w:txbxContent>
                          <w:p w14:paraId="4DE3EC35" w14:textId="70E37E6A" w:rsidR="00FF2998" w:rsidRPr="008A5F96" w:rsidRDefault="00FF2998" w:rsidP="00FF2998">
                            <w:pPr>
                              <w:shd w:val="clear" w:color="auto" w:fill="DCEAD6"/>
                              <w:rPr>
                                <w:b/>
                                <w:bCs/>
                                <w:color w:val="3B3B3C"/>
                                <w:sz w:val="21"/>
                                <w:szCs w:val="21"/>
                              </w:rPr>
                            </w:pPr>
                            <w:r w:rsidRPr="008A5F96">
                              <w:rPr>
                                <w:b/>
                                <w:bCs/>
                                <w:color w:val="3B3B3C"/>
                                <w:sz w:val="21"/>
                                <w:szCs w:val="21"/>
                              </w:rPr>
                              <w:t>Examples of the Fleming Fund</w:t>
                            </w:r>
                            <w:r w:rsidR="00AA6A7B">
                              <w:rPr>
                                <w:b/>
                                <w:bCs/>
                                <w:color w:val="3B3B3C"/>
                                <w:sz w:val="21"/>
                                <w:szCs w:val="21"/>
                              </w:rPr>
                              <w:t>’</w:t>
                            </w:r>
                            <w:r w:rsidRPr="008A5F96">
                              <w:rPr>
                                <w:b/>
                                <w:bCs/>
                                <w:color w:val="3B3B3C"/>
                                <w:sz w:val="21"/>
                                <w:szCs w:val="21"/>
                              </w:rPr>
                              <w:t>s contribution to international-level use</w:t>
                            </w:r>
                          </w:p>
                          <w:p w14:paraId="3BE99BEC" w14:textId="77777777" w:rsidR="00FF2998" w:rsidRPr="008A5F96" w:rsidRDefault="00FF2998" w:rsidP="00FF2998">
                            <w:pPr>
                              <w:shd w:val="clear" w:color="auto" w:fill="DCEAD6"/>
                              <w:spacing w:after="120"/>
                              <w:rPr>
                                <w:color w:val="3B3B3C"/>
                                <w:sz w:val="21"/>
                                <w:szCs w:val="21"/>
                              </w:rPr>
                            </w:pPr>
                            <w:r w:rsidRPr="008A5F96">
                              <w:rPr>
                                <w:b/>
                                <w:bCs/>
                                <w:color w:val="3B3B3C"/>
                                <w:sz w:val="21"/>
                                <w:szCs w:val="21"/>
                              </w:rPr>
                              <w:t>Fellowships:</w:t>
                            </w:r>
                            <w:r w:rsidRPr="008A5F96">
                              <w:rPr>
                                <w:color w:val="3B3B3C"/>
                                <w:sz w:val="21"/>
                                <w:szCs w:val="21"/>
                              </w:rPr>
                              <w:t xml:space="preserve"> All countries had Fellowships focused on AMC/U. In some countries</w:t>
                            </w:r>
                            <w:r w:rsidR="00307B02">
                              <w:rPr>
                                <w:color w:val="3B3B3C"/>
                                <w:sz w:val="21"/>
                                <w:szCs w:val="21"/>
                              </w:rPr>
                              <w:t>,</w:t>
                            </w:r>
                            <w:r w:rsidRPr="008A5F96">
                              <w:rPr>
                                <w:color w:val="3B3B3C"/>
                                <w:sz w:val="21"/>
                                <w:szCs w:val="21"/>
                              </w:rPr>
                              <w:t xml:space="preserve"> Fellows were able to support efforts to ensure </w:t>
                            </w:r>
                            <w:r w:rsidR="00307B02">
                              <w:rPr>
                                <w:color w:val="3B3B3C"/>
                                <w:sz w:val="21"/>
                                <w:szCs w:val="21"/>
                              </w:rPr>
                              <w:t xml:space="preserve">the </w:t>
                            </w:r>
                            <w:r w:rsidRPr="008A5F96">
                              <w:rPr>
                                <w:color w:val="3B3B3C"/>
                                <w:sz w:val="21"/>
                                <w:szCs w:val="21"/>
                              </w:rPr>
                              <w:t xml:space="preserve">availability and analysis of relevant data for reporting to WOAH, e.g. in Zambia. </w:t>
                            </w:r>
                          </w:p>
                          <w:p w14:paraId="0C0F9171" w14:textId="77777777" w:rsidR="00FF2998" w:rsidRPr="008A5F96" w:rsidRDefault="00FF2998" w:rsidP="00FF2998">
                            <w:pPr>
                              <w:shd w:val="clear" w:color="auto" w:fill="DCEAD6"/>
                              <w:rPr>
                                <w:color w:val="3B3B3C"/>
                                <w:sz w:val="21"/>
                                <w:szCs w:val="21"/>
                              </w:rPr>
                            </w:pPr>
                            <w:r w:rsidRPr="008A5F96">
                              <w:rPr>
                                <w:b/>
                                <w:bCs/>
                                <w:color w:val="3B3B3C"/>
                                <w:sz w:val="21"/>
                                <w:szCs w:val="21"/>
                              </w:rPr>
                              <w:t>Regional Grants</w:t>
                            </w:r>
                            <w:r w:rsidRPr="008A5F96">
                              <w:rPr>
                                <w:color w:val="3B3B3C"/>
                                <w:sz w:val="21"/>
                                <w:szCs w:val="21"/>
                              </w:rPr>
                              <w:t xml:space="preserve"> on retrospective data collection (CAPTURA and MAAP) were intended to contribute to use through: </w:t>
                            </w:r>
                          </w:p>
                          <w:p w14:paraId="4C4B5452" w14:textId="77777777" w:rsidR="00FF2998" w:rsidRPr="008A5F96" w:rsidRDefault="00FF2998" w:rsidP="00FF2998">
                            <w:pPr>
                              <w:pStyle w:val="ListParagraph"/>
                              <w:numPr>
                                <w:ilvl w:val="0"/>
                                <w:numId w:val="24"/>
                              </w:numPr>
                              <w:shd w:val="clear" w:color="auto" w:fill="DCEAD6"/>
                              <w:rPr>
                                <w:color w:val="3B3B3C"/>
                                <w:sz w:val="21"/>
                                <w:szCs w:val="21"/>
                              </w:rPr>
                            </w:pPr>
                            <w:r w:rsidRPr="008A5F96">
                              <w:rPr>
                                <w:color w:val="3B3B3C"/>
                                <w:sz w:val="21"/>
                                <w:szCs w:val="21"/>
                              </w:rPr>
                              <w:t xml:space="preserve">ensuring dissemination of data </w:t>
                            </w:r>
                          </w:p>
                          <w:p w14:paraId="00EEB771" w14:textId="77777777" w:rsidR="00FF2998" w:rsidRPr="008A5F96" w:rsidRDefault="00FF2998" w:rsidP="00FF2998">
                            <w:pPr>
                              <w:pStyle w:val="ListParagraph"/>
                              <w:numPr>
                                <w:ilvl w:val="0"/>
                                <w:numId w:val="24"/>
                              </w:numPr>
                              <w:shd w:val="clear" w:color="auto" w:fill="DCEAD6"/>
                              <w:rPr>
                                <w:color w:val="3B3B3C"/>
                                <w:sz w:val="21"/>
                                <w:szCs w:val="21"/>
                              </w:rPr>
                            </w:pPr>
                            <w:r w:rsidRPr="008A5F96">
                              <w:rPr>
                                <w:color w:val="3B3B3C"/>
                                <w:sz w:val="21"/>
                                <w:szCs w:val="21"/>
                              </w:rPr>
                              <w:t xml:space="preserve">improving local capacity to collect and use data </w:t>
                            </w:r>
                          </w:p>
                          <w:p w14:paraId="610021DF" w14:textId="77777777" w:rsidR="00FF2998" w:rsidRPr="008A5F96" w:rsidRDefault="00FF2998" w:rsidP="00FF2998">
                            <w:pPr>
                              <w:pStyle w:val="ListParagraph"/>
                              <w:numPr>
                                <w:ilvl w:val="0"/>
                                <w:numId w:val="24"/>
                              </w:numPr>
                              <w:shd w:val="clear" w:color="auto" w:fill="DCEAD6"/>
                              <w:spacing w:after="120"/>
                              <w:ind w:left="357" w:hanging="357"/>
                              <w:contextualSpacing w:val="0"/>
                              <w:rPr>
                                <w:color w:val="3B3B3C"/>
                                <w:sz w:val="21"/>
                                <w:szCs w:val="21"/>
                              </w:rPr>
                            </w:pPr>
                            <w:r w:rsidRPr="008A5F96">
                              <w:rPr>
                                <w:color w:val="3B3B3C"/>
                                <w:sz w:val="21"/>
                                <w:szCs w:val="21"/>
                              </w:rPr>
                              <w:t>improving awareness, advocacy and policy.</w:t>
                            </w:r>
                          </w:p>
                          <w:p w14:paraId="5D204E37" w14:textId="77777777" w:rsidR="00FF2998" w:rsidRPr="008A5F96" w:rsidRDefault="00FF2998" w:rsidP="00FF2998">
                            <w:pPr>
                              <w:shd w:val="clear" w:color="auto" w:fill="DCEAD6"/>
                              <w:rPr>
                                <w:color w:val="3B3B3C"/>
                                <w:sz w:val="21"/>
                                <w:szCs w:val="21"/>
                              </w:rPr>
                            </w:pPr>
                            <w:r w:rsidRPr="008A5F96">
                              <w:rPr>
                                <w:color w:val="3B3B3C"/>
                                <w:sz w:val="21"/>
                                <w:szCs w:val="21"/>
                              </w:rPr>
                              <w:t>The RADAAR grant was expected to:</w:t>
                            </w:r>
                          </w:p>
                          <w:p w14:paraId="3B656FFE" w14:textId="77777777" w:rsidR="00FF2998" w:rsidRPr="008A5F96" w:rsidRDefault="00FF2998" w:rsidP="00FF2998">
                            <w:pPr>
                              <w:pStyle w:val="ListParagraph"/>
                              <w:numPr>
                                <w:ilvl w:val="0"/>
                                <w:numId w:val="24"/>
                              </w:numPr>
                              <w:shd w:val="clear" w:color="auto" w:fill="DCEAD6"/>
                              <w:rPr>
                                <w:color w:val="3B3B3C"/>
                                <w:sz w:val="21"/>
                                <w:szCs w:val="21"/>
                              </w:rPr>
                            </w:pPr>
                            <w:r w:rsidRPr="008A5F96">
                              <w:rPr>
                                <w:color w:val="3B3B3C"/>
                                <w:sz w:val="21"/>
                                <w:szCs w:val="21"/>
                              </w:rPr>
                              <w:t xml:space="preserve">identify bottlenecks around data sharing for regional analysis </w:t>
                            </w:r>
                          </w:p>
                          <w:p w14:paraId="3D863F36" w14:textId="77777777" w:rsidR="00FF2998" w:rsidRPr="008A5F96" w:rsidRDefault="00FF2998" w:rsidP="00FF2998">
                            <w:pPr>
                              <w:pStyle w:val="ListParagraph"/>
                              <w:numPr>
                                <w:ilvl w:val="0"/>
                                <w:numId w:val="24"/>
                              </w:numPr>
                              <w:shd w:val="clear" w:color="auto" w:fill="DCEAD6"/>
                              <w:spacing w:after="120"/>
                              <w:rPr>
                                <w:color w:val="3B3B3C"/>
                              </w:rPr>
                            </w:pPr>
                            <w:r w:rsidRPr="008A5F96">
                              <w:rPr>
                                <w:color w:val="3B3B3C"/>
                                <w:sz w:val="21"/>
                                <w:szCs w:val="21"/>
                              </w:rPr>
                              <w:t>develop plans to improve data sharing and analysis, increase the demand for data and promote uptake of regional policy analysis.</w:t>
                            </w:r>
                          </w:p>
                          <w:p w14:paraId="141B7CB8" w14:textId="62D194B5" w:rsidR="00FF2998" w:rsidRPr="00D51EA7" w:rsidRDefault="00FF2998" w:rsidP="00D51EA7">
                            <w:pPr>
                              <w:shd w:val="clear" w:color="auto" w:fill="DCEAD6"/>
                              <w:spacing w:after="120"/>
                              <w:rPr>
                                <w:color w:val="3B3B3C"/>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8E94AC" id="Text Box 62761672" o:spid="_x0000_s1035" type="#_x0000_t202" style="position:absolute;margin-left:0;margin-top:36.9pt;width:456pt;height:193.5pt;z-index:25165824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" fillcolor="#dcebd7" strokecolor="#dcebd7">
                <v:textbox>
                  <w:txbxContent>
                    <w:p w14:paraId="4DE3EC35" w14:textId="70E37E6A" w:rsidR="00FF2998" w:rsidRPr="008A5F96" w:rsidRDefault="00FF2998" w:rsidP="00FF2998">
                      <w:pPr>
                        <w:shd w:val="clear" w:color="auto" w:fill="DCEAD6"/>
                        <w:rPr>
                          <w:b/>
                          <w:bCs/>
                          <w:color w:val="3B3B3C"/>
                          <w:sz w:val="21"/>
                          <w:szCs w:val="21"/>
                        </w:rPr>
                      </w:pPr>
                      <w:r w:rsidRPr="008A5F96">
                        <w:rPr>
                          <w:b/>
                          <w:bCs/>
                          <w:color w:val="3B3B3C"/>
                          <w:sz w:val="21"/>
                          <w:szCs w:val="21"/>
                        </w:rPr>
                        <w:t>Examples of the Fleming Fund</w:t>
                      </w:r>
                      <w:r w:rsidR="00AA6A7B">
                        <w:rPr>
                          <w:b/>
                          <w:bCs/>
                          <w:color w:val="3B3B3C"/>
                          <w:sz w:val="21"/>
                          <w:szCs w:val="21"/>
                        </w:rPr>
                        <w:t>’</w:t>
                      </w:r>
                      <w:r w:rsidRPr="008A5F96">
                        <w:rPr>
                          <w:b/>
                          <w:bCs/>
                          <w:color w:val="3B3B3C"/>
                          <w:sz w:val="21"/>
                          <w:szCs w:val="21"/>
                        </w:rPr>
                        <w:t>s contribution to international-level use</w:t>
                      </w:r>
                    </w:p>
                    <w:p w14:paraId="3BE99BEC" w14:textId="77777777" w:rsidR="00FF2998" w:rsidRPr="008A5F96" w:rsidRDefault="00FF2998" w:rsidP="00FF2998">
                      <w:pPr>
                        <w:shd w:val="clear" w:color="auto" w:fill="DCEAD6"/>
                        <w:spacing w:after="120"/>
                        <w:rPr>
                          <w:color w:val="3B3B3C"/>
                          <w:sz w:val="21"/>
                          <w:szCs w:val="21"/>
                        </w:rPr>
                      </w:pPr>
                      <w:r w:rsidRPr="008A5F96">
                        <w:rPr>
                          <w:b/>
                          <w:bCs/>
                          <w:color w:val="3B3B3C"/>
                          <w:sz w:val="21"/>
                          <w:szCs w:val="21"/>
                        </w:rPr>
                        <w:t>Fellowships:</w:t>
                      </w:r>
                      <w:r w:rsidRPr="008A5F96">
                        <w:rPr>
                          <w:color w:val="3B3B3C"/>
                          <w:sz w:val="21"/>
                          <w:szCs w:val="21"/>
                        </w:rPr>
                        <w:t xml:space="preserve"> All countries had Fellowships focused on AMC/U. In some countries</w:t>
                      </w:r>
                      <w:r w:rsidR="00307B02">
                        <w:rPr>
                          <w:color w:val="3B3B3C"/>
                          <w:sz w:val="21"/>
                          <w:szCs w:val="21"/>
                        </w:rPr>
                        <w:t>,</w:t>
                      </w:r>
                      <w:r w:rsidRPr="008A5F96">
                        <w:rPr>
                          <w:color w:val="3B3B3C"/>
                          <w:sz w:val="21"/>
                          <w:szCs w:val="21"/>
                        </w:rPr>
                        <w:t xml:space="preserve"> Fellows were able to support efforts to ensure </w:t>
                      </w:r>
                      <w:r w:rsidR="00307B02">
                        <w:rPr>
                          <w:color w:val="3B3B3C"/>
                          <w:sz w:val="21"/>
                          <w:szCs w:val="21"/>
                        </w:rPr>
                        <w:t xml:space="preserve">the </w:t>
                      </w:r>
                      <w:r w:rsidRPr="008A5F96">
                        <w:rPr>
                          <w:color w:val="3B3B3C"/>
                          <w:sz w:val="21"/>
                          <w:szCs w:val="21"/>
                        </w:rPr>
                        <w:t xml:space="preserve">availability and analysis of relevant data for reporting to WOAH, e.g. in Zambia. </w:t>
                      </w:r>
                    </w:p>
                    <w:p w14:paraId="0C0F9171" w14:textId="77777777" w:rsidR="00FF2998" w:rsidRPr="008A5F96" w:rsidRDefault="00FF2998" w:rsidP="00FF2998">
                      <w:pPr>
                        <w:shd w:val="clear" w:color="auto" w:fill="DCEAD6"/>
                        <w:rPr>
                          <w:color w:val="3B3B3C"/>
                          <w:sz w:val="21"/>
                          <w:szCs w:val="21"/>
                        </w:rPr>
                      </w:pPr>
                      <w:r w:rsidRPr="008A5F96">
                        <w:rPr>
                          <w:b/>
                          <w:bCs/>
                          <w:color w:val="3B3B3C"/>
                          <w:sz w:val="21"/>
                          <w:szCs w:val="21"/>
                        </w:rPr>
                        <w:t>Regional Grants</w:t>
                      </w:r>
                      <w:r w:rsidRPr="008A5F96">
                        <w:rPr>
                          <w:color w:val="3B3B3C"/>
                          <w:sz w:val="21"/>
                          <w:szCs w:val="21"/>
                        </w:rPr>
                        <w:t xml:space="preserve"> on retrospective data collection (CAPTURA and MAAP) were intended to contribute to use through: </w:t>
                      </w:r>
                    </w:p>
                    <w:p w14:paraId="4C4B5452" w14:textId="77777777" w:rsidR="00FF2998" w:rsidRPr="008A5F96" w:rsidRDefault="00FF2998" w:rsidP="00FF2998">
                      <w:pPr>
                        <w:pStyle w:val="ListParagraph"/>
                        <w:numPr>
                          <w:ilvl w:val="0"/>
                          <w:numId w:val="24"/>
                        </w:numPr>
                        <w:shd w:val="clear" w:color="auto" w:fill="DCEAD6"/>
                        <w:rPr>
                          <w:color w:val="3B3B3C"/>
                          <w:sz w:val="21"/>
                          <w:szCs w:val="21"/>
                        </w:rPr>
                      </w:pPr>
                      <w:r w:rsidRPr="008A5F96">
                        <w:rPr>
                          <w:color w:val="3B3B3C"/>
                          <w:sz w:val="21"/>
                          <w:szCs w:val="21"/>
                        </w:rPr>
                        <w:t xml:space="preserve">ensuring dissemination of data </w:t>
                      </w:r>
                    </w:p>
                    <w:p w14:paraId="00EEB771" w14:textId="77777777" w:rsidR="00FF2998" w:rsidRPr="008A5F96" w:rsidRDefault="00FF2998" w:rsidP="00FF2998">
                      <w:pPr>
                        <w:pStyle w:val="ListParagraph"/>
                        <w:numPr>
                          <w:ilvl w:val="0"/>
                          <w:numId w:val="24"/>
                        </w:numPr>
                        <w:shd w:val="clear" w:color="auto" w:fill="DCEAD6"/>
                        <w:rPr>
                          <w:color w:val="3B3B3C"/>
                          <w:sz w:val="21"/>
                          <w:szCs w:val="21"/>
                        </w:rPr>
                      </w:pPr>
                      <w:r w:rsidRPr="008A5F96">
                        <w:rPr>
                          <w:color w:val="3B3B3C"/>
                          <w:sz w:val="21"/>
                          <w:szCs w:val="21"/>
                        </w:rPr>
                        <w:t xml:space="preserve">improving local capacity to collect and use data </w:t>
                      </w:r>
                    </w:p>
                    <w:p w14:paraId="610021DF" w14:textId="77777777" w:rsidR="00FF2998" w:rsidRPr="008A5F96" w:rsidRDefault="00FF2998" w:rsidP="00FF2998">
                      <w:pPr>
                        <w:pStyle w:val="ListParagraph"/>
                        <w:numPr>
                          <w:ilvl w:val="0"/>
                          <w:numId w:val="24"/>
                        </w:numPr>
                        <w:shd w:val="clear" w:color="auto" w:fill="DCEAD6"/>
                        <w:spacing w:after="120"/>
                        <w:ind w:left="357" w:hanging="357"/>
                        <w:contextualSpacing w:val="0"/>
                        <w:rPr>
                          <w:color w:val="3B3B3C"/>
                          <w:sz w:val="21"/>
                          <w:szCs w:val="21"/>
                        </w:rPr>
                      </w:pPr>
                      <w:r w:rsidRPr="008A5F96">
                        <w:rPr>
                          <w:color w:val="3B3B3C"/>
                          <w:sz w:val="21"/>
                          <w:szCs w:val="21"/>
                        </w:rPr>
                        <w:t>improving awareness, advocacy and policy.</w:t>
                      </w:r>
                    </w:p>
                    <w:p w14:paraId="5D204E37" w14:textId="77777777" w:rsidR="00FF2998" w:rsidRPr="008A5F96" w:rsidRDefault="00FF2998" w:rsidP="00FF2998">
                      <w:pPr>
                        <w:shd w:val="clear" w:color="auto" w:fill="DCEAD6"/>
                        <w:rPr>
                          <w:color w:val="3B3B3C"/>
                          <w:sz w:val="21"/>
                          <w:szCs w:val="21"/>
                        </w:rPr>
                      </w:pPr>
                      <w:r w:rsidRPr="008A5F96">
                        <w:rPr>
                          <w:color w:val="3B3B3C"/>
                          <w:sz w:val="21"/>
                          <w:szCs w:val="21"/>
                        </w:rPr>
                        <w:t>The RADAAR grant was expected to:</w:t>
                      </w:r>
                    </w:p>
                    <w:p w14:paraId="3B656FFE" w14:textId="77777777" w:rsidR="00FF2998" w:rsidRPr="008A5F96" w:rsidRDefault="00FF2998" w:rsidP="00FF2998">
                      <w:pPr>
                        <w:pStyle w:val="ListParagraph"/>
                        <w:numPr>
                          <w:ilvl w:val="0"/>
                          <w:numId w:val="24"/>
                        </w:numPr>
                        <w:shd w:val="clear" w:color="auto" w:fill="DCEAD6"/>
                        <w:rPr>
                          <w:color w:val="3B3B3C"/>
                          <w:sz w:val="21"/>
                          <w:szCs w:val="21"/>
                        </w:rPr>
                      </w:pPr>
                      <w:r w:rsidRPr="008A5F96">
                        <w:rPr>
                          <w:color w:val="3B3B3C"/>
                          <w:sz w:val="21"/>
                          <w:szCs w:val="21"/>
                        </w:rPr>
                        <w:t xml:space="preserve">identify bottlenecks around data sharing for regional analysis </w:t>
                      </w:r>
                    </w:p>
                    <w:p w14:paraId="3D863F36" w14:textId="77777777" w:rsidR="00FF2998" w:rsidRPr="008A5F96" w:rsidRDefault="00FF2998" w:rsidP="00FF2998">
                      <w:pPr>
                        <w:pStyle w:val="ListParagraph"/>
                        <w:numPr>
                          <w:ilvl w:val="0"/>
                          <w:numId w:val="24"/>
                        </w:numPr>
                        <w:shd w:val="clear" w:color="auto" w:fill="DCEAD6"/>
                        <w:spacing w:after="120"/>
                        <w:rPr>
                          <w:color w:val="3B3B3C"/>
                        </w:rPr>
                      </w:pPr>
                      <w:r w:rsidRPr="008A5F96">
                        <w:rPr>
                          <w:color w:val="3B3B3C"/>
                          <w:sz w:val="21"/>
                          <w:szCs w:val="21"/>
                        </w:rPr>
                        <w:t>develop plans to improve data sharing and analysis, increase the demand for data and promote uptake of regional policy analysis.</w:t>
                      </w:r>
                    </w:p>
                    <w:p w14:paraId="141B7CB8" w14:textId="62D194B5" w:rsidR="00FF2998" w:rsidRPr="00D51EA7" w:rsidRDefault="00FF2998" w:rsidP="00D51EA7">
                      <w:pPr>
                        <w:shd w:val="clear" w:color="auto" w:fill="DCEAD6"/>
                        <w:spacing w:after="120"/>
                        <w:rPr>
                          <w:color w:val="3B3B3C"/>
                        </w:rPr>
                      </w:pPr>
                    </w:p>
                  </w:txbxContent>
                </v:textbox>
                <w10:wrap type="square" anchorx="margin"/>
              </v:shape>
            </w:pict>
          </mc:Fallback>
        </mc:AlternateContent>
      </w:r>
      <w:r w:rsidR="00FF2998" w:rsidRPr="008343D7">
        <w:t>countries (37.5%) all of which have shown some positive change in reporting to WOAH.</w:t>
      </w:r>
    </w:p>
    <w:p w14:paraId="6604D41F" w14:textId="4314E718" w:rsidR="00627B0D" w:rsidRDefault="00627B0D" w:rsidP="00FF6C94">
      <w:pPr>
        <w:pStyle w:val="ItadCaption"/>
      </w:pPr>
      <w:bookmarkStart w:id="316" w:name="_Ref144104767"/>
      <w:bookmarkStart w:id="317" w:name="_Toc144722299"/>
      <w:bookmarkEnd w:id="315"/>
      <w:r>
        <w:t xml:space="preserve">Table </w:t>
      </w:r>
      <w:r>
        <w:fldChar w:fldCharType="begin"/>
      </w:r>
      <w:r>
        <w:instrText>SEQ Table \* ARABIC</w:instrText>
      </w:r>
      <w:r>
        <w:fldChar w:fldCharType="separate"/>
      </w:r>
      <w:r w:rsidR="00563B66">
        <w:rPr>
          <w:noProof/>
        </w:rPr>
        <w:t>7</w:t>
      </w:r>
      <w:r>
        <w:fldChar w:fldCharType="end"/>
      </w:r>
      <w:bookmarkEnd w:id="316"/>
      <w:r>
        <w:t xml:space="preserve">: </w:t>
      </w:r>
      <w:r w:rsidRPr="00AE65A2">
        <w:t>Changes in data sharing with GLASS</w:t>
      </w:r>
      <w:bookmarkEnd w:id="317"/>
    </w:p>
    <w:tbl>
      <w:tblP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433"/>
        <w:gridCol w:w="946"/>
        <w:gridCol w:w="1314"/>
        <w:gridCol w:w="992"/>
        <w:gridCol w:w="993"/>
      </w:tblGrid>
      <w:tr w:rsidR="00BC4ABF" w:rsidRPr="00BC4ABF" w14:paraId="5E56010E" w14:textId="77777777" w:rsidTr="00BC4ABF">
        <w:trPr>
          <w:trHeight w:val="304"/>
        </w:trPr>
        <w:tc>
          <w:tcPr>
            <w:tcW w:w="1413" w:type="dxa"/>
            <w:shd w:val="clear" w:color="auto" w:fill="96C286"/>
            <w:noWrap/>
            <w:vAlign w:val="center"/>
            <w:hideMark/>
          </w:tcPr>
          <w:p w14:paraId="78EE7DF3" w14:textId="77777777"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Countries</w:t>
            </w:r>
          </w:p>
        </w:tc>
        <w:tc>
          <w:tcPr>
            <w:tcW w:w="850" w:type="dxa"/>
            <w:shd w:val="clear" w:color="auto" w:fill="96C286"/>
            <w:noWrap/>
            <w:vAlign w:val="center"/>
            <w:hideMark/>
          </w:tcPr>
          <w:p w14:paraId="7062C34B" w14:textId="55C01F84"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Ext</w:t>
            </w:r>
            <w:r w:rsidR="00BC4ABF">
              <w:rPr>
                <w:rFonts w:eastAsia="Calibri" w:cs="Calibri"/>
                <w:b/>
                <w:bCs/>
                <w:color w:val="3B3B3C"/>
                <w:sz w:val="18"/>
                <w:szCs w:val="18"/>
              </w:rPr>
              <w:t>ent</w:t>
            </w:r>
            <w:r w:rsidRPr="008A5F96">
              <w:rPr>
                <w:rFonts w:eastAsia="Calibri" w:cs="Calibri"/>
                <w:b/>
                <w:bCs/>
                <w:color w:val="3B3B3C"/>
                <w:sz w:val="18"/>
                <w:szCs w:val="18"/>
              </w:rPr>
              <w:t xml:space="preserve"> of change</w:t>
            </w:r>
          </w:p>
        </w:tc>
        <w:tc>
          <w:tcPr>
            <w:tcW w:w="851" w:type="dxa"/>
            <w:shd w:val="clear" w:color="auto" w:fill="96C286"/>
            <w:noWrap/>
            <w:vAlign w:val="center"/>
            <w:hideMark/>
          </w:tcPr>
          <w:p w14:paraId="17EB035E" w14:textId="77777777"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Data supply</w:t>
            </w:r>
          </w:p>
        </w:tc>
        <w:tc>
          <w:tcPr>
            <w:tcW w:w="433" w:type="dxa"/>
            <w:shd w:val="clear" w:color="auto" w:fill="96C286"/>
            <w:noWrap/>
            <w:vAlign w:val="center"/>
            <w:hideMark/>
          </w:tcPr>
          <w:p w14:paraId="2DECEF03" w14:textId="77777777"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TA</w:t>
            </w:r>
          </w:p>
        </w:tc>
        <w:tc>
          <w:tcPr>
            <w:tcW w:w="946" w:type="dxa"/>
            <w:shd w:val="clear" w:color="auto" w:fill="96C286"/>
            <w:noWrap/>
            <w:vAlign w:val="center"/>
            <w:hideMark/>
          </w:tcPr>
          <w:p w14:paraId="759A12F7" w14:textId="77777777"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Data sharing processes</w:t>
            </w:r>
          </w:p>
        </w:tc>
        <w:tc>
          <w:tcPr>
            <w:tcW w:w="1314" w:type="dxa"/>
            <w:shd w:val="clear" w:color="auto" w:fill="96C286"/>
            <w:noWrap/>
            <w:vAlign w:val="center"/>
            <w:hideMark/>
          </w:tcPr>
          <w:p w14:paraId="32D67582" w14:textId="77777777"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Resourcing / human capacity</w:t>
            </w:r>
          </w:p>
        </w:tc>
        <w:tc>
          <w:tcPr>
            <w:tcW w:w="992" w:type="dxa"/>
            <w:shd w:val="clear" w:color="auto" w:fill="96C286"/>
            <w:noWrap/>
            <w:vAlign w:val="center"/>
            <w:hideMark/>
          </w:tcPr>
          <w:p w14:paraId="6866C5BB" w14:textId="77777777"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Incentives</w:t>
            </w:r>
          </w:p>
        </w:tc>
        <w:tc>
          <w:tcPr>
            <w:tcW w:w="993" w:type="dxa"/>
            <w:shd w:val="clear" w:color="auto" w:fill="96C286"/>
            <w:noWrap/>
            <w:vAlign w:val="center"/>
            <w:hideMark/>
          </w:tcPr>
          <w:p w14:paraId="49BC780A" w14:textId="77777777" w:rsidR="00FF2998" w:rsidRPr="008A5F96" w:rsidRDefault="00FF2998" w:rsidP="00371D8F">
            <w:pPr>
              <w:jc w:val="center"/>
              <w:rPr>
                <w:rFonts w:eastAsia="Calibri" w:cs="Calibri"/>
                <w:b/>
                <w:bCs/>
                <w:color w:val="3B3B3C"/>
                <w:sz w:val="18"/>
                <w:szCs w:val="18"/>
              </w:rPr>
            </w:pPr>
            <w:r w:rsidRPr="008A5F96">
              <w:rPr>
                <w:rFonts w:eastAsia="Calibri" w:cs="Calibri"/>
                <w:b/>
                <w:bCs/>
                <w:color w:val="3B3B3C"/>
                <w:sz w:val="18"/>
                <w:szCs w:val="18"/>
              </w:rPr>
              <w:t>Other</w:t>
            </w:r>
          </w:p>
        </w:tc>
      </w:tr>
      <w:tr w:rsidR="00FF2998" w:rsidRPr="00023D60" w14:paraId="4244A189" w14:textId="77777777" w:rsidTr="008A5F96">
        <w:trPr>
          <w:trHeight w:val="323"/>
        </w:trPr>
        <w:tc>
          <w:tcPr>
            <w:tcW w:w="1413" w:type="dxa"/>
            <w:shd w:val="clear" w:color="auto" w:fill="auto"/>
            <w:noWrap/>
            <w:vAlign w:val="center"/>
            <w:hideMark/>
          </w:tcPr>
          <w:p w14:paraId="247365BB"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Bhutan</w:t>
            </w:r>
          </w:p>
        </w:tc>
        <w:tc>
          <w:tcPr>
            <w:tcW w:w="850" w:type="dxa"/>
            <w:shd w:val="clear" w:color="auto" w:fill="BF8F00"/>
            <w:vAlign w:val="center"/>
          </w:tcPr>
          <w:p w14:paraId="7A128322" w14:textId="77777777" w:rsidR="00FF2998" w:rsidRPr="00023D60" w:rsidRDefault="00FF2998" w:rsidP="00371D8F">
            <w:pPr>
              <w:jc w:val="center"/>
              <w:rPr>
                <w:rFonts w:eastAsia="Calibri" w:cs="Calibri"/>
                <w:b/>
                <w:bCs/>
                <w:color w:val="000000"/>
                <w:sz w:val="18"/>
                <w:szCs w:val="18"/>
              </w:rPr>
            </w:pPr>
          </w:p>
        </w:tc>
        <w:tc>
          <w:tcPr>
            <w:tcW w:w="851" w:type="dxa"/>
            <w:shd w:val="clear" w:color="000000" w:fill="00B050"/>
            <w:noWrap/>
            <w:vAlign w:val="center"/>
          </w:tcPr>
          <w:p w14:paraId="333DA524"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5EF51E3C"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7C95BA8F" w14:textId="77777777" w:rsidR="00FF2998" w:rsidRPr="00023D60" w:rsidRDefault="00FF2998" w:rsidP="00371D8F">
            <w:pPr>
              <w:jc w:val="center"/>
              <w:rPr>
                <w:rFonts w:eastAsia="Calibri" w:cs="Calibri"/>
                <w:sz w:val="18"/>
                <w:szCs w:val="18"/>
              </w:rPr>
            </w:pPr>
          </w:p>
        </w:tc>
        <w:tc>
          <w:tcPr>
            <w:tcW w:w="1314" w:type="dxa"/>
            <w:shd w:val="clear" w:color="auto" w:fill="auto"/>
            <w:noWrap/>
            <w:vAlign w:val="center"/>
          </w:tcPr>
          <w:p w14:paraId="17230D31" w14:textId="77777777" w:rsidR="00FF2998" w:rsidRPr="00023D60" w:rsidRDefault="00FF2998" w:rsidP="00371D8F">
            <w:pPr>
              <w:jc w:val="center"/>
              <w:rPr>
                <w:rFonts w:eastAsia="Calibri" w:cs="Calibri"/>
                <w:sz w:val="18"/>
                <w:szCs w:val="18"/>
              </w:rPr>
            </w:pPr>
          </w:p>
        </w:tc>
        <w:tc>
          <w:tcPr>
            <w:tcW w:w="992" w:type="dxa"/>
            <w:shd w:val="clear" w:color="auto" w:fill="auto"/>
            <w:noWrap/>
            <w:vAlign w:val="center"/>
          </w:tcPr>
          <w:p w14:paraId="36BDD36A" w14:textId="77777777" w:rsidR="00FF2998" w:rsidRPr="00023D60" w:rsidRDefault="00FF2998" w:rsidP="00371D8F">
            <w:pPr>
              <w:jc w:val="center"/>
              <w:rPr>
                <w:rFonts w:eastAsia="Calibri" w:cs="Calibri"/>
                <w:color w:val="000000"/>
                <w:sz w:val="18"/>
                <w:szCs w:val="18"/>
              </w:rPr>
            </w:pPr>
          </w:p>
        </w:tc>
        <w:tc>
          <w:tcPr>
            <w:tcW w:w="993" w:type="dxa"/>
            <w:shd w:val="clear" w:color="000000" w:fill="92D050"/>
            <w:noWrap/>
            <w:vAlign w:val="center"/>
          </w:tcPr>
          <w:p w14:paraId="2B644F58" w14:textId="77777777" w:rsidR="00FF2998" w:rsidRPr="00023D60" w:rsidRDefault="00FF2998" w:rsidP="00371D8F">
            <w:pPr>
              <w:jc w:val="center"/>
              <w:rPr>
                <w:rFonts w:eastAsia="Calibri" w:cs="Calibri"/>
                <w:color w:val="000000"/>
                <w:sz w:val="18"/>
                <w:szCs w:val="18"/>
              </w:rPr>
            </w:pPr>
          </w:p>
        </w:tc>
      </w:tr>
      <w:tr w:rsidR="00FF2998" w:rsidRPr="00023D60" w14:paraId="33088812" w14:textId="77777777" w:rsidTr="008A5F96">
        <w:trPr>
          <w:trHeight w:val="323"/>
        </w:trPr>
        <w:tc>
          <w:tcPr>
            <w:tcW w:w="1413" w:type="dxa"/>
            <w:shd w:val="clear" w:color="auto" w:fill="auto"/>
            <w:noWrap/>
            <w:vAlign w:val="center"/>
            <w:hideMark/>
          </w:tcPr>
          <w:p w14:paraId="5DF5D1F2"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Indonesia</w:t>
            </w:r>
          </w:p>
        </w:tc>
        <w:tc>
          <w:tcPr>
            <w:tcW w:w="850" w:type="dxa"/>
            <w:shd w:val="clear" w:color="auto" w:fill="BF8F00"/>
            <w:vAlign w:val="center"/>
          </w:tcPr>
          <w:p w14:paraId="3A840E33" w14:textId="77777777" w:rsidR="00FF2998" w:rsidRPr="00023D60" w:rsidRDefault="00FF2998" w:rsidP="00371D8F">
            <w:pPr>
              <w:jc w:val="center"/>
              <w:rPr>
                <w:rFonts w:eastAsia="Calibri" w:cs="Calibri"/>
                <w:b/>
                <w:bCs/>
                <w:color w:val="000000"/>
                <w:sz w:val="18"/>
                <w:szCs w:val="18"/>
              </w:rPr>
            </w:pPr>
          </w:p>
        </w:tc>
        <w:tc>
          <w:tcPr>
            <w:tcW w:w="851" w:type="dxa"/>
            <w:shd w:val="clear" w:color="auto" w:fill="auto"/>
            <w:noWrap/>
            <w:vAlign w:val="center"/>
          </w:tcPr>
          <w:p w14:paraId="772199D5" w14:textId="77777777" w:rsidR="00FF2998" w:rsidRPr="00023D60" w:rsidRDefault="00FF2998" w:rsidP="00371D8F">
            <w:pPr>
              <w:jc w:val="center"/>
              <w:rPr>
                <w:rFonts w:eastAsia="Calibri" w:cs="Calibri"/>
                <w:b/>
                <w:bCs/>
                <w:color w:val="000000"/>
                <w:sz w:val="18"/>
                <w:szCs w:val="18"/>
              </w:rPr>
            </w:pPr>
          </w:p>
        </w:tc>
        <w:tc>
          <w:tcPr>
            <w:tcW w:w="433" w:type="dxa"/>
            <w:shd w:val="clear" w:color="auto" w:fill="auto"/>
            <w:noWrap/>
            <w:vAlign w:val="center"/>
          </w:tcPr>
          <w:p w14:paraId="5F178261" w14:textId="77777777" w:rsidR="00FF2998" w:rsidRPr="00023D60" w:rsidRDefault="00FF2998" w:rsidP="00371D8F">
            <w:pPr>
              <w:jc w:val="center"/>
              <w:rPr>
                <w:rFonts w:eastAsia="Calibri" w:cs="Calibri"/>
                <w:sz w:val="18"/>
                <w:szCs w:val="18"/>
              </w:rPr>
            </w:pPr>
          </w:p>
        </w:tc>
        <w:tc>
          <w:tcPr>
            <w:tcW w:w="946" w:type="dxa"/>
            <w:shd w:val="clear" w:color="auto" w:fill="auto"/>
            <w:noWrap/>
            <w:vAlign w:val="center"/>
          </w:tcPr>
          <w:p w14:paraId="23F1A2C6" w14:textId="77777777" w:rsidR="00FF2998" w:rsidRPr="00023D60" w:rsidRDefault="00FF2998" w:rsidP="00371D8F">
            <w:pPr>
              <w:jc w:val="center"/>
              <w:rPr>
                <w:rFonts w:eastAsia="Calibri" w:cs="Calibri"/>
                <w:sz w:val="18"/>
                <w:szCs w:val="18"/>
              </w:rPr>
            </w:pPr>
          </w:p>
        </w:tc>
        <w:tc>
          <w:tcPr>
            <w:tcW w:w="1314" w:type="dxa"/>
            <w:shd w:val="clear" w:color="000000" w:fill="92D050"/>
            <w:noWrap/>
            <w:vAlign w:val="center"/>
          </w:tcPr>
          <w:p w14:paraId="07FE501D" w14:textId="77777777" w:rsidR="00FF2998" w:rsidRPr="00023D60" w:rsidRDefault="00FF2998" w:rsidP="00371D8F">
            <w:pPr>
              <w:jc w:val="center"/>
              <w:rPr>
                <w:rFonts w:eastAsia="Calibri" w:cs="Calibri"/>
                <w:color w:val="000000"/>
                <w:sz w:val="18"/>
                <w:szCs w:val="18"/>
              </w:rPr>
            </w:pPr>
          </w:p>
        </w:tc>
        <w:tc>
          <w:tcPr>
            <w:tcW w:w="992" w:type="dxa"/>
            <w:shd w:val="clear" w:color="000000" w:fill="FFC000"/>
            <w:noWrap/>
            <w:vAlign w:val="center"/>
          </w:tcPr>
          <w:p w14:paraId="42541544"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2EC0BC67" w14:textId="77777777" w:rsidR="00FF2998" w:rsidRPr="00023D60" w:rsidRDefault="00FF2998" w:rsidP="00371D8F">
            <w:pPr>
              <w:jc w:val="center"/>
              <w:rPr>
                <w:rFonts w:eastAsia="Calibri" w:cs="Calibri"/>
                <w:color w:val="000000"/>
                <w:sz w:val="18"/>
                <w:szCs w:val="18"/>
              </w:rPr>
            </w:pPr>
          </w:p>
        </w:tc>
      </w:tr>
      <w:tr w:rsidR="00BC4ABF" w:rsidRPr="00023D60" w14:paraId="7B23642F" w14:textId="77777777" w:rsidTr="00F5495E">
        <w:trPr>
          <w:trHeight w:val="323"/>
        </w:trPr>
        <w:tc>
          <w:tcPr>
            <w:tcW w:w="1413" w:type="dxa"/>
            <w:shd w:val="clear" w:color="auto" w:fill="auto"/>
            <w:noWrap/>
            <w:vAlign w:val="center"/>
            <w:hideMark/>
          </w:tcPr>
          <w:p w14:paraId="6958ED68"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Nepal</w:t>
            </w:r>
          </w:p>
        </w:tc>
        <w:tc>
          <w:tcPr>
            <w:tcW w:w="850" w:type="dxa"/>
            <w:shd w:val="clear" w:color="auto" w:fill="BF8F00"/>
            <w:vAlign w:val="center"/>
          </w:tcPr>
          <w:p w14:paraId="1398AAF1" w14:textId="77777777" w:rsidR="00FF2998" w:rsidRPr="00023D60" w:rsidRDefault="00FF2998" w:rsidP="00371D8F">
            <w:pPr>
              <w:jc w:val="center"/>
              <w:rPr>
                <w:rFonts w:eastAsia="Calibri" w:cs="Calibri"/>
                <w:b/>
                <w:bCs/>
                <w:color w:val="000000"/>
                <w:sz w:val="18"/>
                <w:szCs w:val="18"/>
              </w:rPr>
            </w:pPr>
          </w:p>
        </w:tc>
        <w:tc>
          <w:tcPr>
            <w:tcW w:w="851" w:type="dxa"/>
            <w:shd w:val="clear" w:color="000000" w:fill="00B050"/>
            <w:noWrap/>
            <w:vAlign w:val="center"/>
          </w:tcPr>
          <w:p w14:paraId="62E29233"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290FA6A4" w14:textId="77777777" w:rsidR="00FF2998" w:rsidRPr="00023D60" w:rsidRDefault="00FF2998" w:rsidP="00371D8F">
            <w:pPr>
              <w:jc w:val="center"/>
              <w:rPr>
                <w:rFonts w:eastAsia="Calibri" w:cs="Calibri"/>
                <w:color w:val="000000"/>
                <w:sz w:val="18"/>
                <w:szCs w:val="18"/>
              </w:rPr>
            </w:pPr>
          </w:p>
        </w:tc>
        <w:tc>
          <w:tcPr>
            <w:tcW w:w="946" w:type="dxa"/>
            <w:shd w:val="clear" w:color="000000" w:fill="00B050"/>
            <w:noWrap/>
            <w:vAlign w:val="center"/>
          </w:tcPr>
          <w:p w14:paraId="58789B92" w14:textId="77777777" w:rsidR="00FF2998" w:rsidRPr="00023D60" w:rsidRDefault="00FF2998" w:rsidP="00371D8F">
            <w:pPr>
              <w:jc w:val="center"/>
              <w:rPr>
                <w:rFonts w:eastAsia="Calibri" w:cs="Calibri"/>
                <w:color w:val="000000"/>
                <w:sz w:val="18"/>
                <w:szCs w:val="18"/>
              </w:rPr>
            </w:pPr>
          </w:p>
        </w:tc>
        <w:tc>
          <w:tcPr>
            <w:tcW w:w="1314" w:type="dxa"/>
            <w:shd w:val="clear" w:color="000000" w:fill="00B050"/>
            <w:noWrap/>
            <w:vAlign w:val="center"/>
          </w:tcPr>
          <w:p w14:paraId="25F52082" w14:textId="77777777" w:rsidR="00FF2998" w:rsidRPr="00023D60" w:rsidRDefault="00FF2998" w:rsidP="00371D8F">
            <w:pPr>
              <w:jc w:val="center"/>
              <w:rPr>
                <w:rFonts w:eastAsia="Calibri" w:cs="Calibri"/>
                <w:color w:val="000000"/>
                <w:sz w:val="18"/>
                <w:szCs w:val="18"/>
              </w:rPr>
            </w:pPr>
          </w:p>
        </w:tc>
        <w:tc>
          <w:tcPr>
            <w:tcW w:w="992" w:type="dxa"/>
            <w:shd w:val="clear" w:color="auto" w:fill="auto"/>
            <w:noWrap/>
            <w:vAlign w:val="center"/>
          </w:tcPr>
          <w:p w14:paraId="47ECE75B"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66745683" w14:textId="77777777" w:rsidR="00FF2998" w:rsidRPr="00023D60" w:rsidRDefault="00FF2998" w:rsidP="00371D8F">
            <w:pPr>
              <w:jc w:val="center"/>
              <w:rPr>
                <w:rFonts w:eastAsia="Calibri" w:cs="Calibri"/>
                <w:sz w:val="18"/>
                <w:szCs w:val="18"/>
              </w:rPr>
            </w:pPr>
          </w:p>
        </w:tc>
      </w:tr>
      <w:tr w:rsidR="00FF2998" w:rsidRPr="00023D60" w14:paraId="750B70B1" w14:textId="77777777" w:rsidTr="008A5F96">
        <w:trPr>
          <w:trHeight w:val="323"/>
        </w:trPr>
        <w:tc>
          <w:tcPr>
            <w:tcW w:w="1413" w:type="dxa"/>
            <w:shd w:val="clear" w:color="auto" w:fill="auto"/>
            <w:noWrap/>
            <w:vAlign w:val="center"/>
            <w:hideMark/>
          </w:tcPr>
          <w:p w14:paraId="4AB8F7D3"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Pakistan</w:t>
            </w:r>
          </w:p>
        </w:tc>
        <w:tc>
          <w:tcPr>
            <w:tcW w:w="850" w:type="dxa"/>
            <w:shd w:val="clear" w:color="auto" w:fill="BF8F00"/>
            <w:vAlign w:val="center"/>
          </w:tcPr>
          <w:p w14:paraId="3508440D" w14:textId="77777777" w:rsidR="00FF2998" w:rsidRPr="00023D60" w:rsidRDefault="00FF2998" w:rsidP="00371D8F">
            <w:pPr>
              <w:jc w:val="center"/>
              <w:rPr>
                <w:rFonts w:eastAsia="Calibri" w:cs="Calibri"/>
                <w:b/>
                <w:bCs/>
                <w:color w:val="000000"/>
                <w:sz w:val="18"/>
                <w:szCs w:val="18"/>
              </w:rPr>
            </w:pPr>
          </w:p>
        </w:tc>
        <w:tc>
          <w:tcPr>
            <w:tcW w:w="851" w:type="dxa"/>
            <w:shd w:val="clear" w:color="000000" w:fill="FFC000"/>
            <w:noWrap/>
            <w:vAlign w:val="center"/>
          </w:tcPr>
          <w:p w14:paraId="19277DDE"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1B146AA5"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794BE9DF" w14:textId="77777777" w:rsidR="00FF2998" w:rsidRPr="00023D60" w:rsidRDefault="00FF2998" w:rsidP="00371D8F">
            <w:pPr>
              <w:jc w:val="center"/>
              <w:rPr>
                <w:rFonts w:eastAsia="Calibri" w:cs="Calibri"/>
                <w:sz w:val="18"/>
                <w:szCs w:val="18"/>
              </w:rPr>
            </w:pPr>
          </w:p>
        </w:tc>
        <w:tc>
          <w:tcPr>
            <w:tcW w:w="1314" w:type="dxa"/>
            <w:shd w:val="clear" w:color="auto" w:fill="auto"/>
            <w:noWrap/>
            <w:vAlign w:val="center"/>
          </w:tcPr>
          <w:p w14:paraId="7057F71C" w14:textId="77777777" w:rsidR="00FF2998" w:rsidRPr="00023D60" w:rsidRDefault="00FF2998" w:rsidP="00371D8F">
            <w:pPr>
              <w:jc w:val="center"/>
              <w:rPr>
                <w:rFonts w:eastAsia="Calibri" w:cs="Calibri"/>
                <w:sz w:val="18"/>
                <w:szCs w:val="18"/>
              </w:rPr>
            </w:pPr>
          </w:p>
        </w:tc>
        <w:tc>
          <w:tcPr>
            <w:tcW w:w="992" w:type="dxa"/>
            <w:shd w:val="clear" w:color="auto" w:fill="auto"/>
            <w:noWrap/>
            <w:vAlign w:val="center"/>
          </w:tcPr>
          <w:p w14:paraId="79AFEAF9" w14:textId="77777777" w:rsidR="00FF2998" w:rsidRPr="00023D60" w:rsidRDefault="00FF2998" w:rsidP="00371D8F">
            <w:pPr>
              <w:jc w:val="center"/>
              <w:rPr>
                <w:rFonts w:eastAsia="Calibri" w:cs="Calibri"/>
                <w:color w:val="000000"/>
                <w:sz w:val="18"/>
                <w:szCs w:val="18"/>
              </w:rPr>
            </w:pPr>
          </w:p>
        </w:tc>
        <w:tc>
          <w:tcPr>
            <w:tcW w:w="993" w:type="dxa"/>
            <w:shd w:val="clear" w:color="000000" w:fill="92D050"/>
            <w:noWrap/>
            <w:vAlign w:val="center"/>
          </w:tcPr>
          <w:p w14:paraId="6CD651C2" w14:textId="77777777" w:rsidR="00FF2998" w:rsidRPr="00023D60" w:rsidRDefault="00FF2998" w:rsidP="00371D8F">
            <w:pPr>
              <w:jc w:val="center"/>
              <w:rPr>
                <w:rFonts w:eastAsia="Calibri" w:cs="Calibri"/>
                <w:color w:val="000000"/>
                <w:sz w:val="18"/>
                <w:szCs w:val="18"/>
              </w:rPr>
            </w:pPr>
          </w:p>
        </w:tc>
      </w:tr>
      <w:tr w:rsidR="00BC4ABF" w:rsidRPr="00023D60" w14:paraId="54F10E35" w14:textId="77777777" w:rsidTr="00F5495E">
        <w:trPr>
          <w:trHeight w:val="323"/>
        </w:trPr>
        <w:tc>
          <w:tcPr>
            <w:tcW w:w="1413" w:type="dxa"/>
            <w:shd w:val="clear" w:color="auto" w:fill="auto"/>
            <w:noWrap/>
            <w:vAlign w:val="center"/>
            <w:hideMark/>
          </w:tcPr>
          <w:p w14:paraId="52EF21D2"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Tanzania</w:t>
            </w:r>
          </w:p>
        </w:tc>
        <w:tc>
          <w:tcPr>
            <w:tcW w:w="850" w:type="dxa"/>
            <w:shd w:val="clear" w:color="auto" w:fill="BF8F00"/>
            <w:vAlign w:val="center"/>
          </w:tcPr>
          <w:p w14:paraId="3AF1684E" w14:textId="77777777" w:rsidR="00FF2998" w:rsidRPr="00023D60" w:rsidRDefault="00FF2998" w:rsidP="00371D8F">
            <w:pPr>
              <w:jc w:val="center"/>
              <w:rPr>
                <w:rFonts w:eastAsia="Calibri" w:cs="Calibri"/>
                <w:b/>
                <w:bCs/>
                <w:color w:val="000000"/>
                <w:sz w:val="18"/>
                <w:szCs w:val="18"/>
              </w:rPr>
            </w:pPr>
          </w:p>
        </w:tc>
        <w:tc>
          <w:tcPr>
            <w:tcW w:w="851" w:type="dxa"/>
            <w:shd w:val="clear" w:color="000000" w:fill="92D050"/>
            <w:noWrap/>
            <w:vAlign w:val="center"/>
          </w:tcPr>
          <w:p w14:paraId="5A3B4B35"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2FC1060C" w14:textId="77777777" w:rsidR="00FF2998" w:rsidRPr="00023D60" w:rsidRDefault="00FF2998" w:rsidP="00371D8F">
            <w:pPr>
              <w:jc w:val="center"/>
              <w:rPr>
                <w:rFonts w:eastAsia="Calibri" w:cs="Calibri"/>
                <w:color w:val="000000"/>
                <w:sz w:val="18"/>
                <w:szCs w:val="18"/>
              </w:rPr>
            </w:pPr>
          </w:p>
        </w:tc>
        <w:tc>
          <w:tcPr>
            <w:tcW w:w="946" w:type="dxa"/>
            <w:shd w:val="clear" w:color="000000" w:fill="92D050"/>
            <w:noWrap/>
            <w:vAlign w:val="center"/>
          </w:tcPr>
          <w:p w14:paraId="1B11D360" w14:textId="77777777" w:rsidR="00FF2998" w:rsidRPr="00023D60" w:rsidRDefault="00FF2998" w:rsidP="00371D8F">
            <w:pPr>
              <w:jc w:val="center"/>
              <w:rPr>
                <w:rFonts w:eastAsia="Calibri" w:cs="Calibri"/>
                <w:color w:val="000000"/>
                <w:sz w:val="18"/>
                <w:szCs w:val="18"/>
              </w:rPr>
            </w:pPr>
          </w:p>
        </w:tc>
        <w:tc>
          <w:tcPr>
            <w:tcW w:w="1314" w:type="dxa"/>
            <w:shd w:val="clear" w:color="auto" w:fill="auto"/>
            <w:noWrap/>
            <w:vAlign w:val="center"/>
          </w:tcPr>
          <w:p w14:paraId="15E6DBA0" w14:textId="77777777" w:rsidR="00FF2998" w:rsidRPr="00023D60" w:rsidRDefault="00FF2998" w:rsidP="00371D8F">
            <w:pPr>
              <w:jc w:val="center"/>
              <w:rPr>
                <w:rFonts w:eastAsia="Calibri" w:cs="Calibri"/>
                <w:color w:val="000000"/>
                <w:sz w:val="18"/>
                <w:szCs w:val="18"/>
              </w:rPr>
            </w:pPr>
          </w:p>
        </w:tc>
        <w:tc>
          <w:tcPr>
            <w:tcW w:w="992" w:type="dxa"/>
            <w:shd w:val="clear" w:color="auto" w:fill="auto"/>
            <w:noWrap/>
            <w:vAlign w:val="center"/>
          </w:tcPr>
          <w:p w14:paraId="5484431E" w14:textId="77777777" w:rsidR="00FF2998" w:rsidRPr="00023D60" w:rsidRDefault="00FF2998" w:rsidP="00371D8F">
            <w:pPr>
              <w:jc w:val="center"/>
              <w:rPr>
                <w:rFonts w:eastAsia="Calibri" w:cs="Calibri"/>
                <w:color w:val="000000"/>
                <w:sz w:val="18"/>
                <w:szCs w:val="18"/>
              </w:rPr>
            </w:pPr>
          </w:p>
        </w:tc>
        <w:tc>
          <w:tcPr>
            <w:tcW w:w="993" w:type="dxa"/>
            <w:shd w:val="clear" w:color="000000" w:fill="92D050"/>
            <w:noWrap/>
            <w:vAlign w:val="center"/>
          </w:tcPr>
          <w:p w14:paraId="710FC65D" w14:textId="77777777" w:rsidR="00FF2998" w:rsidRPr="00023D60" w:rsidRDefault="00FF2998" w:rsidP="00371D8F">
            <w:pPr>
              <w:jc w:val="center"/>
              <w:rPr>
                <w:rFonts w:eastAsia="Calibri" w:cs="Calibri"/>
                <w:color w:val="000000"/>
                <w:sz w:val="18"/>
                <w:szCs w:val="18"/>
              </w:rPr>
            </w:pPr>
          </w:p>
        </w:tc>
      </w:tr>
      <w:tr w:rsidR="00FF2998" w:rsidRPr="00023D60" w14:paraId="51ADC636" w14:textId="77777777" w:rsidTr="008A5F96">
        <w:trPr>
          <w:trHeight w:val="323"/>
        </w:trPr>
        <w:tc>
          <w:tcPr>
            <w:tcW w:w="1413" w:type="dxa"/>
            <w:shd w:val="clear" w:color="auto" w:fill="auto"/>
            <w:noWrap/>
            <w:vAlign w:val="center"/>
            <w:hideMark/>
          </w:tcPr>
          <w:p w14:paraId="15F7FC40" w14:textId="157FDEBD" w:rsidR="00FF2998" w:rsidRPr="00BC4ABF" w:rsidRDefault="00B30736" w:rsidP="00371D8F">
            <w:pPr>
              <w:jc w:val="center"/>
              <w:rPr>
                <w:rFonts w:eastAsia="Calibri" w:cs="Calibri"/>
                <w:color w:val="3B3B3C"/>
                <w:sz w:val="18"/>
                <w:szCs w:val="18"/>
              </w:rPr>
            </w:pPr>
            <w:r>
              <w:rPr>
                <w:rFonts w:eastAsia="Calibri" w:cs="Calibri"/>
                <w:color w:val="3B3B3C"/>
                <w:sz w:val="18"/>
                <w:szCs w:val="18"/>
              </w:rPr>
              <w:t>Timor-Leste</w:t>
            </w:r>
          </w:p>
        </w:tc>
        <w:tc>
          <w:tcPr>
            <w:tcW w:w="850" w:type="dxa"/>
            <w:shd w:val="clear" w:color="auto" w:fill="BF8F00"/>
            <w:vAlign w:val="center"/>
          </w:tcPr>
          <w:p w14:paraId="6594EF86" w14:textId="77777777" w:rsidR="00FF2998" w:rsidRPr="00023D60" w:rsidRDefault="00FF2998" w:rsidP="00371D8F">
            <w:pPr>
              <w:jc w:val="center"/>
              <w:rPr>
                <w:rFonts w:eastAsia="Calibri" w:cs="Calibri"/>
                <w:b/>
                <w:bCs/>
                <w:color w:val="000000"/>
                <w:sz w:val="18"/>
                <w:szCs w:val="18"/>
              </w:rPr>
            </w:pPr>
          </w:p>
        </w:tc>
        <w:tc>
          <w:tcPr>
            <w:tcW w:w="851" w:type="dxa"/>
            <w:shd w:val="clear" w:color="000000" w:fill="00B050"/>
            <w:noWrap/>
            <w:vAlign w:val="center"/>
          </w:tcPr>
          <w:p w14:paraId="1DB5E470"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660960B8"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10D0705A" w14:textId="77777777" w:rsidR="00FF2998" w:rsidRPr="00023D60" w:rsidRDefault="00FF2998" w:rsidP="00371D8F">
            <w:pPr>
              <w:jc w:val="center"/>
              <w:rPr>
                <w:rFonts w:eastAsia="Calibri" w:cs="Calibri"/>
                <w:sz w:val="18"/>
                <w:szCs w:val="18"/>
              </w:rPr>
            </w:pPr>
          </w:p>
        </w:tc>
        <w:tc>
          <w:tcPr>
            <w:tcW w:w="1314" w:type="dxa"/>
            <w:shd w:val="clear" w:color="auto" w:fill="auto"/>
            <w:noWrap/>
            <w:vAlign w:val="center"/>
          </w:tcPr>
          <w:p w14:paraId="2772E9B0" w14:textId="77777777" w:rsidR="00FF2998" w:rsidRPr="00023D60" w:rsidRDefault="00FF2998" w:rsidP="00371D8F">
            <w:pPr>
              <w:jc w:val="center"/>
              <w:rPr>
                <w:rFonts w:eastAsia="Calibri" w:cs="Calibri"/>
                <w:sz w:val="18"/>
                <w:szCs w:val="18"/>
              </w:rPr>
            </w:pPr>
          </w:p>
        </w:tc>
        <w:tc>
          <w:tcPr>
            <w:tcW w:w="992" w:type="dxa"/>
            <w:shd w:val="clear" w:color="auto" w:fill="auto"/>
            <w:noWrap/>
            <w:vAlign w:val="center"/>
          </w:tcPr>
          <w:p w14:paraId="7E7BD93A"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70499388" w14:textId="77777777" w:rsidR="00FF2998" w:rsidRPr="00023D60" w:rsidRDefault="00FF2998" w:rsidP="00371D8F">
            <w:pPr>
              <w:jc w:val="center"/>
              <w:rPr>
                <w:rFonts w:eastAsia="Calibri" w:cs="Calibri"/>
                <w:sz w:val="18"/>
                <w:szCs w:val="18"/>
              </w:rPr>
            </w:pPr>
          </w:p>
        </w:tc>
      </w:tr>
      <w:tr w:rsidR="00BC4ABF" w:rsidRPr="00023D60" w14:paraId="5CB233E5" w14:textId="77777777" w:rsidTr="00F5495E">
        <w:trPr>
          <w:trHeight w:val="323"/>
        </w:trPr>
        <w:tc>
          <w:tcPr>
            <w:tcW w:w="1413" w:type="dxa"/>
            <w:shd w:val="clear" w:color="auto" w:fill="auto"/>
            <w:noWrap/>
            <w:vAlign w:val="center"/>
            <w:hideMark/>
          </w:tcPr>
          <w:p w14:paraId="1299DE8F"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Uganda</w:t>
            </w:r>
          </w:p>
        </w:tc>
        <w:tc>
          <w:tcPr>
            <w:tcW w:w="850" w:type="dxa"/>
            <w:shd w:val="clear" w:color="auto" w:fill="BF8F00"/>
            <w:vAlign w:val="center"/>
          </w:tcPr>
          <w:p w14:paraId="33FBDEBB" w14:textId="77777777" w:rsidR="00FF2998" w:rsidRPr="00023D60" w:rsidRDefault="00FF2998" w:rsidP="00371D8F">
            <w:pPr>
              <w:jc w:val="center"/>
              <w:rPr>
                <w:rFonts w:eastAsia="Calibri" w:cs="Calibri"/>
                <w:b/>
                <w:bCs/>
                <w:color w:val="000000"/>
                <w:sz w:val="18"/>
                <w:szCs w:val="18"/>
              </w:rPr>
            </w:pPr>
          </w:p>
        </w:tc>
        <w:tc>
          <w:tcPr>
            <w:tcW w:w="851" w:type="dxa"/>
            <w:shd w:val="clear" w:color="000000" w:fill="00B050"/>
            <w:noWrap/>
            <w:vAlign w:val="center"/>
          </w:tcPr>
          <w:p w14:paraId="609C6A0C" w14:textId="77777777" w:rsidR="00FF2998" w:rsidRPr="00023D60" w:rsidRDefault="00FF2998" w:rsidP="00371D8F">
            <w:pPr>
              <w:jc w:val="center"/>
              <w:rPr>
                <w:rFonts w:eastAsia="Calibri" w:cs="Calibri"/>
                <w:color w:val="000000"/>
                <w:sz w:val="18"/>
                <w:szCs w:val="18"/>
              </w:rPr>
            </w:pPr>
          </w:p>
        </w:tc>
        <w:tc>
          <w:tcPr>
            <w:tcW w:w="433" w:type="dxa"/>
            <w:shd w:val="clear" w:color="000000" w:fill="00B050"/>
            <w:noWrap/>
            <w:vAlign w:val="center"/>
          </w:tcPr>
          <w:p w14:paraId="6B9D3E73" w14:textId="77777777" w:rsidR="00FF2998" w:rsidRPr="00023D60" w:rsidRDefault="00FF2998" w:rsidP="00371D8F">
            <w:pPr>
              <w:jc w:val="center"/>
              <w:rPr>
                <w:rFonts w:eastAsia="Calibri" w:cs="Calibri"/>
                <w:color w:val="000000"/>
                <w:sz w:val="18"/>
                <w:szCs w:val="18"/>
              </w:rPr>
            </w:pPr>
          </w:p>
        </w:tc>
        <w:tc>
          <w:tcPr>
            <w:tcW w:w="946" w:type="dxa"/>
            <w:shd w:val="clear" w:color="000000" w:fill="FFC000"/>
            <w:noWrap/>
            <w:vAlign w:val="center"/>
          </w:tcPr>
          <w:p w14:paraId="0A71B7CB" w14:textId="77777777" w:rsidR="00FF2998" w:rsidRPr="00023D60" w:rsidRDefault="00FF2998" w:rsidP="00371D8F">
            <w:pPr>
              <w:jc w:val="center"/>
              <w:rPr>
                <w:rFonts w:eastAsia="Calibri" w:cs="Calibri"/>
                <w:color w:val="000000"/>
                <w:sz w:val="18"/>
                <w:szCs w:val="18"/>
              </w:rPr>
            </w:pPr>
          </w:p>
        </w:tc>
        <w:tc>
          <w:tcPr>
            <w:tcW w:w="1314" w:type="dxa"/>
            <w:shd w:val="clear" w:color="auto" w:fill="auto"/>
            <w:noWrap/>
            <w:vAlign w:val="center"/>
          </w:tcPr>
          <w:p w14:paraId="47A49D85" w14:textId="77777777" w:rsidR="00FF2998" w:rsidRPr="00023D60" w:rsidRDefault="00FF2998" w:rsidP="00371D8F">
            <w:pPr>
              <w:jc w:val="center"/>
              <w:rPr>
                <w:rFonts w:eastAsia="Calibri" w:cs="Calibri"/>
                <w:color w:val="000000"/>
                <w:sz w:val="18"/>
                <w:szCs w:val="18"/>
              </w:rPr>
            </w:pPr>
          </w:p>
        </w:tc>
        <w:tc>
          <w:tcPr>
            <w:tcW w:w="992" w:type="dxa"/>
            <w:shd w:val="clear" w:color="auto" w:fill="auto"/>
            <w:noWrap/>
            <w:vAlign w:val="center"/>
          </w:tcPr>
          <w:p w14:paraId="113BC8B1"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3D8EEBD1" w14:textId="77777777" w:rsidR="00FF2998" w:rsidRPr="00023D60" w:rsidRDefault="00FF2998" w:rsidP="00371D8F">
            <w:pPr>
              <w:jc w:val="center"/>
              <w:rPr>
                <w:rFonts w:eastAsia="Calibri" w:cs="Calibri"/>
                <w:sz w:val="18"/>
                <w:szCs w:val="18"/>
              </w:rPr>
            </w:pPr>
          </w:p>
        </w:tc>
      </w:tr>
      <w:tr w:rsidR="00FF2998" w:rsidRPr="00023D60" w14:paraId="10966149" w14:textId="77777777" w:rsidTr="008A5F96">
        <w:trPr>
          <w:trHeight w:val="323"/>
        </w:trPr>
        <w:tc>
          <w:tcPr>
            <w:tcW w:w="1413" w:type="dxa"/>
            <w:shd w:val="clear" w:color="auto" w:fill="auto"/>
            <w:noWrap/>
            <w:vAlign w:val="center"/>
            <w:hideMark/>
          </w:tcPr>
          <w:p w14:paraId="37082A78"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Bangladesh</w:t>
            </w:r>
          </w:p>
        </w:tc>
        <w:tc>
          <w:tcPr>
            <w:tcW w:w="850" w:type="dxa"/>
            <w:shd w:val="clear" w:color="000000" w:fill="FFD966"/>
            <w:vAlign w:val="center"/>
          </w:tcPr>
          <w:p w14:paraId="4F5217A8" w14:textId="77777777" w:rsidR="00FF2998" w:rsidRPr="00023D60" w:rsidRDefault="00FF2998" w:rsidP="00371D8F">
            <w:pPr>
              <w:jc w:val="center"/>
              <w:rPr>
                <w:rFonts w:eastAsia="Calibri" w:cs="Calibri"/>
                <w:b/>
                <w:bCs/>
                <w:color w:val="000000"/>
                <w:sz w:val="18"/>
                <w:szCs w:val="18"/>
              </w:rPr>
            </w:pPr>
          </w:p>
        </w:tc>
        <w:tc>
          <w:tcPr>
            <w:tcW w:w="851" w:type="dxa"/>
            <w:shd w:val="clear" w:color="000000" w:fill="FFC000"/>
            <w:noWrap/>
            <w:vAlign w:val="center"/>
          </w:tcPr>
          <w:p w14:paraId="1B626E9C"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2A3A23B3"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13785961" w14:textId="77777777" w:rsidR="00FF2998" w:rsidRPr="00023D60" w:rsidRDefault="00FF2998" w:rsidP="00371D8F">
            <w:pPr>
              <w:jc w:val="center"/>
              <w:rPr>
                <w:rFonts w:eastAsia="Calibri" w:cs="Calibri"/>
                <w:sz w:val="18"/>
                <w:szCs w:val="18"/>
              </w:rPr>
            </w:pPr>
          </w:p>
        </w:tc>
        <w:tc>
          <w:tcPr>
            <w:tcW w:w="1314" w:type="dxa"/>
            <w:shd w:val="clear" w:color="000000" w:fill="FCE4D6"/>
            <w:noWrap/>
            <w:vAlign w:val="center"/>
          </w:tcPr>
          <w:p w14:paraId="0B099F6E" w14:textId="77777777" w:rsidR="00FF2998" w:rsidRPr="00023D60" w:rsidRDefault="00FF2998" w:rsidP="00371D8F">
            <w:pPr>
              <w:jc w:val="center"/>
              <w:rPr>
                <w:rFonts w:eastAsia="Calibri" w:cs="Calibri"/>
                <w:color w:val="000000"/>
                <w:sz w:val="18"/>
                <w:szCs w:val="18"/>
              </w:rPr>
            </w:pPr>
          </w:p>
        </w:tc>
        <w:tc>
          <w:tcPr>
            <w:tcW w:w="992" w:type="dxa"/>
            <w:shd w:val="clear" w:color="auto" w:fill="auto"/>
            <w:noWrap/>
            <w:vAlign w:val="center"/>
          </w:tcPr>
          <w:p w14:paraId="0B35F37D"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2FCAC28D" w14:textId="77777777" w:rsidR="00FF2998" w:rsidRPr="00023D60" w:rsidRDefault="00FF2998" w:rsidP="00371D8F">
            <w:pPr>
              <w:jc w:val="center"/>
              <w:rPr>
                <w:rFonts w:eastAsia="Calibri" w:cs="Calibri"/>
                <w:sz w:val="18"/>
                <w:szCs w:val="18"/>
              </w:rPr>
            </w:pPr>
          </w:p>
        </w:tc>
      </w:tr>
      <w:tr w:rsidR="00BC4ABF" w:rsidRPr="00023D60" w14:paraId="4EBE1FD4" w14:textId="77777777" w:rsidTr="00BC4ABF">
        <w:trPr>
          <w:trHeight w:val="323"/>
        </w:trPr>
        <w:tc>
          <w:tcPr>
            <w:tcW w:w="1413" w:type="dxa"/>
            <w:shd w:val="clear" w:color="auto" w:fill="auto"/>
            <w:noWrap/>
            <w:vAlign w:val="center"/>
            <w:hideMark/>
          </w:tcPr>
          <w:p w14:paraId="741EDAA0"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Kenya</w:t>
            </w:r>
          </w:p>
        </w:tc>
        <w:tc>
          <w:tcPr>
            <w:tcW w:w="850" w:type="dxa"/>
            <w:shd w:val="clear" w:color="000000" w:fill="FFD966"/>
            <w:vAlign w:val="center"/>
          </w:tcPr>
          <w:p w14:paraId="5EB6134D" w14:textId="77777777" w:rsidR="00FF2998" w:rsidRPr="00023D60" w:rsidRDefault="00FF2998" w:rsidP="00371D8F">
            <w:pPr>
              <w:jc w:val="center"/>
              <w:rPr>
                <w:rFonts w:eastAsia="Calibri" w:cs="Calibri"/>
                <w:b/>
                <w:bCs/>
                <w:color w:val="000000"/>
                <w:sz w:val="18"/>
                <w:szCs w:val="18"/>
              </w:rPr>
            </w:pPr>
          </w:p>
        </w:tc>
        <w:tc>
          <w:tcPr>
            <w:tcW w:w="851" w:type="dxa"/>
            <w:shd w:val="clear" w:color="000000" w:fill="92D050"/>
            <w:noWrap/>
            <w:vAlign w:val="center"/>
          </w:tcPr>
          <w:p w14:paraId="0A0F4F76"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08681738" w14:textId="77777777" w:rsidR="00FF2998" w:rsidRPr="00023D60" w:rsidRDefault="00FF2998" w:rsidP="00371D8F">
            <w:pPr>
              <w:jc w:val="center"/>
              <w:rPr>
                <w:rFonts w:eastAsia="Calibri" w:cs="Calibri"/>
                <w:color w:val="000000"/>
                <w:sz w:val="18"/>
                <w:szCs w:val="18"/>
              </w:rPr>
            </w:pPr>
          </w:p>
        </w:tc>
        <w:tc>
          <w:tcPr>
            <w:tcW w:w="946" w:type="dxa"/>
            <w:shd w:val="clear" w:color="000000" w:fill="92D050"/>
            <w:noWrap/>
            <w:vAlign w:val="center"/>
          </w:tcPr>
          <w:p w14:paraId="1C4F7F69" w14:textId="77777777" w:rsidR="00FF2998" w:rsidRPr="00023D60" w:rsidRDefault="00FF2998" w:rsidP="00371D8F">
            <w:pPr>
              <w:jc w:val="center"/>
              <w:rPr>
                <w:rFonts w:eastAsia="Calibri" w:cs="Calibri"/>
                <w:color w:val="000000"/>
                <w:sz w:val="18"/>
                <w:szCs w:val="18"/>
              </w:rPr>
            </w:pPr>
          </w:p>
        </w:tc>
        <w:tc>
          <w:tcPr>
            <w:tcW w:w="1314" w:type="dxa"/>
            <w:shd w:val="clear" w:color="000000" w:fill="92D050"/>
            <w:noWrap/>
            <w:vAlign w:val="center"/>
          </w:tcPr>
          <w:p w14:paraId="30D79E3C" w14:textId="77777777" w:rsidR="00FF2998" w:rsidRPr="00023D60" w:rsidRDefault="00FF2998" w:rsidP="00371D8F">
            <w:pPr>
              <w:jc w:val="center"/>
              <w:rPr>
                <w:rFonts w:eastAsia="Calibri" w:cs="Calibri"/>
                <w:color w:val="000000"/>
                <w:sz w:val="18"/>
                <w:szCs w:val="18"/>
              </w:rPr>
            </w:pPr>
          </w:p>
        </w:tc>
        <w:tc>
          <w:tcPr>
            <w:tcW w:w="992" w:type="dxa"/>
            <w:shd w:val="clear" w:color="auto" w:fill="auto"/>
            <w:noWrap/>
            <w:vAlign w:val="center"/>
          </w:tcPr>
          <w:p w14:paraId="5ADE3B63"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1A992BC5" w14:textId="77777777" w:rsidR="00FF2998" w:rsidRPr="00023D60" w:rsidRDefault="00FF2998" w:rsidP="00371D8F">
            <w:pPr>
              <w:jc w:val="center"/>
              <w:rPr>
                <w:rFonts w:eastAsia="Calibri" w:cs="Calibri"/>
                <w:sz w:val="18"/>
                <w:szCs w:val="18"/>
              </w:rPr>
            </w:pPr>
          </w:p>
        </w:tc>
      </w:tr>
      <w:tr w:rsidR="00FF2998" w:rsidRPr="00023D60" w14:paraId="13A548F5" w14:textId="77777777" w:rsidTr="008A5F96">
        <w:trPr>
          <w:trHeight w:val="323"/>
        </w:trPr>
        <w:tc>
          <w:tcPr>
            <w:tcW w:w="1413" w:type="dxa"/>
            <w:shd w:val="clear" w:color="auto" w:fill="auto"/>
            <w:noWrap/>
            <w:vAlign w:val="center"/>
            <w:hideMark/>
          </w:tcPr>
          <w:p w14:paraId="4B1361B3"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Laos</w:t>
            </w:r>
          </w:p>
        </w:tc>
        <w:tc>
          <w:tcPr>
            <w:tcW w:w="850" w:type="dxa"/>
            <w:shd w:val="clear" w:color="000000" w:fill="FFD966"/>
            <w:vAlign w:val="center"/>
          </w:tcPr>
          <w:p w14:paraId="4197F8B4" w14:textId="77777777" w:rsidR="00FF2998" w:rsidRPr="00023D60" w:rsidRDefault="00FF2998" w:rsidP="00371D8F">
            <w:pPr>
              <w:jc w:val="center"/>
              <w:rPr>
                <w:rFonts w:eastAsia="Calibri" w:cs="Calibri"/>
                <w:b/>
                <w:bCs/>
                <w:color w:val="000000"/>
                <w:sz w:val="18"/>
                <w:szCs w:val="18"/>
              </w:rPr>
            </w:pPr>
          </w:p>
        </w:tc>
        <w:tc>
          <w:tcPr>
            <w:tcW w:w="851" w:type="dxa"/>
            <w:shd w:val="clear" w:color="000000" w:fill="92D050"/>
            <w:noWrap/>
            <w:vAlign w:val="center"/>
          </w:tcPr>
          <w:p w14:paraId="7E2CED2D"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1C93C4BF"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6BEF8E5A" w14:textId="77777777" w:rsidR="00FF2998" w:rsidRPr="00023D60" w:rsidRDefault="00FF2998" w:rsidP="00371D8F">
            <w:pPr>
              <w:jc w:val="center"/>
              <w:rPr>
                <w:rFonts w:eastAsia="Calibri" w:cs="Calibri"/>
                <w:sz w:val="18"/>
                <w:szCs w:val="18"/>
              </w:rPr>
            </w:pPr>
          </w:p>
        </w:tc>
        <w:tc>
          <w:tcPr>
            <w:tcW w:w="1314" w:type="dxa"/>
            <w:shd w:val="clear" w:color="auto" w:fill="auto"/>
            <w:noWrap/>
            <w:vAlign w:val="center"/>
          </w:tcPr>
          <w:p w14:paraId="60351106" w14:textId="77777777" w:rsidR="00FF2998" w:rsidRPr="00023D60" w:rsidRDefault="00FF2998" w:rsidP="00371D8F">
            <w:pPr>
              <w:jc w:val="center"/>
              <w:rPr>
                <w:rFonts w:eastAsia="Calibri" w:cs="Calibri"/>
                <w:sz w:val="18"/>
                <w:szCs w:val="18"/>
              </w:rPr>
            </w:pPr>
          </w:p>
        </w:tc>
        <w:tc>
          <w:tcPr>
            <w:tcW w:w="992" w:type="dxa"/>
            <w:shd w:val="clear" w:color="auto" w:fill="auto"/>
            <w:noWrap/>
            <w:vAlign w:val="center"/>
          </w:tcPr>
          <w:p w14:paraId="6EDAF69B"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613399EF" w14:textId="77777777" w:rsidR="00FF2998" w:rsidRPr="00023D60" w:rsidRDefault="00FF2998" w:rsidP="00371D8F">
            <w:pPr>
              <w:jc w:val="center"/>
              <w:rPr>
                <w:rFonts w:eastAsia="Calibri" w:cs="Calibri"/>
                <w:sz w:val="18"/>
                <w:szCs w:val="18"/>
              </w:rPr>
            </w:pPr>
          </w:p>
        </w:tc>
      </w:tr>
      <w:tr w:rsidR="00BC4ABF" w:rsidRPr="00023D60" w14:paraId="68903F98" w14:textId="77777777" w:rsidTr="00BC4ABF">
        <w:trPr>
          <w:trHeight w:val="323"/>
        </w:trPr>
        <w:tc>
          <w:tcPr>
            <w:tcW w:w="1413" w:type="dxa"/>
            <w:shd w:val="clear" w:color="auto" w:fill="auto"/>
            <w:noWrap/>
            <w:vAlign w:val="center"/>
            <w:hideMark/>
          </w:tcPr>
          <w:p w14:paraId="46EC9E65"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Zambia</w:t>
            </w:r>
          </w:p>
        </w:tc>
        <w:tc>
          <w:tcPr>
            <w:tcW w:w="850" w:type="dxa"/>
            <w:shd w:val="clear" w:color="000000" w:fill="FFD966"/>
            <w:vAlign w:val="center"/>
          </w:tcPr>
          <w:p w14:paraId="7E8555CA" w14:textId="77777777" w:rsidR="00FF2998" w:rsidRPr="00023D60" w:rsidRDefault="00FF2998" w:rsidP="00371D8F">
            <w:pPr>
              <w:jc w:val="center"/>
              <w:rPr>
                <w:rFonts w:eastAsia="Calibri" w:cs="Calibri"/>
                <w:b/>
                <w:bCs/>
                <w:color w:val="000000"/>
                <w:sz w:val="18"/>
                <w:szCs w:val="18"/>
              </w:rPr>
            </w:pPr>
          </w:p>
        </w:tc>
        <w:tc>
          <w:tcPr>
            <w:tcW w:w="851" w:type="dxa"/>
            <w:shd w:val="clear" w:color="auto" w:fill="auto"/>
            <w:noWrap/>
            <w:vAlign w:val="center"/>
          </w:tcPr>
          <w:p w14:paraId="5C392310" w14:textId="77777777" w:rsidR="00FF2998" w:rsidRPr="00023D60" w:rsidRDefault="00FF2998" w:rsidP="00371D8F">
            <w:pPr>
              <w:jc w:val="center"/>
              <w:rPr>
                <w:rFonts w:eastAsia="Calibri" w:cs="Calibri"/>
                <w:b/>
                <w:bCs/>
                <w:color w:val="000000"/>
                <w:sz w:val="18"/>
                <w:szCs w:val="18"/>
              </w:rPr>
            </w:pPr>
          </w:p>
        </w:tc>
        <w:tc>
          <w:tcPr>
            <w:tcW w:w="433" w:type="dxa"/>
            <w:shd w:val="clear" w:color="000000" w:fill="FFC000"/>
            <w:noWrap/>
            <w:vAlign w:val="center"/>
          </w:tcPr>
          <w:p w14:paraId="1703003F" w14:textId="77777777" w:rsidR="00FF2998" w:rsidRPr="00023D60" w:rsidRDefault="00FF2998" w:rsidP="00371D8F">
            <w:pPr>
              <w:jc w:val="center"/>
              <w:rPr>
                <w:rFonts w:eastAsia="Calibri" w:cs="Calibri"/>
                <w:color w:val="000000"/>
                <w:sz w:val="18"/>
                <w:szCs w:val="18"/>
              </w:rPr>
            </w:pPr>
          </w:p>
        </w:tc>
        <w:tc>
          <w:tcPr>
            <w:tcW w:w="946" w:type="dxa"/>
            <w:shd w:val="clear" w:color="000000" w:fill="92D050"/>
            <w:noWrap/>
            <w:vAlign w:val="center"/>
          </w:tcPr>
          <w:p w14:paraId="692D25C9" w14:textId="77777777" w:rsidR="00FF2998" w:rsidRPr="00023D60" w:rsidRDefault="00FF2998" w:rsidP="00371D8F">
            <w:pPr>
              <w:jc w:val="center"/>
              <w:rPr>
                <w:rFonts w:eastAsia="Calibri" w:cs="Calibri"/>
                <w:color w:val="000000"/>
                <w:sz w:val="18"/>
                <w:szCs w:val="18"/>
              </w:rPr>
            </w:pPr>
          </w:p>
        </w:tc>
        <w:tc>
          <w:tcPr>
            <w:tcW w:w="1314" w:type="dxa"/>
            <w:shd w:val="clear" w:color="000000" w:fill="92D050"/>
            <w:noWrap/>
            <w:vAlign w:val="center"/>
          </w:tcPr>
          <w:p w14:paraId="040F7301" w14:textId="77777777" w:rsidR="00FF2998" w:rsidRPr="00023D60" w:rsidRDefault="00FF2998" w:rsidP="00371D8F">
            <w:pPr>
              <w:jc w:val="center"/>
              <w:rPr>
                <w:rFonts w:eastAsia="Calibri" w:cs="Calibri"/>
                <w:color w:val="000000"/>
                <w:sz w:val="18"/>
                <w:szCs w:val="18"/>
              </w:rPr>
            </w:pPr>
          </w:p>
        </w:tc>
        <w:tc>
          <w:tcPr>
            <w:tcW w:w="992" w:type="dxa"/>
            <w:shd w:val="clear" w:color="auto" w:fill="auto"/>
            <w:noWrap/>
            <w:vAlign w:val="center"/>
          </w:tcPr>
          <w:p w14:paraId="5FBB9ED0"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3BC88D45" w14:textId="77777777" w:rsidR="00FF2998" w:rsidRPr="00023D60" w:rsidRDefault="00FF2998" w:rsidP="00371D8F">
            <w:pPr>
              <w:jc w:val="center"/>
              <w:rPr>
                <w:rFonts w:eastAsia="Calibri" w:cs="Calibri"/>
                <w:sz w:val="18"/>
                <w:szCs w:val="18"/>
              </w:rPr>
            </w:pPr>
          </w:p>
        </w:tc>
      </w:tr>
      <w:tr w:rsidR="00BC4ABF" w:rsidRPr="00023D60" w14:paraId="0DEBCBB0" w14:textId="77777777" w:rsidTr="00BC4ABF">
        <w:trPr>
          <w:trHeight w:val="323"/>
        </w:trPr>
        <w:tc>
          <w:tcPr>
            <w:tcW w:w="1413" w:type="dxa"/>
            <w:shd w:val="clear" w:color="auto" w:fill="auto"/>
            <w:noWrap/>
            <w:vAlign w:val="center"/>
            <w:hideMark/>
          </w:tcPr>
          <w:p w14:paraId="16A7E254"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Ghana</w:t>
            </w:r>
          </w:p>
        </w:tc>
        <w:tc>
          <w:tcPr>
            <w:tcW w:w="850" w:type="dxa"/>
            <w:shd w:val="clear" w:color="000000" w:fill="FBE4D5"/>
            <w:vAlign w:val="center"/>
          </w:tcPr>
          <w:p w14:paraId="41A26843" w14:textId="77777777" w:rsidR="00FF2998" w:rsidRPr="00023D60" w:rsidRDefault="00FF2998" w:rsidP="00371D8F">
            <w:pPr>
              <w:jc w:val="center"/>
              <w:rPr>
                <w:rFonts w:eastAsia="Calibri" w:cs="Calibri"/>
                <w:b/>
                <w:bCs/>
                <w:color w:val="000000"/>
                <w:sz w:val="18"/>
                <w:szCs w:val="18"/>
              </w:rPr>
            </w:pPr>
          </w:p>
        </w:tc>
        <w:tc>
          <w:tcPr>
            <w:tcW w:w="851" w:type="dxa"/>
            <w:shd w:val="clear" w:color="000000" w:fill="FFC000"/>
            <w:noWrap/>
            <w:vAlign w:val="center"/>
          </w:tcPr>
          <w:p w14:paraId="0E86B194" w14:textId="77777777" w:rsidR="00FF2998" w:rsidRPr="00023D60" w:rsidRDefault="00FF2998" w:rsidP="00371D8F">
            <w:pPr>
              <w:jc w:val="center"/>
              <w:rPr>
                <w:rFonts w:eastAsia="Calibri" w:cs="Calibri"/>
                <w:color w:val="000000"/>
                <w:sz w:val="18"/>
                <w:szCs w:val="18"/>
              </w:rPr>
            </w:pPr>
          </w:p>
        </w:tc>
        <w:tc>
          <w:tcPr>
            <w:tcW w:w="433" w:type="dxa"/>
            <w:shd w:val="clear" w:color="000000" w:fill="ED7D31"/>
            <w:noWrap/>
            <w:vAlign w:val="center"/>
          </w:tcPr>
          <w:p w14:paraId="60572912"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0ACF7B1F" w14:textId="77777777" w:rsidR="00FF2998" w:rsidRPr="00023D60" w:rsidRDefault="00FF2998" w:rsidP="00371D8F">
            <w:pPr>
              <w:jc w:val="center"/>
              <w:rPr>
                <w:rFonts w:eastAsia="Calibri" w:cs="Calibri"/>
                <w:color w:val="000000"/>
                <w:sz w:val="18"/>
                <w:szCs w:val="18"/>
              </w:rPr>
            </w:pPr>
          </w:p>
        </w:tc>
        <w:tc>
          <w:tcPr>
            <w:tcW w:w="1314" w:type="dxa"/>
            <w:shd w:val="clear" w:color="auto" w:fill="auto"/>
            <w:noWrap/>
            <w:vAlign w:val="center"/>
          </w:tcPr>
          <w:p w14:paraId="54B31719" w14:textId="77777777" w:rsidR="00FF2998" w:rsidRPr="00023D60" w:rsidRDefault="00FF2998" w:rsidP="00371D8F">
            <w:pPr>
              <w:jc w:val="center"/>
              <w:rPr>
                <w:rFonts w:eastAsia="Calibri" w:cs="Calibri"/>
                <w:sz w:val="18"/>
                <w:szCs w:val="18"/>
              </w:rPr>
            </w:pPr>
          </w:p>
        </w:tc>
        <w:tc>
          <w:tcPr>
            <w:tcW w:w="992" w:type="dxa"/>
            <w:shd w:val="clear" w:color="auto" w:fill="auto"/>
            <w:noWrap/>
            <w:vAlign w:val="center"/>
          </w:tcPr>
          <w:p w14:paraId="7589F4D1" w14:textId="77777777" w:rsidR="00FF2998" w:rsidRPr="00023D60" w:rsidRDefault="00FF2998" w:rsidP="00371D8F">
            <w:pPr>
              <w:jc w:val="center"/>
              <w:rPr>
                <w:rFonts w:eastAsia="Calibri" w:cs="Calibri"/>
                <w:color w:val="000000"/>
                <w:sz w:val="18"/>
                <w:szCs w:val="18"/>
              </w:rPr>
            </w:pPr>
          </w:p>
        </w:tc>
        <w:tc>
          <w:tcPr>
            <w:tcW w:w="993" w:type="dxa"/>
            <w:shd w:val="clear" w:color="000000" w:fill="ED7D31"/>
            <w:noWrap/>
            <w:vAlign w:val="center"/>
          </w:tcPr>
          <w:p w14:paraId="4881F4DB" w14:textId="77777777" w:rsidR="00FF2998" w:rsidRPr="00023D60" w:rsidRDefault="00FF2998" w:rsidP="00371D8F">
            <w:pPr>
              <w:jc w:val="center"/>
              <w:rPr>
                <w:rFonts w:eastAsia="Calibri" w:cs="Calibri"/>
                <w:color w:val="000000"/>
                <w:sz w:val="18"/>
                <w:szCs w:val="18"/>
              </w:rPr>
            </w:pPr>
          </w:p>
        </w:tc>
      </w:tr>
      <w:tr w:rsidR="00BC4ABF" w:rsidRPr="00023D60" w14:paraId="033422B9" w14:textId="77777777" w:rsidTr="00BC4ABF">
        <w:trPr>
          <w:trHeight w:val="323"/>
        </w:trPr>
        <w:tc>
          <w:tcPr>
            <w:tcW w:w="1413" w:type="dxa"/>
            <w:shd w:val="clear" w:color="auto" w:fill="auto"/>
            <w:noWrap/>
            <w:vAlign w:val="center"/>
            <w:hideMark/>
          </w:tcPr>
          <w:p w14:paraId="2B8CE163"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Nigeria</w:t>
            </w:r>
          </w:p>
        </w:tc>
        <w:tc>
          <w:tcPr>
            <w:tcW w:w="850" w:type="dxa"/>
            <w:shd w:val="clear" w:color="000000" w:fill="FBE4D5"/>
            <w:vAlign w:val="center"/>
          </w:tcPr>
          <w:p w14:paraId="56AF5294" w14:textId="77777777" w:rsidR="00FF2998" w:rsidRPr="00023D60" w:rsidRDefault="00FF2998" w:rsidP="00371D8F">
            <w:pPr>
              <w:jc w:val="center"/>
              <w:rPr>
                <w:rFonts w:eastAsia="Calibri" w:cs="Calibri"/>
                <w:b/>
                <w:bCs/>
                <w:color w:val="000000"/>
                <w:sz w:val="18"/>
                <w:szCs w:val="18"/>
              </w:rPr>
            </w:pPr>
          </w:p>
        </w:tc>
        <w:tc>
          <w:tcPr>
            <w:tcW w:w="851" w:type="dxa"/>
            <w:shd w:val="clear" w:color="000000" w:fill="92D050"/>
            <w:noWrap/>
            <w:vAlign w:val="center"/>
          </w:tcPr>
          <w:p w14:paraId="1EFFD9C6" w14:textId="77777777" w:rsidR="00FF2998" w:rsidRPr="00023D60" w:rsidRDefault="00FF2998" w:rsidP="00371D8F">
            <w:pPr>
              <w:jc w:val="center"/>
              <w:rPr>
                <w:rFonts w:eastAsia="Calibri" w:cs="Calibri"/>
                <w:color w:val="000000"/>
                <w:sz w:val="18"/>
                <w:szCs w:val="18"/>
              </w:rPr>
            </w:pPr>
          </w:p>
        </w:tc>
        <w:tc>
          <w:tcPr>
            <w:tcW w:w="433" w:type="dxa"/>
            <w:shd w:val="clear" w:color="000000" w:fill="92D050"/>
            <w:noWrap/>
            <w:vAlign w:val="center"/>
          </w:tcPr>
          <w:p w14:paraId="58524AE2" w14:textId="77777777" w:rsidR="00FF2998" w:rsidRPr="00023D60" w:rsidRDefault="00FF2998" w:rsidP="00371D8F">
            <w:pPr>
              <w:jc w:val="center"/>
              <w:rPr>
                <w:rFonts w:eastAsia="Calibri" w:cs="Calibri"/>
                <w:color w:val="000000"/>
                <w:sz w:val="18"/>
                <w:szCs w:val="18"/>
              </w:rPr>
            </w:pPr>
          </w:p>
        </w:tc>
        <w:tc>
          <w:tcPr>
            <w:tcW w:w="946" w:type="dxa"/>
            <w:shd w:val="clear" w:color="000000" w:fill="FCE4D6"/>
            <w:noWrap/>
            <w:vAlign w:val="center"/>
          </w:tcPr>
          <w:p w14:paraId="680FA4A7" w14:textId="77777777" w:rsidR="00FF2998" w:rsidRPr="00023D60" w:rsidRDefault="00FF2998" w:rsidP="00371D8F">
            <w:pPr>
              <w:jc w:val="center"/>
              <w:rPr>
                <w:rFonts w:eastAsia="Calibri" w:cs="Calibri"/>
                <w:color w:val="000000"/>
                <w:sz w:val="18"/>
                <w:szCs w:val="18"/>
              </w:rPr>
            </w:pPr>
          </w:p>
        </w:tc>
        <w:tc>
          <w:tcPr>
            <w:tcW w:w="1314" w:type="dxa"/>
            <w:shd w:val="clear" w:color="auto" w:fill="auto"/>
            <w:noWrap/>
            <w:vAlign w:val="center"/>
          </w:tcPr>
          <w:p w14:paraId="3B2C91BB" w14:textId="77777777" w:rsidR="00FF2998" w:rsidRPr="00023D60" w:rsidRDefault="00FF2998" w:rsidP="00371D8F">
            <w:pPr>
              <w:jc w:val="center"/>
              <w:rPr>
                <w:rFonts w:eastAsia="Calibri" w:cs="Calibri"/>
                <w:color w:val="000000"/>
                <w:sz w:val="18"/>
                <w:szCs w:val="18"/>
              </w:rPr>
            </w:pPr>
          </w:p>
        </w:tc>
        <w:tc>
          <w:tcPr>
            <w:tcW w:w="992" w:type="dxa"/>
            <w:shd w:val="clear" w:color="auto" w:fill="auto"/>
            <w:noWrap/>
            <w:vAlign w:val="center"/>
          </w:tcPr>
          <w:p w14:paraId="37DF7E76"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1403524E" w14:textId="77777777" w:rsidR="00FF2998" w:rsidRPr="00023D60" w:rsidRDefault="00FF2998" w:rsidP="00371D8F">
            <w:pPr>
              <w:jc w:val="center"/>
              <w:rPr>
                <w:rFonts w:eastAsia="Calibri" w:cs="Calibri"/>
                <w:sz w:val="18"/>
                <w:szCs w:val="18"/>
              </w:rPr>
            </w:pPr>
          </w:p>
        </w:tc>
      </w:tr>
      <w:tr w:rsidR="00BC4ABF" w:rsidRPr="00023D60" w14:paraId="6DC3FECF" w14:textId="77777777" w:rsidTr="00BC4ABF">
        <w:trPr>
          <w:trHeight w:val="323"/>
        </w:trPr>
        <w:tc>
          <w:tcPr>
            <w:tcW w:w="1413" w:type="dxa"/>
            <w:shd w:val="clear" w:color="auto" w:fill="auto"/>
            <w:noWrap/>
            <w:vAlign w:val="center"/>
            <w:hideMark/>
          </w:tcPr>
          <w:p w14:paraId="6CC7D4BD"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Senegal</w:t>
            </w:r>
          </w:p>
        </w:tc>
        <w:tc>
          <w:tcPr>
            <w:tcW w:w="850" w:type="dxa"/>
            <w:shd w:val="clear" w:color="000000" w:fill="BDD6EE"/>
            <w:vAlign w:val="center"/>
          </w:tcPr>
          <w:p w14:paraId="493936DE" w14:textId="77777777" w:rsidR="00FF2998" w:rsidRPr="00023D60" w:rsidRDefault="00FF2998" w:rsidP="00371D8F">
            <w:pPr>
              <w:jc w:val="center"/>
              <w:rPr>
                <w:rFonts w:eastAsia="Calibri" w:cs="Calibri"/>
                <w:b/>
                <w:bCs/>
                <w:color w:val="000000"/>
                <w:sz w:val="18"/>
                <w:szCs w:val="18"/>
              </w:rPr>
            </w:pPr>
          </w:p>
        </w:tc>
        <w:tc>
          <w:tcPr>
            <w:tcW w:w="851" w:type="dxa"/>
            <w:shd w:val="clear" w:color="000000" w:fill="FCE4D6"/>
            <w:noWrap/>
            <w:vAlign w:val="center"/>
          </w:tcPr>
          <w:p w14:paraId="32FAC52E" w14:textId="77777777" w:rsidR="00FF2998" w:rsidRPr="00023D60" w:rsidRDefault="00FF2998" w:rsidP="00371D8F">
            <w:pPr>
              <w:jc w:val="center"/>
              <w:rPr>
                <w:rFonts w:eastAsia="Calibri" w:cs="Calibri"/>
                <w:color w:val="000000"/>
                <w:sz w:val="18"/>
                <w:szCs w:val="18"/>
              </w:rPr>
            </w:pPr>
          </w:p>
        </w:tc>
        <w:tc>
          <w:tcPr>
            <w:tcW w:w="433" w:type="dxa"/>
            <w:shd w:val="clear" w:color="000000" w:fill="ED7D31"/>
            <w:noWrap/>
            <w:vAlign w:val="center"/>
          </w:tcPr>
          <w:p w14:paraId="596B4A14"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0405CF57" w14:textId="77777777" w:rsidR="00FF2998" w:rsidRPr="00023D60" w:rsidRDefault="00FF2998" w:rsidP="00371D8F">
            <w:pPr>
              <w:jc w:val="center"/>
              <w:rPr>
                <w:rFonts w:eastAsia="Calibri" w:cs="Calibri"/>
                <w:color w:val="000000"/>
                <w:sz w:val="18"/>
                <w:szCs w:val="18"/>
              </w:rPr>
            </w:pPr>
          </w:p>
        </w:tc>
        <w:tc>
          <w:tcPr>
            <w:tcW w:w="1314" w:type="dxa"/>
            <w:shd w:val="clear" w:color="auto" w:fill="auto"/>
            <w:noWrap/>
            <w:vAlign w:val="center"/>
          </w:tcPr>
          <w:p w14:paraId="6DEFE98F" w14:textId="77777777" w:rsidR="00FF2998" w:rsidRPr="00023D60" w:rsidRDefault="00FF2998" w:rsidP="00371D8F">
            <w:pPr>
              <w:jc w:val="center"/>
              <w:rPr>
                <w:rFonts w:eastAsia="Calibri" w:cs="Calibri"/>
                <w:sz w:val="18"/>
                <w:szCs w:val="18"/>
              </w:rPr>
            </w:pPr>
          </w:p>
        </w:tc>
        <w:tc>
          <w:tcPr>
            <w:tcW w:w="992" w:type="dxa"/>
            <w:shd w:val="clear" w:color="000000" w:fill="92D050"/>
            <w:noWrap/>
            <w:vAlign w:val="center"/>
          </w:tcPr>
          <w:p w14:paraId="27E0128E"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5A3491F3" w14:textId="77777777" w:rsidR="00FF2998" w:rsidRPr="00023D60" w:rsidRDefault="00FF2998" w:rsidP="00371D8F">
            <w:pPr>
              <w:jc w:val="center"/>
              <w:rPr>
                <w:rFonts w:eastAsia="Calibri" w:cs="Calibri"/>
                <w:color w:val="000000"/>
                <w:sz w:val="18"/>
                <w:szCs w:val="18"/>
              </w:rPr>
            </w:pPr>
          </w:p>
        </w:tc>
      </w:tr>
      <w:tr w:rsidR="00FF2998" w:rsidRPr="00023D60" w14:paraId="7E7EBB53" w14:textId="77777777" w:rsidTr="008A5F96">
        <w:trPr>
          <w:trHeight w:val="323"/>
        </w:trPr>
        <w:tc>
          <w:tcPr>
            <w:tcW w:w="1413" w:type="dxa"/>
            <w:shd w:val="clear" w:color="auto" w:fill="auto"/>
            <w:noWrap/>
            <w:vAlign w:val="center"/>
            <w:hideMark/>
          </w:tcPr>
          <w:p w14:paraId="1D8CFBA2"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Sierra Leone</w:t>
            </w:r>
          </w:p>
        </w:tc>
        <w:tc>
          <w:tcPr>
            <w:tcW w:w="850" w:type="dxa"/>
            <w:shd w:val="clear" w:color="000000" w:fill="BDD6EE"/>
            <w:vAlign w:val="center"/>
          </w:tcPr>
          <w:p w14:paraId="449E37CA" w14:textId="77777777" w:rsidR="00FF2998" w:rsidRPr="00023D60" w:rsidRDefault="00FF2998" w:rsidP="00371D8F">
            <w:pPr>
              <w:jc w:val="center"/>
              <w:rPr>
                <w:rFonts w:eastAsia="Calibri" w:cs="Calibri"/>
                <w:b/>
                <w:bCs/>
                <w:color w:val="000000"/>
                <w:sz w:val="18"/>
                <w:szCs w:val="18"/>
              </w:rPr>
            </w:pPr>
          </w:p>
        </w:tc>
        <w:tc>
          <w:tcPr>
            <w:tcW w:w="851" w:type="dxa"/>
            <w:shd w:val="clear" w:color="auto" w:fill="auto"/>
            <w:noWrap/>
            <w:vAlign w:val="center"/>
          </w:tcPr>
          <w:p w14:paraId="04CF143B" w14:textId="77777777" w:rsidR="00FF2998" w:rsidRPr="00023D60" w:rsidRDefault="00FF2998" w:rsidP="00371D8F">
            <w:pPr>
              <w:jc w:val="center"/>
              <w:rPr>
                <w:rFonts w:eastAsia="Calibri" w:cs="Calibri"/>
                <w:b/>
                <w:bCs/>
                <w:color w:val="000000"/>
                <w:sz w:val="18"/>
                <w:szCs w:val="18"/>
              </w:rPr>
            </w:pPr>
          </w:p>
        </w:tc>
        <w:tc>
          <w:tcPr>
            <w:tcW w:w="433" w:type="dxa"/>
            <w:shd w:val="clear" w:color="000000" w:fill="00B050"/>
            <w:noWrap/>
            <w:vAlign w:val="center"/>
          </w:tcPr>
          <w:p w14:paraId="1747D8BA"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3A522160" w14:textId="77777777" w:rsidR="00FF2998" w:rsidRPr="00023D60" w:rsidRDefault="00FF2998" w:rsidP="00371D8F">
            <w:pPr>
              <w:jc w:val="center"/>
              <w:rPr>
                <w:rFonts w:eastAsia="Calibri" w:cs="Calibri"/>
                <w:color w:val="000000"/>
                <w:sz w:val="18"/>
                <w:szCs w:val="18"/>
              </w:rPr>
            </w:pPr>
          </w:p>
        </w:tc>
        <w:tc>
          <w:tcPr>
            <w:tcW w:w="1314" w:type="dxa"/>
            <w:shd w:val="clear" w:color="auto" w:fill="auto"/>
            <w:noWrap/>
            <w:vAlign w:val="center"/>
          </w:tcPr>
          <w:p w14:paraId="7BD7367D" w14:textId="77777777" w:rsidR="00FF2998" w:rsidRPr="00023D60" w:rsidRDefault="00FF2998" w:rsidP="00371D8F">
            <w:pPr>
              <w:jc w:val="center"/>
              <w:rPr>
                <w:rFonts w:eastAsia="Calibri" w:cs="Calibri"/>
                <w:sz w:val="18"/>
                <w:szCs w:val="18"/>
              </w:rPr>
            </w:pPr>
          </w:p>
        </w:tc>
        <w:tc>
          <w:tcPr>
            <w:tcW w:w="992" w:type="dxa"/>
            <w:shd w:val="clear" w:color="auto" w:fill="auto"/>
            <w:noWrap/>
            <w:vAlign w:val="center"/>
          </w:tcPr>
          <w:p w14:paraId="0A5258B8"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14222F56" w14:textId="77777777" w:rsidR="00FF2998" w:rsidRPr="00023D60" w:rsidRDefault="00FF2998" w:rsidP="00371D8F">
            <w:pPr>
              <w:jc w:val="center"/>
              <w:rPr>
                <w:rFonts w:eastAsia="Calibri" w:cs="Calibri"/>
                <w:sz w:val="18"/>
                <w:szCs w:val="18"/>
              </w:rPr>
            </w:pPr>
          </w:p>
        </w:tc>
      </w:tr>
      <w:tr w:rsidR="00FF2998" w:rsidRPr="00023D60" w14:paraId="6978D429" w14:textId="77777777" w:rsidTr="008A5F96">
        <w:trPr>
          <w:trHeight w:val="323"/>
        </w:trPr>
        <w:tc>
          <w:tcPr>
            <w:tcW w:w="1413" w:type="dxa"/>
            <w:shd w:val="clear" w:color="auto" w:fill="auto"/>
            <w:noWrap/>
            <w:vAlign w:val="center"/>
            <w:hideMark/>
          </w:tcPr>
          <w:p w14:paraId="5EE54B1F" w14:textId="77777777" w:rsidR="00FF2998" w:rsidRPr="00BC4ABF" w:rsidRDefault="00FF2998" w:rsidP="00371D8F">
            <w:pPr>
              <w:jc w:val="center"/>
              <w:rPr>
                <w:rFonts w:eastAsia="Calibri" w:cs="Calibri"/>
                <w:color w:val="3B3B3C"/>
                <w:sz w:val="18"/>
                <w:szCs w:val="18"/>
              </w:rPr>
            </w:pPr>
            <w:r w:rsidRPr="00BC4ABF">
              <w:rPr>
                <w:rFonts w:eastAsia="Calibri" w:cs="Calibri"/>
                <w:color w:val="3B3B3C"/>
                <w:sz w:val="18"/>
                <w:szCs w:val="18"/>
              </w:rPr>
              <w:t>Vietnam</w:t>
            </w:r>
          </w:p>
        </w:tc>
        <w:tc>
          <w:tcPr>
            <w:tcW w:w="850" w:type="dxa"/>
            <w:shd w:val="clear" w:color="000000" w:fill="BDD6EE"/>
            <w:vAlign w:val="center"/>
          </w:tcPr>
          <w:p w14:paraId="1D7FDABA" w14:textId="77777777" w:rsidR="00FF2998" w:rsidRPr="00023D60" w:rsidRDefault="00FF2998" w:rsidP="00371D8F">
            <w:pPr>
              <w:jc w:val="center"/>
              <w:rPr>
                <w:rFonts w:eastAsia="Calibri" w:cs="Calibri"/>
                <w:b/>
                <w:bCs/>
                <w:color w:val="000000"/>
                <w:sz w:val="18"/>
                <w:szCs w:val="18"/>
              </w:rPr>
            </w:pPr>
          </w:p>
        </w:tc>
        <w:tc>
          <w:tcPr>
            <w:tcW w:w="851" w:type="dxa"/>
            <w:shd w:val="clear" w:color="000000" w:fill="92D050"/>
            <w:vAlign w:val="center"/>
          </w:tcPr>
          <w:p w14:paraId="4CF6CBB7" w14:textId="77777777" w:rsidR="00FF2998" w:rsidRPr="00023D60" w:rsidRDefault="00FF2998" w:rsidP="00371D8F">
            <w:pPr>
              <w:jc w:val="center"/>
              <w:rPr>
                <w:rFonts w:eastAsia="Calibri" w:cs="Calibri"/>
                <w:color w:val="000000"/>
                <w:sz w:val="18"/>
                <w:szCs w:val="18"/>
              </w:rPr>
            </w:pPr>
          </w:p>
        </w:tc>
        <w:tc>
          <w:tcPr>
            <w:tcW w:w="433" w:type="dxa"/>
            <w:shd w:val="clear" w:color="auto" w:fill="auto"/>
            <w:noWrap/>
            <w:vAlign w:val="center"/>
          </w:tcPr>
          <w:p w14:paraId="32F20386" w14:textId="77777777" w:rsidR="00FF2998" w:rsidRPr="00023D60" w:rsidRDefault="00FF2998" w:rsidP="00371D8F">
            <w:pPr>
              <w:jc w:val="center"/>
              <w:rPr>
                <w:rFonts w:eastAsia="Calibri" w:cs="Calibri"/>
                <w:color w:val="000000"/>
                <w:sz w:val="18"/>
                <w:szCs w:val="18"/>
              </w:rPr>
            </w:pPr>
          </w:p>
        </w:tc>
        <w:tc>
          <w:tcPr>
            <w:tcW w:w="946" w:type="dxa"/>
            <w:shd w:val="clear" w:color="auto" w:fill="auto"/>
            <w:noWrap/>
            <w:vAlign w:val="center"/>
          </w:tcPr>
          <w:p w14:paraId="097DEF92" w14:textId="77777777" w:rsidR="00FF2998" w:rsidRPr="00023D60" w:rsidRDefault="00FF2998" w:rsidP="00371D8F">
            <w:pPr>
              <w:jc w:val="center"/>
              <w:rPr>
                <w:rFonts w:eastAsia="Calibri" w:cs="Calibri"/>
                <w:sz w:val="18"/>
                <w:szCs w:val="18"/>
              </w:rPr>
            </w:pPr>
          </w:p>
        </w:tc>
        <w:tc>
          <w:tcPr>
            <w:tcW w:w="1314" w:type="dxa"/>
            <w:shd w:val="clear" w:color="auto" w:fill="auto"/>
            <w:noWrap/>
            <w:vAlign w:val="center"/>
          </w:tcPr>
          <w:p w14:paraId="3F5C56E2" w14:textId="77777777" w:rsidR="00FF2998" w:rsidRPr="00023D60" w:rsidRDefault="00FF2998" w:rsidP="00371D8F">
            <w:pPr>
              <w:jc w:val="center"/>
              <w:rPr>
                <w:rFonts w:eastAsia="Calibri" w:cs="Calibri"/>
                <w:sz w:val="18"/>
                <w:szCs w:val="18"/>
              </w:rPr>
            </w:pPr>
          </w:p>
        </w:tc>
        <w:tc>
          <w:tcPr>
            <w:tcW w:w="992" w:type="dxa"/>
            <w:shd w:val="clear" w:color="000000" w:fill="FCE4D6"/>
            <w:noWrap/>
            <w:vAlign w:val="center"/>
          </w:tcPr>
          <w:p w14:paraId="547DE156" w14:textId="77777777" w:rsidR="00FF2998" w:rsidRPr="00023D60" w:rsidRDefault="00FF2998" w:rsidP="00371D8F">
            <w:pPr>
              <w:jc w:val="center"/>
              <w:rPr>
                <w:rFonts w:eastAsia="Calibri" w:cs="Calibri"/>
                <w:color w:val="000000"/>
                <w:sz w:val="18"/>
                <w:szCs w:val="18"/>
              </w:rPr>
            </w:pPr>
          </w:p>
        </w:tc>
        <w:tc>
          <w:tcPr>
            <w:tcW w:w="993" w:type="dxa"/>
            <w:shd w:val="clear" w:color="auto" w:fill="auto"/>
            <w:noWrap/>
            <w:vAlign w:val="center"/>
          </w:tcPr>
          <w:p w14:paraId="7C3A73C9" w14:textId="77777777" w:rsidR="00FF2998" w:rsidRPr="00023D60" w:rsidRDefault="00FF2998" w:rsidP="00371D8F">
            <w:pPr>
              <w:jc w:val="center"/>
              <w:rPr>
                <w:rFonts w:eastAsia="Calibri" w:cs="Calibri"/>
                <w:color w:val="000000"/>
                <w:sz w:val="18"/>
                <w:szCs w:val="18"/>
              </w:rPr>
            </w:pPr>
          </w:p>
        </w:tc>
      </w:tr>
    </w:tbl>
    <w:tbl>
      <w:tblPr>
        <w:tblStyle w:val="TableGrid"/>
        <w:tblpPr w:leftFromText="180" w:rightFromText="180" w:vertAnchor="text" w:horzAnchor="margin" w:tblpY="217"/>
        <w:tblW w:w="0" w:type="auto"/>
        <w:tblLook w:val="04A0" w:firstRow="1" w:lastRow="0" w:firstColumn="1" w:lastColumn="0" w:noHBand="0" w:noVBand="1"/>
      </w:tblPr>
      <w:tblGrid>
        <w:gridCol w:w="1696"/>
        <w:gridCol w:w="1696"/>
      </w:tblGrid>
      <w:tr w:rsidR="00D51EA7" w:rsidRPr="00E46F96" w14:paraId="2E8EE911" w14:textId="3AC591D4" w:rsidTr="000A4681">
        <w:trPr>
          <w:trHeight w:val="227"/>
        </w:trPr>
        <w:tc>
          <w:tcPr>
            <w:tcW w:w="1696" w:type="dxa"/>
            <w:shd w:val="clear" w:color="auto" w:fill="auto"/>
          </w:tcPr>
          <w:p w14:paraId="0AD1D2C1" w14:textId="2B088A5B" w:rsidR="00D51EA7" w:rsidRPr="00E46F96" w:rsidRDefault="00D51EA7" w:rsidP="00D51EA7">
            <w:pPr>
              <w:rPr>
                <w:rFonts w:eastAsia="Yu Mincho"/>
                <w:b/>
                <w:bCs/>
                <w:color w:val="3B3B3C"/>
                <w:sz w:val="16"/>
                <w:szCs w:val="16"/>
              </w:rPr>
            </w:pPr>
            <w:r w:rsidRPr="00E46F96">
              <w:rPr>
                <w:rFonts w:eastAsia="Yu Mincho"/>
                <w:b/>
                <w:bCs/>
                <w:color w:val="3B3B3C"/>
                <w:sz w:val="16"/>
                <w:szCs w:val="16"/>
              </w:rPr>
              <w:t xml:space="preserve">Key: Extent of </w:t>
            </w:r>
            <w:r>
              <w:rPr>
                <w:rFonts w:eastAsia="Yu Mincho"/>
                <w:b/>
                <w:bCs/>
                <w:color w:val="3B3B3C"/>
                <w:sz w:val="16"/>
                <w:szCs w:val="16"/>
              </w:rPr>
              <w:t>c</w:t>
            </w:r>
            <w:r w:rsidRPr="00E46F96">
              <w:rPr>
                <w:rFonts w:eastAsia="Yu Mincho"/>
                <w:b/>
                <w:bCs/>
                <w:color w:val="3B3B3C"/>
                <w:sz w:val="16"/>
                <w:szCs w:val="16"/>
              </w:rPr>
              <w:t>hange</w:t>
            </w:r>
          </w:p>
        </w:tc>
        <w:tc>
          <w:tcPr>
            <w:tcW w:w="1696" w:type="dxa"/>
          </w:tcPr>
          <w:p w14:paraId="32272CF1" w14:textId="686BC352" w:rsidR="00D51EA7" w:rsidRPr="00E46F96" w:rsidRDefault="00D51EA7" w:rsidP="00D51EA7">
            <w:pPr>
              <w:rPr>
                <w:rFonts w:eastAsia="Yu Mincho"/>
                <w:b/>
                <w:bCs/>
                <w:color w:val="3B3B3C"/>
                <w:sz w:val="16"/>
                <w:szCs w:val="16"/>
              </w:rPr>
            </w:pPr>
            <w:r w:rsidRPr="00EC48DA">
              <w:rPr>
                <w:rFonts w:eastAsia="Yu Mincho"/>
                <w:b/>
                <w:bCs/>
                <w:color w:val="3B3B3C"/>
                <w:sz w:val="16"/>
                <w:szCs w:val="16"/>
              </w:rPr>
              <w:t>Key: Fleming Fund contribution</w:t>
            </w:r>
          </w:p>
        </w:tc>
      </w:tr>
      <w:tr w:rsidR="00D51EA7" w:rsidRPr="00E46F96" w14:paraId="1D3A8A33" w14:textId="3C930C02" w:rsidTr="0031432F">
        <w:trPr>
          <w:trHeight w:val="227"/>
        </w:trPr>
        <w:tc>
          <w:tcPr>
            <w:tcW w:w="1696" w:type="dxa"/>
            <w:shd w:val="clear" w:color="auto" w:fill="BF8F00"/>
          </w:tcPr>
          <w:p w14:paraId="3B8FF86F" w14:textId="77777777" w:rsidR="00D51EA7" w:rsidRPr="00E46F96" w:rsidRDefault="00D51EA7" w:rsidP="00D51EA7">
            <w:pPr>
              <w:rPr>
                <w:rFonts w:eastAsia="Yu Mincho"/>
                <w:b/>
                <w:bCs/>
                <w:color w:val="3B3B3C"/>
                <w:sz w:val="16"/>
                <w:szCs w:val="16"/>
              </w:rPr>
            </w:pPr>
            <w:r w:rsidRPr="00E46F96">
              <w:rPr>
                <w:rFonts w:eastAsia="Yu Mincho"/>
                <w:b/>
                <w:bCs/>
                <w:color w:val="3B3B3C"/>
                <w:sz w:val="16"/>
                <w:szCs w:val="16"/>
              </w:rPr>
              <w:t>Considerable</w:t>
            </w:r>
          </w:p>
        </w:tc>
        <w:tc>
          <w:tcPr>
            <w:tcW w:w="1696" w:type="dxa"/>
            <w:shd w:val="clear" w:color="auto" w:fill="00B050"/>
          </w:tcPr>
          <w:p w14:paraId="1201A7D6" w14:textId="09311887" w:rsidR="00D51EA7" w:rsidRPr="00E46F96" w:rsidRDefault="00D51EA7" w:rsidP="00D51EA7">
            <w:pPr>
              <w:rPr>
                <w:rFonts w:eastAsia="Yu Mincho"/>
                <w:b/>
                <w:bCs/>
                <w:color w:val="3B3B3C"/>
                <w:sz w:val="16"/>
                <w:szCs w:val="16"/>
              </w:rPr>
            </w:pPr>
            <w:r w:rsidRPr="00EC48DA">
              <w:rPr>
                <w:rFonts w:eastAsia="Yu Mincho"/>
                <w:b/>
                <w:bCs/>
                <w:color w:val="3B3B3C"/>
                <w:sz w:val="16"/>
                <w:szCs w:val="16"/>
              </w:rPr>
              <w:t>Vital</w:t>
            </w:r>
          </w:p>
        </w:tc>
      </w:tr>
      <w:tr w:rsidR="00D51EA7" w:rsidRPr="00E46F96" w14:paraId="1AF6E065" w14:textId="34BB0EB0" w:rsidTr="00401B95">
        <w:trPr>
          <w:trHeight w:val="227"/>
        </w:trPr>
        <w:tc>
          <w:tcPr>
            <w:tcW w:w="1696" w:type="dxa"/>
            <w:shd w:val="clear" w:color="auto" w:fill="FFD966"/>
          </w:tcPr>
          <w:p w14:paraId="69D49221" w14:textId="77777777" w:rsidR="00D51EA7" w:rsidRPr="00E46F96" w:rsidRDefault="00D51EA7" w:rsidP="00D51EA7">
            <w:pPr>
              <w:rPr>
                <w:rFonts w:eastAsia="Yu Mincho"/>
                <w:b/>
                <w:bCs/>
                <w:color w:val="3B3B3C"/>
                <w:sz w:val="16"/>
                <w:szCs w:val="16"/>
              </w:rPr>
            </w:pPr>
            <w:r w:rsidRPr="00E46F96">
              <w:rPr>
                <w:rFonts w:eastAsia="Yu Mincho"/>
                <w:b/>
                <w:bCs/>
                <w:color w:val="3B3B3C"/>
                <w:sz w:val="16"/>
                <w:szCs w:val="16"/>
              </w:rPr>
              <w:t>Some</w:t>
            </w:r>
          </w:p>
        </w:tc>
        <w:tc>
          <w:tcPr>
            <w:tcW w:w="1696" w:type="dxa"/>
            <w:shd w:val="clear" w:color="auto" w:fill="92D050"/>
          </w:tcPr>
          <w:p w14:paraId="0F23609B" w14:textId="3B86B08F" w:rsidR="00D51EA7" w:rsidRPr="00E46F96" w:rsidRDefault="00D51EA7" w:rsidP="00D51EA7">
            <w:pPr>
              <w:rPr>
                <w:rFonts w:eastAsia="Yu Mincho"/>
                <w:b/>
                <w:bCs/>
                <w:color w:val="3B3B3C"/>
                <w:sz w:val="16"/>
                <w:szCs w:val="16"/>
              </w:rPr>
            </w:pPr>
            <w:r w:rsidRPr="00EC48DA">
              <w:rPr>
                <w:rFonts w:eastAsia="Yu Mincho"/>
                <w:b/>
                <w:bCs/>
                <w:color w:val="3B3B3C"/>
                <w:sz w:val="16"/>
                <w:szCs w:val="16"/>
              </w:rPr>
              <w:t>Important</w:t>
            </w:r>
          </w:p>
        </w:tc>
      </w:tr>
      <w:tr w:rsidR="00D51EA7" w:rsidRPr="00E46F96" w14:paraId="277446EA" w14:textId="58ED943B" w:rsidTr="00401B95">
        <w:trPr>
          <w:trHeight w:val="227"/>
        </w:trPr>
        <w:tc>
          <w:tcPr>
            <w:tcW w:w="1696" w:type="dxa"/>
            <w:shd w:val="clear" w:color="auto" w:fill="FBE4D5"/>
          </w:tcPr>
          <w:p w14:paraId="0C0B4575" w14:textId="77777777" w:rsidR="00D51EA7" w:rsidRPr="00E46F96" w:rsidRDefault="00D51EA7" w:rsidP="00D51EA7">
            <w:pPr>
              <w:rPr>
                <w:rFonts w:eastAsia="Yu Mincho"/>
                <w:b/>
                <w:bCs/>
                <w:color w:val="3B3B3C"/>
                <w:sz w:val="16"/>
                <w:szCs w:val="16"/>
              </w:rPr>
            </w:pPr>
            <w:r w:rsidRPr="00E46F96">
              <w:rPr>
                <w:rFonts w:eastAsia="Yu Mincho"/>
                <w:b/>
                <w:bCs/>
                <w:color w:val="3B3B3C"/>
                <w:sz w:val="16"/>
                <w:szCs w:val="16"/>
              </w:rPr>
              <w:t>Limited</w:t>
            </w:r>
          </w:p>
        </w:tc>
        <w:tc>
          <w:tcPr>
            <w:tcW w:w="1696" w:type="dxa"/>
            <w:shd w:val="clear" w:color="auto" w:fill="F9E2D5" w:themeFill="accent2" w:themeFillTint="33"/>
          </w:tcPr>
          <w:p w14:paraId="50179663" w14:textId="39303CA9" w:rsidR="00D51EA7" w:rsidRPr="00E46F96" w:rsidRDefault="00D51EA7" w:rsidP="00D51EA7">
            <w:pPr>
              <w:rPr>
                <w:rFonts w:eastAsia="Yu Mincho"/>
                <w:b/>
                <w:bCs/>
                <w:color w:val="3B3B3C"/>
                <w:sz w:val="16"/>
                <w:szCs w:val="16"/>
              </w:rPr>
            </w:pPr>
            <w:r w:rsidRPr="00EC48DA">
              <w:rPr>
                <w:rFonts w:eastAsia="Yu Mincho"/>
                <w:b/>
                <w:bCs/>
                <w:color w:val="3B3B3C"/>
                <w:sz w:val="16"/>
                <w:szCs w:val="16"/>
              </w:rPr>
              <w:t>Limited</w:t>
            </w:r>
          </w:p>
        </w:tc>
      </w:tr>
      <w:tr w:rsidR="00D51EA7" w:rsidRPr="00E46F96" w14:paraId="1EF7CBCF" w14:textId="2CCEAF6A" w:rsidTr="00401B95">
        <w:trPr>
          <w:trHeight w:val="227"/>
        </w:trPr>
        <w:tc>
          <w:tcPr>
            <w:tcW w:w="1696" w:type="dxa"/>
            <w:shd w:val="clear" w:color="auto" w:fill="FFFF00"/>
          </w:tcPr>
          <w:p w14:paraId="32D13555" w14:textId="714F26A6" w:rsidR="00D51EA7" w:rsidRPr="00E46F96" w:rsidRDefault="00D51EA7" w:rsidP="00D51EA7">
            <w:pPr>
              <w:rPr>
                <w:rFonts w:eastAsia="Yu Mincho"/>
                <w:b/>
                <w:bCs/>
                <w:color w:val="3B3B3C"/>
                <w:sz w:val="16"/>
                <w:szCs w:val="16"/>
              </w:rPr>
            </w:pPr>
            <w:r>
              <w:rPr>
                <w:rFonts w:eastAsia="Yu Mincho"/>
                <w:b/>
                <w:bCs/>
                <w:color w:val="3B3B3C"/>
                <w:sz w:val="16"/>
                <w:szCs w:val="16"/>
              </w:rPr>
              <w:t>Unclear</w:t>
            </w:r>
          </w:p>
        </w:tc>
        <w:tc>
          <w:tcPr>
            <w:tcW w:w="1696" w:type="dxa"/>
            <w:shd w:val="clear" w:color="auto" w:fill="FFC000"/>
          </w:tcPr>
          <w:p w14:paraId="74CDDC08" w14:textId="0A93E9A7" w:rsidR="00D51EA7" w:rsidRDefault="00D51EA7" w:rsidP="00D51EA7">
            <w:pPr>
              <w:rPr>
                <w:rFonts w:eastAsia="Yu Mincho"/>
                <w:b/>
                <w:bCs/>
                <w:color w:val="3B3B3C"/>
                <w:sz w:val="16"/>
                <w:szCs w:val="16"/>
              </w:rPr>
            </w:pPr>
            <w:r w:rsidRPr="00EC48DA">
              <w:rPr>
                <w:rFonts w:eastAsia="Yu Mincho"/>
                <w:b/>
                <w:bCs/>
                <w:color w:val="3B3B3C"/>
                <w:sz w:val="16"/>
                <w:szCs w:val="16"/>
              </w:rPr>
              <w:t xml:space="preserve">Some </w:t>
            </w:r>
          </w:p>
        </w:tc>
      </w:tr>
      <w:tr w:rsidR="00D51EA7" w:rsidRPr="00E46F96" w14:paraId="2D3BFFBB" w14:textId="6AD95497" w:rsidTr="00401B95">
        <w:trPr>
          <w:trHeight w:val="227"/>
        </w:trPr>
        <w:tc>
          <w:tcPr>
            <w:tcW w:w="1696" w:type="dxa"/>
            <w:shd w:val="clear" w:color="auto" w:fill="BDD6EE"/>
          </w:tcPr>
          <w:p w14:paraId="23527415" w14:textId="3A92725E" w:rsidR="00D51EA7" w:rsidRPr="00E46F96" w:rsidRDefault="00D51EA7" w:rsidP="00D51EA7">
            <w:pPr>
              <w:rPr>
                <w:rFonts w:eastAsia="Yu Mincho"/>
                <w:b/>
                <w:bCs/>
                <w:color w:val="3B3B3C"/>
                <w:sz w:val="16"/>
                <w:szCs w:val="16"/>
              </w:rPr>
            </w:pPr>
            <w:r>
              <w:rPr>
                <w:rFonts w:eastAsia="Yu Mincho"/>
                <w:b/>
                <w:bCs/>
                <w:color w:val="3B3B3C"/>
                <w:sz w:val="16"/>
                <w:szCs w:val="16"/>
              </w:rPr>
              <w:t>None yet</w:t>
            </w:r>
          </w:p>
        </w:tc>
        <w:tc>
          <w:tcPr>
            <w:tcW w:w="1696" w:type="dxa"/>
            <w:shd w:val="clear" w:color="auto" w:fill="E37230" w:themeFill="accent2"/>
          </w:tcPr>
          <w:p w14:paraId="57CC6BC6" w14:textId="67775F5E" w:rsidR="00D51EA7" w:rsidRDefault="00D51EA7" w:rsidP="00D51EA7">
            <w:pPr>
              <w:rPr>
                <w:rFonts w:eastAsia="Yu Mincho"/>
                <w:b/>
                <w:bCs/>
                <w:color w:val="3B3B3C"/>
                <w:sz w:val="16"/>
                <w:szCs w:val="16"/>
              </w:rPr>
            </w:pPr>
            <w:r w:rsidRPr="00EC48DA">
              <w:rPr>
                <w:rFonts w:eastAsia="Yu Mincho"/>
                <w:b/>
                <w:bCs/>
                <w:color w:val="3B3B3C"/>
                <w:sz w:val="16"/>
                <w:szCs w:val="16"/>
              </w:rPr>
              <w:t>None</w:t>
            </w:r>
          </w:p>
        </w:tc>
      </w:tr>
    </w:tbl>
    <w:p w14:paraId="5A22503C" w14:textId="15310616" w:rsidR="005E45BC" w:rsidRDefault="005E45BC"/>
    <w:p w14:paraId="0271F97E" w14:textId="77777777" w:rsidR="00D91356" w:rsidRDefault="00D91356">
      <w:pPr>
        <w:rPr>
          <w:lang w:eastAsia="en-GB"/>
        </w:rPr>
      </w:pPr>
      <w:bookmarkStart w:id="318" w:name="_Toc129349704"/>
      <w:bookmarkStart w:id="319" w:name="_Toc129349705"/>
      <w:bookmarkStart w:id="320" w:name="_Toc129349706"/>
      <w:bookmarkStart w:id="321" w:name="_Toc129349707"/>
      <w:bookmarkStart w:id="322" w:name="_Toc129349708"/>
      <w:bookmarkStart w:id="323" w:name="_Toc129349724"/>
      <w:bookmarkStart w:id="324" w:name="_Toc129349725"/>
      <w:bookmarkStart w:id="325" w:name="_Toc129349726"/>
      <w:bookmarkStart w:id="326" w:name="_Toc129349727"/>
      <w:bookmarkStart w:id="327" w:name="_Toc129349728"/>
      <w:bookmarkStart w:id="328" w:name="_Toc129349729"/>
      <w:bookmarkStart w:id="329" w:name="_Toc129349730"/>
      <w:bookmarkStart w:id="330" w:name="_Toc129349731"/>
      <w:bookmarkStart w:id="331" w:name="_Toc129349732"/>
      <w:bookmarkStart w:id="332" w:name="_Toc129349733"/>
      <w:bookmarkStart w:id="333" w:name="_Toc129349734"/>
      <w:bookmarkStart w:id="334" w:name="_Toc129349735"/>
      <w:bookmarkStart w:id="335" w:name="_Toc129349736"/>
      <w:bookmarkStart w:id="336" w:name="_Ref12908375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0E58CFE2" w14:textId="77777777" w:rsidR="00D91356" w:rsidRDefault="00D91356">
      <w:pPr>
        <w:rPr>
          <w:lang w:eastAsia="en-GB"/>
        </w:rPr>
      </w:pPr>
    </w:p>
    <w:p w14:paraId="7FCCAFFF" w14:textId="77777777" w:rsidR="00D91356" w:rsidRDefault="00D91356">
      <w:pPr>
        <w:rPr>
          <w:lang w:eastAsia="en-GB"/>
        </w:rPr>
      </w:pPr>
    </w:p>
    <w:p w14:paraId="1B891C4E" w14:textId="77777777" w:rsidR="00D91356" w:rsidRDefault="00D91356">
      <w:pPr>
        <w:rPr>
          <w:lang w:eastAsia="en-GB"/>
        </w:rPr>
      </w:pPr>
    </w:p>
    <w:p w14:paraId="3C5C2F69" w14:textId="77777777" w:rsidR="00D91356" w:rsidRDefault="00D91356">
      <w:pPr>
        <w:rPr>
          <w:lang w:eastAsia="en-GB"/>
        </w:rPr>
      </w:pPr>
    </w:p>
    <w:p w14:paraId="375C167F" w14:textId="77777777" w:rsidR="00D91356" w:rsidRDefault="00D91356">
      <w:pPr>
        <w:rPr>
          <w:lang w:eastAsia="en-GB"/>
        </w:rPr>
      </w:pPr>
    </w:p>
    <w:p w14:paraId="3ABF65AC" w14:textId="62881F21" w:rsidR="00FF2998" w:rsidRPr="008343D7" w:rsidRDefault="00FF2998" w:rsidP="008A5F96">
      <w:pPr>
        <w:pStyle w:val="ItadH2Numbered"/>
      </w:pPr>
      <w:bookmarkStart w:id="337" w:name="_Toc144715822"/>
      <w:r w:rsidRPr="008343D7">
        <w:rPr>
          <w:lang w:eastAsia="en-GB"/>
        </w:rPr>
        <w:t>Findings on how the Fleming Fund has been designed and delivered</w:t>
      </w:r>
      <w:bookmarkEnd w:id="336"/>
      <w:bookmarkEnd w:id="337"/>
      <w:r w:rsidRPr="008343D7">
        <w:rPr>
          <w:lang w:eastAsia="en-GB"/>
        </w:rPr>
        <w:t xml:space="preserve"> </w:t>
      </w:r>
    </w:p>
    <w:p w14:paraId="16E92D6E" w14:textId="103D1CF1" w:rsidR="003F402D" w:rsidRDefault="00FF2998" w:rsidP="00D91356">
      <w:pPr>
        <w:pStyle w:val="ItadNormalText"/>
        <w:rPr>
          <w:rFonts w:eastAsia="Times New Roman"/>
          <w:lang w:eastAsia="en-GB"/>
        </w:rPr>
      </w:pPr>
      <w:bookmarkStart w:id="338" w:name="_Hlk129336708"/>
      <w:r w:rsidRPr="008343D7">
        <w:rPr>
          <w:lang w:eastAsia="en-GB"/>
        </w:rPr>
        <w:t xml:space="preserve">In the context of the decision to continue into </w:t>
      </w:r>
      <w:r w:rsidR="00AD1BE7">
        <w:rPr>
          <w:lang w:eastAsia="en-GB"/>
        </w:rPr>
        <w:t>phase 2</w:t>
      </w:r>
      <w:r w:rsidRPr="008343D7">
        <w:rPr>
          <w:lang w:eastAsia="en-GB"/>
        </w:rPr>
        <w:t xml:space="preserve"> (see </w:t>
      </w:r>
      <w:r w:rsidR="00076E67">
        <w:rPr>
          <w:lang w:eastAsia="en-GB"/>
        </w:rPr>
        <w:fldChar w:fldCharType="begin"/>
      </w:r>
      <w:r w:rsidR="00076E67">
        <w:rPr>
          <w:lang w:eastAsia="en-GB"/>
        </w:rPr>
        <w:instrText xml:space="preserve"> REF _Ref144721011 \h </w:instrText>
      </w:r>
      <w:r w:rsidR="00076E67">
        <w:rPr>
          <w:lang w:eastAsia="en-GB"/>
        </w:rPr>
      </w:r>
      <w:r w:rsidR="00076E67">
        <w:rPr>
          <w:lang w:eastAsia="en-GB"/>
        </w:rPr>
        <w:fldChar w:fldCharType="separate"/>
      </w:r>
      <w:r w:rsidR="00076E67">
        <w:t xml:space="preserve">Box </w:t>
      </w:r>
      <w:r w:rsidR="00076E67">
        <w:rPr>
          <w:noProof/>
        </w:rPr>
        <w:t>3</w:t>
      </w:r>
      <w:r w:rsidR="00076E67">
        <w:rPr>
          <w:lang w:eastAsia="en-GB"/>
        </w:rPr>
        <w:fldChar w:fldCharType="end"/>
      </w:r>
      <w:r w:rsidR="007B5BA3">
        <w:rPr>
          <w:lang w:eastAsia="en-GB"/>
        </w:rPr>
        <w:fldChar w:fldCharType="begin"/>
      </w:r>
      <w:r w:rsidR="007B5BA3">
        <w:rPr>
          <w:lang w:eastAsia="en-GB"/>
        </w:rPr>
        <w:instrText xml:space="preserve"> REF _Ref144720138 \h </w:instrText>
      </w:r>
      <w:r w:rsidR="007B5BA3">
        <w:rPr>
          <w:lang w:eastAsia="en-GB"/>
        </w:rPr>
      </w:r>
      <w:r w:rsidR="00B33BBD">
        <w:rPr>
          <w:lang w:eastAsia="en-GB"/>
        </w:rPr>
        <w:fldChar w:fldCharType="separate"/>
      </w:r>
      <w:r w:rsidR="007B5BA3">
        <w:rPr>
          <w:lang w:eastAsia="en-GB"/>
        </w:rPr>
        <w:fldChar w:fldCharType="end"/>
      </w:r>
      <w:r w:rsidR="00176064">
        <w:rPr>
          <w:lang w:eastAsia="en-GB"/>
        </w:rPr>
        <w:fldChar w:fldCharType="begin"/>
      </w:r>
      <w:r w:rsidR="00176064">
        <w:rPr>
          <w:lang w:eastAsia="en-GB"/>
        </w:rPr>
        <w:instrText xml:space="preserve"> REF _Ref129336675 \h  \* MERGEFORMAT </w:instrText>
      </w:r>
      <w:r w:rsidR="00176064">
        <w:rPr>
          <w:lang w:eastAsia="en-GB"/>
        </w:rPr>
      </w:r>
      <w:r w:rsidR="00B33BBD">
        <w:rPr>
          <w:lang w:eastAsia="en-GB"/>
        </w:rPr>
        <w:fldChar w:fldCharType="separate"/>
      </w:r>
      <w:r w:rsidR="00176064">
        <w:rPr>
          <w:lang w:eastAsia="en-GB"/>
        </w:rPr>
        <w:fldChar w:fldCharType="end"/>
      </w:r>
      <w:r w:rsidRPr="008343D7">
        <w:rPr>
          <w:lang w:eastAsia="en-GB"/>
        </w:rPr>
        <w:t>), and the emphasis placed on strategic shifts which include VfM and sustainability, in this section, we highlight the findings related to how the Fleming Fund has been implemented, with a more operational focus.</w:t>
      </w:r>
      <w:bookmarkEnd w:id="338"/>
    </w:p>
    <w:p w14:paraId="791278DA" w14:textId="43EE7907" w:rsidR="00FF2998" w:rsidRPr="008A5F96" w:rsidRDefault="00FF2998" w:rsidP="005B5DBE">
      <w:pPr>
        <w:pStyle w:val="ItadH3"/>
      </w:pPr>
      <w:bookmarkStart w:id="339" w:name="_Ref128749358"/>
      <w:bookmarkStart w:id="340" w:name="_Toc144049394"/>
      <w:bookmarkStart w:id="341" w:name="_Toc144715823"/>
      <w:r w:rsidRPr="008A5F96">
        <w:t>Sustainability</w:t>
      </w:r>
      <w:bookmarkEnd w:id="339"/>
      <w:bookmarkEnd w:id="340"/>
      <w:bookmarkEnd w:id="341"/>
    </w:p>
    <w:tbl>
      <w:tblPr>
        <w:tblStyle w:val="TableGrid"/>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9E2D5"/>
        <w:tblLook w:val="04A0" w:firstRow="1" w:lastRow="0" w:firstColumn="1" w:lastColumn="0" w:noHBand="0" w:noVBand="1"/>
      </w:tblPr>
      <w:tblGrid>
        <w:gridCol w:w="8926"/>
      </w:tblGrid>
      <w:tr w:rsidR="00176064" w:rsidRPr="00176064" w14:paraId="1C835BFB" w14:textId="77777777" w:rsidTr="00371D8F">
        <w:tc>
          <w:tcPr>
            <w:tcW w:w="8926" w:type="dxa"/>
            <w:shd w:val="clear" w:color="auto" w:fill="F9E2D5"/>
          </w:tcPr>
          <w:p w14:paraId="27BD1961" w14:textId="77777777" w:rsidR="00B60F8C" w:rsidRPr="008A5F96" w:rsidRDefault="00B60F8C" w:rsidP="00512F37">
            <w:pPr>
              <w:pStyle w:val="ItadNormalTextBold"/>
              <w:rPr>
                <w:lang w:eastAsia="en-GB"/>
              </w:rPr>
            </w:pPr>
            <w:r w:rsidRPr="008A5F96">
              <w:rPr>
                <w:lang w:eastAsia="en-GB"/>
              </w:rPr>
              <w:t>Key findings</w:t>
            </w:r>
          </w:p>
        </w:tc>
      </w:tr>
      <w:tr w:rsidR="00176064" w:rsidRPr="00176064" w14:paraId="2E40B81B" w14:textId="77777777" w:rsidTr="00371D8F">
        <w:tc>
          <w:tcPr>
            <w:tcW w:w="8926" w:type="dxa"/>
            <w:shd w:val="clear" w:color="auto" w:fill="F9E2D5"/>
          </w:tcPr>
          <w:p w14:paraId="602D8844" w14:textId="16CD3027" w:rsidR="00351D4B" w:rsidRDefault="00E26A7A" w:rsidP="00E26A7A">
            <w:pPr>
              <w:pStyle w:val="FFBoxText"/>
            </w:pPr>
            <w:bookmarkStart w:id="342" w:name="_Toc144049395"/>
            <w:r w:rsidRPr="00E26A7A">
              <w:rPr>
                <w:color w:val="3FB84E"/>
              </w:rPr>
              <w:t>2.3.1</w:t>
            </w:r>
            <w:r>
              <w:tab/>
            </w:r>
            <w:r w:rsidR="00B60F8C" w:rsidRPr="001364AC">
              <w:t xml:space="preserve">The MA has been clear that prospects for achieving sustainability during </w:t>
            </w:r>
            <w:r w:rsidR="00222C91" w:rsidRPr="001364AC">
              <w:t>phase 1</w:t>
            </w:r>
            <w:r w:rsidR="00B60F8C" w:rsidRPr="001364AC">
              <w:t xml:space="preserve"> were limited given the starting points in most countries and limited implementation time of some grants (this is backed up by broader evidence which underlines that sustainability is hard to achieve and takes time).</w:t>
            </w:r>
            <w:bookmarkEnd w:id="342"/>
          </w:p>
          <w:p w14:paraId="44EA630E" w14:textId="0EB97FD5" w:rsidR="0021637C" w:rsidRDefault="00E26A7A" w:rsidP="00E26A7A">
            <w:pPr>
              <w:pStyle w:val="FFBoxText"/>
              <w:rPr>
                <w:rFonts w:cs="Calibri"/>
              </w:rPr>
            </w:pPr>
            <w:bookmarkStart w:id="343" w:name="_Toc144049396"/>
            <w:r w:rsidRPr="00E26A7A">
              <w:rPr>
                <w:rFonts w:cs="Calibri"/>
                <w:color w:val="3FB84E"/>
              </w:rPr>
              <w:t>2.3.2</w:t>
            </w:r>
            <w:r>
              <w:rPr>
                <w:rFonts w:cs="Calibri"/>
              </w:rPr>
              <w:tab/>
            </w:r>
            <w:r w:rsidR="00351D4B">
              <w:rPr>
                <w:rFonts w:cs="Calibri"/>
              </w:rPr>
              <w:t xml:space="preserve">The </w:t>
            </w:r>
            <w:r w:rsidR="00351D4B" w:rsidRPr="008A5F96">
              <w:rPr>
                <w:rFonts w:cs="Calibri"/>
              </w:rPr>
              <w:t>MA</w:t>
            </w:r>
            <w:r w:rsidR="00AA6A7B">
              <w:rPr>
                <w:rFonts w:cs="Calibri"/>
              </w:rPr>
              <w:t>’</w:t>
            </w:r>
            <w:r w:rsidR="00351D4B" w:rsidRPr="008A5F96">
              <w:rPr>
                <w:rFonts w:cs="Calibri"/>
              </w:rPr>
              <w:t xml:space="preserve">s approach to sustainability has focused on </w:t>
            </w:r>
            <w:r>
              <w:rPr>
                <w:rFonts w:cs="Calibri"/>
              </w:rPr>
              <w:t>(</w:t>
            </w:r>
            <w:r w:rsidR="00351D4B" w:rsidRPr="008A5F96">
              <w:rPr>
                <w:rFonts w:cs="Calibri"/>
              </w:rPr>
              <w:t>a) hardwiring sustainability prospects in grant design</w:t>
            </w:r>
            <w:r>
              <w:rPr>
                <w:rFonts w:cs="Calibri"/>
              </w:rPr>
              <w:t>;</w:t>
            </w:r>
            <w:r w:rsidR="00351D4B" w:rsidRPr="008A5F96">
              <w:rPr>
                <w:rFonts w:cs="Calibri"/>
              </w:rPr>
              <w:t xml:space="preserve"> </w:t>
            </w:r>
            <w:r>
              <w:rPr>
                <w:rFonts w:cs="Calibri"/>
              </w:rPr>
              <w:t>(</w:t>
            </w:r>
            <w:r w:rsidR="00351D4B" w:rsidRPr="008A5F96">
              <w:rPr>
                <w:rFonts w:cs="Calibri"/>
              </w:rPr>
              <w:t>b) delivering success in Fleming Fund 1</w:t>
            </w:r>
            <w:r>
              <w:rPr>
                <w:rFonts w:cs="Calibri"/>
              </w:rPr>
              <w:t>;</w:t>
            </w:r>
            <w:r w:rsidR="00351D4B" w:rsidRPr="008A5F96">
              <w:rPr>
                <w:rFonts w:cs="Calibri"/>
              </w:rPr>
              <w:t xml:space="preserve"> </w:t>
            </w:r>
            <w:r w:rsidR="00351D4B">
              <w:rPr>
                <w:rFonts w:cs="Calibri"/>
              </w:rPr>
              <w:t xml:space="preserve">and </w:t>
            </w:r>
            <w:r>
              <w:rPr>
                <w:rFonts w:cs="Calibri"/>
              </w:rPr>
              <w:t>(</w:t>
            </w:r>
            <w:r w:rsidR="00351D4B" w:rsidRPr="008A5F96">
              <w:rPr>
                <w:rFonts w:cs="Calibri"/>
              </w:rPr>
              <w:t>c) increasing the focus on sustainability in CG2s.</w:t>
            </w:r>
            <w:bookmarkEnd w:id="343"/>
          </w:p>
          <w:p w14:paraId="68269D35" w14:textId="4439D2E1" w:rsidR="00351D4B" w:rsidRDefault="00E26A7A" w:rsidP="00E26A7A">
            <w:pPr>
              <w:pStyle w:val="FFBoxText"/>
              <w:rPr>
                <w:rFonts w:cs="Calibri"/>
              </w:rPr>
            </w:pPr>
            <w:bookmarkStart w:id="344" w:name="_Toc144049397"/>
            <w:r w:rsidRPr="00E26A7A">
              <w:rPr>
                <w:rFonts w:cs="Calibri"/>
                <w:color w:val="3FB84E"/>
              </w:rPr>
              <w:t>2.3.3</w:t>
            </w:r>
            <w:r>
              <w:rPr>
                <w:rFonts w:cs="Calibri"/>
              </w:rPr>
              <w:tab/>
            </w:r>
            <w:r w:rsidR="00351D4B" w:rsidRPr="008A5F96">
              <w:rPr>
                <w:rFonts w:cs="Calibri"/>
              </w:rPr>
              <w:t>This approach has limited the extent to which realistic expectations and plans have been established and actively discussed with key counterparts.</w:t>
            </w:r>
            <w:bookmarkEnd w:id="344"/>
          </w:p>
          <w:p w14:paraId="2D837341" w14:textId="4328DADD" w:rsidR="00351D4B" w:rsidRDefault="00E26A7A" w:rsidP="00E26A7A">
            <w:pPr>
              <w:pStyle w:val="FFBoxText"/>
              <w:rPr>
                <w:rFonts w:cs="Calibri"/>
              </w:rPr>
            </w:pPr>
            <w:bookmarkStart w:id="345" w:name="_Toc144049398"/>
            <w:r w:rsidRPr="00E26A7A">
              <w:rPr>
                <w:rFonts w:cs="Calibri"/>
                <w:color w:val="3FB84E"/>
              </w:rPr>
              <w:t>2.3.4</w:t>
            </w:r>
            <w:r w:rsidRPr="00E26A7A">
              <w:rPr>
                <w:rFonts w:cs="Calibri"/>
                <w:color w:val="3FB84E"/>
              </w:rPr>
              <w:tab/>
            </w:r>
            <w:r w:rsidR="00351D4B">
              <w:rPr>
                <w:rFonts w:cs="Calibri"/>
              </w:rPr>
              <w:t>Based</w:t>
            </w:r>
            <w:r w:rsidR="00351D4B" w:rsidRPr="00504E64">
              <w:t xml:space="preserve"> on action to date and the current status of country-level conditions, there are limited prospects for achieving sustainability in phase 1, albeit the MA</w:t>
            </w:r>
            <w:r w:rsidR="00AA6A7B">
              <w:t>’</w:t>
            </w:r>
            <w:r w:rsidR="00351D4B" w:rsidRPr="00504E64">
              <w:t>s assumption that there would be a second phase of Fleming Fund support has proven correct.</w:t>
            </w:r>
            <w:r w:rsidR="00351D4B" w:rsidRPr="00504E64" w:rsidDel="007D2E99">
              <w:t xml:space="preserve"> </w:t>
            </w:r>
            <w:r w:rsidR="00351D4B" w:rsidRPr="00504E64">
              <w:t>Nevertheless, experience in phase 1 confirms the challenges in establishing key conditions for sustainability as identified in published literature</w:t>
            </w:r>
            <w:r w:rsidR="00280FC9">
              <w:t>:</w:t>
            </w:r>
            <w:r w:rsidR="00351D4B" w:rsidRPr="00504E64">
              <w:t xml:space="preserve"> resources, capacity, motivation and planning</w:t>
            </w:r>
            <w:r w:rsidR="00351D4B" w:rsidRPr="00191606">
              <w:rPr>
                <w:rFonts w:cs="Calibri"/>
              </w:rPr>
              <w:t>.</w:t>
            </w:r>
            <w:bookmarkEnd w:id="345"/>
          </w:p>
          <w:p w14:paraId="3A7B7B94" w14:textId="6EEB5BF8" w:rsidR="00B60F8C" w:rsidRPr="007D1B55" w:rsidRDefault="00E26A7A" w:rsidP="00E26A7A">
            <w:pPr>
              <w:pStyle w:val="FFBoxText"/>
              <w:rPr>
                <w:rFonts w:cs="Calibri"/>
              </w:rPr>
            </w:pPr>
            <w:bookmarkStart w:id="346" w:name="_Toc144049399"/>
            <w:r w:rsidRPr="00E26A7A">
              <w:rPr>
                <w:rFonts w:cs="Calibri"/>
                <w:color w:val="3FB84E"/>
              </w:rPr>
              <w:t>2.3.5</w:t>
            </w:r>
            <w:r>
              <w:rPr>
                <w:rFonts w:cs="Calibri"/>
              </w:rPr>
              <w:tab/>
            </w:r>
            <w:r w:rsidR="00351D4B" w:rsidDel="007109DD">
              <w:rPr>
                <w:rFonts w:cs="Calibri"/>
              </w:rPr>
              <w:t xml:space="preserve">For </w:t>
            </w:r>
            <w:r w:rsidR="00351D4B" w:rsidRPr="008A5F96" w:rsidDel="007109DD">
              <w:rPr>
                <w:rFonts w:cs="Calibri"/>
              </w:rPr>
              <w:t xml:space="preserve">the drivers of progress on quantity and quality, the prospects for sustainability appear limited. Allocation of resources to AMR surveillance is key to sustainability but has not been a strong focus for phase 1. </w:t>
            </w:r>
            <w:r w:rsidR="00351D4B" w:rsidRPr="008A5F96">
              <w:rPr>
                <w:rFonts w:cs="Calibri"/>
              </w:rPr>
              <w:t xml:space="preserve">Some aspects of the Fleming Fund design could make securing resources more challenging – </w:t>
            </w:r>
            <w:r w:rsidR="007D4C25" w:rsidRPr="007D4C25">
              <w:rPr>
                <w:rFonts w:cs="Calibri"/>
              </w:rPr>
              <w:t>in terms of affordability, the relevance of data, and focus on the demand for AMR testing, could make prospects for resourcing more challenging</w:t>
            </w:r>
            <w:r w:rsidR="007D4C25" w:rsidRPr="007D4C25" w:rsidDel="007D4C25">
              <w:rPr>
                <w:rFonts w:cs="Calibri"/>
              </w:rPr>
              <w:t xml:space="preserve"> </w:t>
            </w:r>
            <w:r w:rsidR="00351D4B" w:rsidRPr="008A5F96" w:rsidDel="007D4C25">
              <w:rPr>
                <w:rFonts w:cs="Calibri"/>
              </w:rPr>
              <w:t xml:space="preserve">in terms of equipment supply and maintenance, differentiation between HH and AH, </w:t>
            </w:r>
            <w:r w:rsidR="00351D4B" w:rsidDel="007D4C25">
              <w:rPr>
                <w:rFonts w:cs="Calibri"/>
              </w:rPr>
              <w:t xml:space="preserve">the </w:t>
            </w:r>
            <w:r w:rsidR="00351D4B" w:rsidRPr="008A5F96" w:rsidDel="007D4C25">
              <w:rPr>
                <w:rFonts w:cs="Calibri"/>
              </w:rPr>
              <w:t>strength of focus on AMR data, and lack of focus on demand</w:t>
            </w:r>
            <w:r w:rsidR="00351D4B" w:rsidRPr="008A5F96">
              <w:rPr>
                <w:rFonts w:cs="Calibri"/>
              </w:rPr>
              <w:t>.</w:t>
            </w:r>
            <w:r w:rsidR="00C3390B" w:rsidRPr="008A5F96" w:rsidDel="00C3390B">
              <w:rPr>
                <w:sz w:val="20"/>
                <w:szCs w:val="20"/>
                <w:vertAlign w:val="superscript"/>
              </w:rPr>
              <w:t xml:space="preserve"> </w:t>
            </w:r>
            <w:r w:rsidR="00351D4B">
              <w:rPr>
                <w:rFonts w:cs="Calibri"/>
              </w:rPr>
              <w:t>Sustaining</w:t>
            </w:r>
            <w:r w:rsidR="00351D4B" w:rsidRPr="008A5F96">
              <w:rPr>
                <w:rFonts w:cs="Calibri"/>
              </w:rPr>
              <w:t xml:space="preserve"> progress with capacity building and governance is challenging, relying on work at organisational and institutional levels. The MA has not focused strongly on this during phase 1</w:t>
            </w:r>
            <w:r w:rsidR="00351D4B" w:rsidRPr="008A5F96">
              <w:rPr>
                <w:rFonts w:eastAsia="Calibri" w:cs="Times New Roman"/>
              </w:rPr>
              <w:t>.</w:t>
            </w:r>
            <w:bookmarkEnd w:id="346"/>
          </w:p>
        </w:tc>
      </w:tr>
    </w:tbl>
    <w:p w14:paraId="1C57A5A0" w14:textId="0FBF60F4" w:rsidR="00FF2998" w:rsidRPr="00C57E1E" w:rsidRDefault="008A1955" w:rsidP="00581A39">
      <w:pPr>
        <w:pStyle w:val="ItadNormalText"/>
        <w:rPr>
          <w:rFonts w:eastAsia="Yu Gothic Light"/>
        </w:rPr>
      </w:pPr>
      <w:bookmarkStart w:id="347" w:name="_Hlk129336796"/>
      <w:r w:rsidRPr="00581A39">
        <w:rPr>
          <w:b/>
          <w:lang w:eastAsia="en-GB"/>
        </w:rPr>
        <w:t xml:space="preserve">Finding 2.3.1: </w:t>
      </w:r>
      <w:r w:rsidR="00FF2998" w:rsidRPr="00581A39">
        <w:rPr>
          <w:b/>
          <w:lang w:eastAsia="en-GB"/>
        </w:rPr>
        <w:t xml:space="preserve">The MA has been clear that prospects for achieving sustainability during </w:t>
      </w:r>
      <w:r w:rsidR="00222C91" w:rsidRPr="00581A39">
        <w:rPr>
          <w:b/>
          <w:lang w:eastAsia="en-GB"/>
        </w:rPr>
        <w:t>phase 1</w:t>
      </w:r>
      <w:r w:rsidR="00FF2998" w:rsidRPr="00581A39">
        <w:rPr>
          <w:b/>
          <w:lang w:eastAsia="en-GB"/>
        </w:rPr>
        <w:t xml:space="preserve"> were limited given the starting points in most countries and limited implementation time of some grants</w:t>
      </w:r>
      <w:r w:rsidR="00FF2998" w:rsidRPr="00280FC9">
        <w:rPr>
          <w:b/>
          <w:lang w:eastAsia="en-GB"/>
        </w:rPr>
        <w:t xml:space="preserve"> </w:t>
      </w:r>
      <w:r w:rsidRPr="00280FC9">
        <w:rPr>
          <w:b/>
          <w:lang w:eastAsia="en-GB"/>
        </w:rPr>
        <w:t>(this is backed up by broader evidence which underlines that sustainability is hard to achieve and takes time).</w:t>
      </w:r>
      <w:r w:rsidRPr="008A1955" w:rsidDel="008A1955">
        <w:rPr>
          <w:lang w:eastAsia="en-GB"/>
        </w:rPr>
        <w:t xml:space="preserve"> </w:t>
      </w:r>
      <w:r w:rsidR="00FF2998" w:rsidRPr="00C57E1E">
        <w:rPr>
          <w:rFonts w:eastAsia="Calibri"/>
        </w:rPr>
        <w:t xml:space="preserve">The MA set out its approach to achieving sustainability early in </w:t>
      </w:r>
      <w:r w:rsidR="00222C91" w:rsidRPr="00C57E1E">
        <w:rPr>
          <w:rFonts w:eastAsia="Calibri"/>
        </w:rPr>
        <w:t>phase 1</w:t>
      </w:r>
      <w:r w:rsidR="00FF2998" w:rsidRPr="00C57E1E">
        <w:rPr>
          <w:rStyle w:val="FootnoteReference"/>
          <w:rFonts w:eastAsia="Calibri"/>
        </w:rPr>
        <w:footnoteReference w:id="127"/>
      </w:r>
      <w:r w:rsidR="00FF2998" w:rsidRPr="00C57E1E">
        <w:rPr>
          <w:rFonts w:eastAsia="Calibri"/>
        </w:rPr>
        <w:t xml:space="preserve"> and has refined and strengthened emphasis on this as implementation has progressed,</w:t>
      </w:r>
      <w:r w:rsidR="00FF2998" w:rsidRPr="00C57E1E">
        <w:rPr>
          <w:rStyle w:val="FootnoteReference"/>
          <w:rFonts w:eastAsia="Calibri"/>
        </w:rPr>
        <w:footnoteReference w:id="128"/>
      </w:r>
      <w:r w:rsidR="00FF2998" w:rsidRPr="00C57E1E">
        <w:rPr>
          <w:rFonts w:eastAsia="Calibri"/>
        </w:rPr>
        <w:t xml:space="preserve"> including emphasising that sustainability relies on actions by a range of actors (the Fleming Fund and HMG, recipient country governments, and other donors)</w:t>
      </w:r>
      <w:r w:rsidR="00810E7D">
        <w:rPr>
          <w:rFonts w:eastAsia="Calibri"/>
        </w:rPr>
        <w:t>.</w:t>
      </w:r>
      <w:r w:rsidR="00FF2998" w:rsidRPr="00C57E1E">
        <w:rPr>
          <w:rStyle w:val="FootnoteReference"/>
          <w:rFonts w:eastAsia="Calibri"/>
        </w:rPr>
        <w:footnoteReference w:id="129"/>
      </w:r>
      <w:r w:rsidR="00FF2998" w:rsidRPr="00C57E1E">
        <w:rPr>
          <w:rFonts w:eastAsia="Calibri"/>
        </w:rPr>
        <w:t xml:space="preserve"> Given the status of AMR country surveillance systems in 2018 and the relatively short duration of most grants </w:t>
      </w:r>
      <w:r w:rsidR="00FF2998" w:rsidRPr="00C57E1E">
        <w:rPr>
          <w:rFonts w:eastAsia="Yu Gothic Light"/>
        </w:rPr>
        <w:t>(particularly for RGs)</w:t>
      </w:r>
      <w:r w:rsidR="00FF2998" w:rsidRPr="00C57E1E">
        <w:rPr>
          <w:rFonts w:eastAsia="Calibri"/>
        </w:rPr>
        <w:t>, the MA expressed caution about the prospects for achieving sustainability during Fleming Fund</w:t>
      </w:r>
      <w:r w:rsidR="00810E7D">
        <w:rPr>
          <w:rFonts w:eastAsia="Calibri"/>
        </w:rPr>
        <w:t>.</w:t>
      </w:r>
      <w:r w:rsidR="00FF2998" w:rsidRPr="00C57E1E">
        <w:rPr>
          <w:rStyle w:val="FootnoteReference"/>
          <w:rFonts w:eastAsia="Calibri"/>
        </w:rPr>
        <w:footnoteReference w:id="130"/>
      </w:r>
      <w:r w:rsidR="00FF2998" w:rsidRPr="00C57E1E">
        <w:rPr>
          <w:rFonts w:eastAsia="Yu Gothic Light"/>
          <w:bCs/>
        </w:rPr>
        <w:t xml:space="preserve"> </w:t>
      </w:r>
      <w:r w:rsidR="00FF2998" w:rsidRPr="00C57E1E">
        <w:rPr>
          <w:rFonts w:eastAsia="Yu Gothic Light"/>
        </w:rPr>
        <w:t xml:space="preserve">The need to be realistic about what </w:t>
      </w:r>
      <w:r w:rsidR="008C182F">
        <w:rPr>
          <w:rFonts w:eastAsia="Yu Gothic Light"/>
        </w:rPr>
        <w:t xml:space="preserve">can be achieved </w:t>
      </w:r>
      <w:r w:rsidR="00FF2998" w:rsidRPr="00C57E1E">
        <w:rPr>
          <w:rFonts w:eastAsia="Yu Gothic Light"/>
        </w:rPr>
        <w:t xml:space="preserve">and the challenges of achieving sustainability are supported by broader evidence (i.e. that it takes significant time to achieve and is challenging to </w:t>
      </w:r>
      <w:r w:rsidR="00D043A1">
        <w:rPr>
          <w:rFonts w:eastAsia="Yu Gothic Light"/>
        </w:rPr>
        <w:t>do so</w:t>
      </w:r>
      <w:r w:rsidR="00FF2998" w:rsidRPr="00C57E1E">
        <w:rPr>
          <w:rFonts w:eastAsia="Yu Gothic Light"/>
        </w:rPr>
        <w:t>).</w:t>
      </w:r>
      <w:r w:rsidR="00FF2998" w:rsidRPr="00C57E1E">
        <w:rPr>
          <w:rFonts w:eastAsia="Yu Gothic Light"/>
          <w:sz w:val="20"/>
          <w:szCs w:val="20"/>
          <w:vertAlign w:val="superscript"/>
        </w:rPr>
        <w:footnoteReference w:id="131"/>
      </w:r>
      <w:r w:rsidR="00FF2998" w:rsidRPr="00C57E1E">
        <w:rPr>
          <w:rFonts w:eastAsia="Yu Gothic Light"/>
        </w:rPr>
        <w:t xml:space="preserve"> Furthermore, the operating context has presented some challenges</w:t>
      </w:r>
      <w:r w:rsidR="00B30736">
        <w:rPr>
          <w:rFonts w:eastAsia="Yu Gothic Light"/>
        </w:rPr>
        <w:t xml:space="preserve"> – </w:t>
      </w:r>
      <w:r w:rsidR="00FF2998" w:rsidRPr="00C57E1E">
        <w:rPr>
          <w:rFonts w:eastAsia="Yu Gothic Light"/>
        </w:rPr>
        <w:t xml:space="preserve">in terms of </w:t>
      </w:r>
      <w:r w:rsidR="00280FC9">
        <w:rPr>
          <w:rFonts w:eastAsia="Yu Gothic Light"/>
        </w:rPr>
        <w:t>(</w:t>
      </w:r>
      <w:r w:rsidR="00FF2998" w:rsidRPr="00C57E1E">
        <w:rPr>
          <w:rFonts w:eastAsia="Yu Gothic Light"/>
        </w:rPr>
        <w:t xml:space="preserve">a) the impact of COVID-19 on delivering </w:t>
      </w:r>
      <w:r w:rsidR="00222C91" w:rsidRPr="00C57E1E">
        <w:rPr>
          <w:rFonts w:eastAsia="Yu Gothic Light"/>
        </w:rPr>
        <w:t>phase 1</w:t>
      </w:r>
      <w:r w:rsidR="00FF2998" w:rsidRPr="00C57E1E">
        <w:rPr>
          <w:rFonts w:eastAsia="Yu Gothic Light"/>
        </w:rPr>
        <w:t xml:space="preserve"> objectives, and </w:t>
      </w:r>
      <w:r w:rsidR="00280FC9">
        <w:rPr>
          <w:rFonts w:eastAsia="Yu Gothic Light"/>
        </w:rPr>
        <w:t>(</w:t>
      </w:r>
      <w:r w:rsidR="00FF2998" w:rsidRPr="00C57E1E">
        <w:rPr>
          <w:rFonts w:eastAsia="Yu Gothic Light"/>
        </w:rPr>
        <w:t xml:space="preserve">b) uncertainty around </w:t>
      </w:r>
      <w:r w:rsidR="00AD1BE7" w:rsidRPr="00C57E1E">
        <w:rPr>
          <w:rFonts w:eastAsia="Yu Gothic Light"/>
        </w:rPr>
        <w:t>phase 2</w:t>
      </w:r>
      <w:r w:rsidR="00FF2998" w:rsidRPr="00C57E1E">
        <w:rPr>
          <w:rFonts w:eastAsia="Yu Gothic Light"/>
        </w:rPr>
        <w:t xml:space="preserve"> funding (impacting the ability to make a clear case for investing in AMR surveillance). This underlines the importance of establishing clear, realistic expectations on what can be achieved.</w:t>
      </w:r>
    </w:p>
    <w:p w14:paraId="6979B41A" w14:textId="18E92824" w:rsidR="00FF2998" w:rsidRPr="00C57E1E" w:rsidRDefault="0816BCD0" w:rsidP="00581A39">
      <w:pPr>
        <w:pStyle w:val="ItadNormalText"/>
        <w:rPr>
          <w:rFonts w:eastAsia="Calibri"/>
        </w:rPr>
      </w:pPr>
      <w:r w:rsidRPr="00581A39">
        <w:rPr>
          <w:b/>
          <w:bCs/>
          <w:lang w:eastAsia="en-GB"/>
        </w:rPr>
        <w:t xml:space="preserve">Finding 2.3.2: </w:t>
      </w:r>
      <w:r w:rsidR="4BD3A707" w:rsidRPr="00581A39">
        <w:rPr>
          <w:b/>
          <w:bCs/>
          <w:lang w:eastAsia="en-GB"/>
        </w:rPr>
        <w:t>The MA</w:t>
      </w:r>
      <w:r w:rsidR="12EABA28" w:rsidRPr="00581A39">
        <w:rPr>
          <w:b/>
          <w:bCs/>
          <w:lang w:eastAsia="en-GB"/>
        </w:rPr>
        <w:t>’</w:t>
      </w:r>
      <w:r w:rsidR="4BD3A707" w:rsidRPr="00581A39">
        <w:rPr>
          <w:b/>
          <w:bCs/>
          <w:lang w:eastAsia="en-GB"/>
        </w:rPr>
        <w:t xml:space="preserve">s approach to sustainability has focused on </w:t>
      </w:r>
      <w:r w:rsidR="44EDC56D">
        <w:rPr>
          <w:b/>
          <w:bCs/>
          <w:lang w:eastAsia="en-GB"/>
        </w:rPr>
        <w:t>(</w:t>
      </w:r>
      <w:r w:rsidR="4BD3A707" w:rsidRPr="00581A39">
        <w:rPr>
          <w:b/>
          <w:bCs/>
          <w:lang w:eastAsia="en-GB"/>
        </w:rPr>
        <w:t>a) hardwiring sustainability prospects in grant design</w:t>
      </w:r>
      <w:r w:rsidR="44EDC56D">
        <w:rPr>
          <w:b/>
          <w:bCs/>
          <w:lang w:eastAsia="en-GB"/>
        </w:rPr>
        <w:t>;</w:t>
      </w:r>
      <w:r w:rsidR="4BD3A707" w:rsidRPr="00581A39">
        <w:rPr>
          <w:b/>
          <w:bCs/>
          <w:lang w:eastAsia="en-GB"/>
        </w:rPr>
        <w:t xml:space="preserve"> </w:t>
      </w:r>
      <w:r w:rsidR="44EDC56D">
        <w:rPr>
          <w:b/>
          <w:bCs/>
          <w:lang w:eastAsia="en-GB"/>
        </w:rPr>
        <w:t>(</w:t>
      </w:r>
      <w:r w:rsidR="4BD3A707" w:rsidRPr="00581A39">
        <w:rPr>
          <w:b/>
          <w:bCs/>
          <w:lang w:eastAsia="en-GB"/>
        </w:rPr>
        <w:t>b) delivering success in Fleming Fund 1</w:t>
      </w:r>
      <w:r w:rsidR="44EDC56D">
        <w:rPr>
          <w:b/>
          <w:bCs/>
          <w:lang w:eastAsia="en-GB"/>
        </w:rPr>
        <w:t>;</w:t>
      </w:r>
      <w:r w:rsidR="4BD3A707" w:rsidRPr="00581A39">
        <w:rPr>
          <w:b/>
          <w:bCs/>
          <w:lang w:eastAsia="en-GB"/>
        </w:rPr>
        <w:t xml:space="preserve"> and </w:t>
      </w:r>
      <w:r w:rsidR="44EDC56D">
        <w:rPr>
          <w:b/>
          <w:bCs/>
          <w:lang w:eastAsia="en-GB"/>
        </w:rPr>
        <w:t>(</w:t>
      </w:r>
      <w:r w:rsidR="4BD3A707" w:rsidRPr="00581A39">
        <w:rPr>
          <w:b/>
          <w:bCs/>
          <w:lang w:eastAsia="en-GB"/>
        </w:rPr>
        <w:t>c) increasing focus on sustainability in CG2s.</w:t>
      </w:r>
      <w:r w:rsidR="4BD3A707" w:rsidRPr="00C57E1E" w:rsidDel="007D2E99">
        <w:rPr>
          <w:lang w:eastAsia="en-GB"/>
        </w:rPr>
        <w:t xml:space="preserve"> </w:t>
      </w:r>
      <w:r w:rsidR="4BD3A707" w:rsidRPr="00C57E1E">
        <w:rPr>
          <w:lang w:eastAsia="en-GB"/>
        </w:rPr>
        <w:t xml:space="preserve">Hardwiring sustainability in grant design, was done through a combination of </w:t>
      </w:r>
      <w:r w:rsidR="44EDC56D">
        <w:rPr>
          <w:lang w:eastAsia="en-GB"/>
        </w:rPr>
        <w:t>(</w:t>
      </w:r>
      <w:proofErr w:type="spellStart"/>
      <w:r w:rsidR="44EDC56D">
        <w:rPr>
          <w:lang w:eastAsia="en-GB"/>
        </w:rPr>
        <w:t>i</w:t>
      </w:r>
      <w:proofErr w:type="spellEnd"/>
      <w:r w:rsidR="4BD3A707" w:rsidRPr="00C57E1E">
        <w:rPr>
          <w:lang w:eastAsia="en-GB"/>
        </w:rPr>
        <w:t>) understanding country needs and priorities</w:t>
      </w:r>
      <w:r w:rsidR="44EDC56D">
        <w:rPr>
          <w:lang w:eastAsia="en-GB"/>
        </w:rPr>
        <w:t>; (ii</w:t>
      </w:r>
      <w:r w:rsidR="4BD3A707" w:rsidRPr="00C57E1E">
        <w:rPr>
          <w:lang w:eastAsia="en-GB"/>
        </w:rPr>
        <w:t>) tailoring levels of Fleming Fund support to respond to these (including available resources)</w:t>
      </w:r>
      <w:r w:rsidR="44EDC56D">
        <w:rPr>
          <w:lang w:eastAsia="en-GB"/>
        </w:rPr>
        <w:t>;</w:t>
      </w:r>
      <w:r w:rsidR="4BD3A707" w:rsidRPr="00C57E1E">
        <w:rPr>
          <w:lang w:eastAsia="en-GB"/>
        </w:rPr>
        <w:t xml:space="preserve"> and </w:t>
      </w:r>
      <w:r w:rsidR="44EDC56D">
        <w:rPr>
          <w:lang w:eastAsia="en-GB"/>
        </w:rPr>
        <w:t>(iii</w:t>
      </w:r>
      <w:r w:rsidR="4BD3A707" w:rsidRPr="00C57E1E">
        <w:rPr>
          <w:lang w:eastAsia="en-GB"/>
        </w:rPr>
        <w:t xml:space="preserve">) using existing country systems. </w:t>
      </w:r>
      <w:r w:rsidR="4BD3A707" w:rsidRPr="00C57E1E">
        <w:rPr>
          <w:rFonts w:eastAsia="Yu Gothic Light"/>
        </w:rPr>
        <w:t xml:space="preserve">The early stages of grant development (country scoping and needs assessment) helped define country needs. Grants were then designed to meet </w:t>
      </w:r>
      <w:r w:rsidR="4BD3A707" w:rsidRPr="00C57E1E">
        <w:rPr>
          <w:rFonts w:eastAsia="Calibri"/>
        </w:rPr>
        <w:t>these need</w:t>
      </w:r>
      <w:r w:rsidR="4BD3A707" w:rsidRPr="00C57E1E">
        <w:rPr>
          <w:rFonts w:eastAsia="Yu Gothic Light"/>
        </w:rPr>
        <w:t xml:space="preserve">s, </w:t>
      </w:r>
      <w:r w:rsidR="4BD3A707" w:rsidRPr="00C57E1E">
        <w:rPr>
          <w:rFonts w:eastAsia="Calibri"/>
        </w:rPr>
        <w:t>affordable</w:t>
      </w:r>
      <w:r w:rsidR="4BD3A707" w:rsidRPr="00C57E1E">
        <w:rPr>
          <w:rFonts w:eastAsia="Yu Gothic Light"/>
        </w:rPr>
        <w:t xml:space="preserve"> within domestic resources and </w:t>
      </w:r>
      <w:r w:rsidR="4BD3A707" w:rsidRPr="00C57E1E">
        <w:rPr>
          <w:rFonts w:eastAsia="Calibri"/>
        </w:rPr>
        <w:t>using country systems</w:t>
      </w:r>
      <w:r w:rsidR="4BD3A707" w:rsidRPr="00C57E1E">
        <w:rPr>
          <w:rFonts w:eastAsia="Yu Gothic Light"/>
        </w:rPr>
        <w:t xml:space="preserve"> such as NRLs and surveillance sites.</w:t>
      </w:r>
      <w:r w:rsidR="4BD3A707" w:rsidRPr="00C57E1E">
        <w:rPr>
          <w:rFonts w:eastAsia="Calibri"/>
        </w:rPr>
        <w:t xml:space="preserve"> As described in section </w:t>
      </w:r>
      <w:r w:rsidR="00FF2998" w:rsidRPr="00C57E1E">
        <w:rPr>
          <w:rFonts w:eastAsia="Calibri"/>
        </w:rPr>
        <w:fldChar w:fldCharType="begin"/>
      </w:r>
      <w:r w:rsidR="00FF2998" w:rsidRPr="00C57E1E">
        <w:rPr>
          <w:rFonts w:eastAsia="Calibri"/>
        </w:rPr>
        <w:instrText xml:space="preserve"> REF _Ref118235496 \r \h </w:instrText>
      </w:r>
      <w:r w:rsidR="00C57E1E">
        <w:rPr>
          <w:rFonts w:eastAsia="Calibri"/>
        </w:rPr>
        <w:instrText xml:space="preserve"> \* MERGEFORMAT </w:instrText>
      </w:r>
      <w:r w:rsidR="00FF2998" w:rsidRPr="00C57E1E">
        <w:rPr>
          <w:rFonts w:eastAsia="Calibri"/>
        </w:rPr>
      </w:r>
      <w:r w:rsidR="00FF2998" w:rsidRPr="00C57E1E">
        <w:rPr>
          <w:rFonts w:eastAsia="Calibri"/>
        </w:rPr>
        <w:fldChar w:fldCharType="separate"/>
      </w:r>
      <w:r w:rsidR="5F47192D" w:rsidRPr="00C57E1E">
        <w:rPr>
          <w:rFonts w:eastAsia="Calibri"/>
        </w:rPr>
        <w:t>1.4</w:t>
      </w:r>
      <w:r w:rsidR="00FF2998" w:rsidRPr="00C57E1E">
        <w:rPr>
          <w:rFonts w:eastAsia="Calibri"/>
        </w:rPr>
        <w:fldChar w:fldCharType="end"/>
      </w:r>
      <w:r w:rsidR="4BD3A707" w:rsidRPr="00C57E1E">
        <w:rPr>
          <w:rFonts w:eastAsia="Calibri"/>
        </w:rPr>
        <w:t xml:space="preserve">, we found that grants have generally been well aligned with national priorities, albeit with </w:t>
      </w:r>
      <w:r w:rsidR="5F47192D" w:rsidRPr="00C57E1E">
        <w:rPr>
          <w:rFonts w:eastAsia="Calibri"/>
        </w:rPr>
        <w:t xml:space="preserve">the </w:t>
      </w:r>
      <w:r w:rsidR="4BD3A707" w:rsidRPr="00C57E1E">
        <w:rPr>
          <w:rFonts w:eastAsia="Calibri"/>
        </w:rPr>
        <w:t xml:space="preserve">scope for this to have been stronger. </w:t>
      </w:r>
      <w:r w:rsidR="4BD3A707" w:rsidRPr="00C57E1E">
        <w:rPr>
          <w:rFonts w:eastAsia="Yu Gothic Light"/>
        </w:rPr>
        <w:t xml:space="preserve">However, there is some evidence to suggest that the provision of equipment and supply of consumables has been problematic in some countries (from a sustainability perspective), as discussed in </w:t>
      </w:r>
      <w:r w:rsidR="61F69CEC">
        <w:rPr>
          <w:rFonts w:eastAsia="Yu Gothic Light"/>
        </w:rPr>
        <w:t xml:space="preserve">this </w:t>
      </w:r>
      <w:r w:rsidR="4BD3A707" w:rsidRPr="00C57E1E">
        <w:rPr>
          <w:rFonts w:eastAsia="Yu Gothic Light"/>
        </w:rPr>
        <w:t xml:space="preserve">section </w:t>
      </w:r>
      <w:r w:rsidR="61F69CEC">
        <w:rPr>
          <w:rFonts w:eastAsia="Yu Gothic Light"/>
        </w:rPr>
        <w:t>(</w:t>
      </w:r>
      <w:r w:rsidR="00E10A71" w:rsidRPr="00C57E1E">
        <w:rPr>
          <w:rFonts w:eastAsia="Yu Gothic Light"/>
        </w:rPr>
        <w:fldChar w:fldCharType="begin"/>
      </w:r>
      <w:r w:rsidR="00E10A71" w:rsidRPr="00C57E1E">
        <w:rPr>
          <w:rFonts w:eastAsia="Yu Gothic Light"/>
        </w:rPr>
        <w:instrText xml:space="preserve"> REF _Ref128749358 \r \h </w:instrText>
      </w:r>
      <w:r w:rsidR="00C57E1E">
        <w:rPr>
          <w:rFonts w:eastAsia="Yu Gothic Light"/>
        </w:rPr>
        <w:instrText xml:space="preserve"> \* MERGEFORMAT </w:instrText>
      </w:r>
      <w:r w:rsidR="00E10A71" w:rsidRPr="00C57E1E">
        <w:rPr>
          <w:rFonts w:eastAsia="Yu Gothic Light"/>
        </w:rPr>
      </w:r>
      <w:r w:rsidR="00E10A71" w:rsidRPr="00C57E1E">
        <w:rPr>
          <w:rFonts w:eastAsia="Yu Gothic Light"/>
        </w:rPr>
        <w:fldChar w:fldCharType="separate"/>
      </w:r>
      <w:r w:rsidR="148BDBF3" w:rsidRPr="00C57E1E">
        <w:rPr>
          <w:rFonts w:eastAsia="Yu Gothic Light"/>
        </w:rPr>
        <w:t>2.3</w:t>
      </w:r>
      <w:r w:rsidR="00E10A71" w:rsidRPr="00C57E1E">
        <w:rPr>
          <w:rFonts w:eastAsia="Yu Gothic Light"/>
        </w:rPr>
        <w:fldChar w:fldCharType="end"/>
      </w:r>
      <w:r w:rsidR="61F69CEC">
        <w:rPr>
          <w:rFonts w:eastAsia="Yu Gothic Light"/>
        </w:rPr>
        <w:t>)</w:t>
      </w:r>
      <w:r w:rsidR="4BD3A707" w:rsidRPr="00C57E1E">
        <w:rPr>
          <w:rFonts w:eastAsia="Yu Gothic Light"/>
        </w:rPr>
        <w:t>. S</w:t>
      </w:r>
      <w:r w:rsidR="4BD3A707" w:rsidRPr="00C57E1E">
        <w:rPr>
          <w:rFonts w:eastAsia="Calibri"/>
        </w:rPr>
        <w:t>econd CGs (CG2s) were initially intended to have a more explicit focus on sustainability but in practice were used to get grants back on track following disruptions due to COVID-19; however, the MA team noted that a sustainability focus was evident in some countries .</w:t>
      </w:r>
      <w:r w:rsidR="00FF2998" w:rsidRPr="00C57E1E">
        <w:rPr>
          <w:rFonts w:eastAsia="Calibri"/>
          <w:sz w:val="20"/>
          <w:szCs w:val="20"/>
          <w:vertAlign w:val="superscript"/>
        </w:rPr>
        <w:footnoteReference w:id="132"/>
      </w:r>
    </w:p>
    <w:p w14:paraId="7CFF467F" w14:textId="32E8365E" w:rsidR="00FF2998" w:rsidRPr="00C57E1E" w:rsidRDefault="0816BCD0" w:rsidP="00280FC9">
      <w:pPr>
        <w:pStyle w:val="ItadNormalText"/>
        <w:rPr>
          <w:rFonts w:eastAsia="Yu Gothic Light" w:cs="Calibri"/>
        </w:rPr>
      </w:pPr>
      <w:r w:rsidRPr="00CB3048">
        <w:rPr>
          <w:b/>
          <w:bCs/>
          <w:lang w:eastAsia="en-GB"/>
        </w:rPr>
        <w:t>Finding 2.3.</w:t>
      </w:r>
      <w:r w:rsidR="48B2FA74" w:rsidRPr="00CB3048">
        <w:rPr>
          <w:b/>
          <w:bCs/>
          <w:lang w:eastAsia="en-GB"/>
        </w:rPr>
        <w:t>3</w:t>
      </w:r>
      <w:r w:rsidRPr="00CB3048">
        <w:rPr>
          <w:b/>
          <w:bCs/>
          <w:lang w:eastAsia="en-GB"/>
        </w:rPr>
        <w:t xml:space="preserve">: </w:t>
      </w:r>
      <w:r w:rsidR="4BD3A707" w:rsidRPr="00CB3048">
        <w:rPr>
          <w:b/>
          <w:bCs/>
          <w:lang w:eastAsia="en-GB"/>
        </w:rPr>
        <w:t>This approach to sustainability has limited the extent to which realistic expectations and plans have been established and to which the issue has been actively discussed with key counterparts (grantees, recipients).</w:t>
      </w:r>
      <w:r w:rsidR="4BD3A707" w:rsidRPr="00CB3048">
        <w:rPr>
          <w:lang w:eastAsia="en-GB"/>
        </w:rPr>
        <w:t xml:space="preserve"> </w:t>
      </w:r>
      <w:bookmarkStart w:id="348" w:name="_Hlk136501428"/>
      <w:r w:rsidR="4BD3A707" w:rsidRPr="00CB3048">
        <w:rPr>
          <w:rFonts w:eastAsia="Calibri"/>
        </w:rPr>
        <w:t>The MA</w:t>
      </w:r>
      <w:r w:rsidR="12EABA28" w:rsidRPr="00CB3048">
        <w:rPr>
          <w:rFonts w:eastAsia="Calibri"/>
        </w:rPr>
        <w:t>’</w:t>
      </w:r>
      <w:r w:rsidR="4BD3A707" w:rsidRPr="00CB3048">
        <w:rPr>
          <w:rFonts w:eastAsia="Calibri"/>
        </w:rPr>
        <w:t>s operational definition of sustainability is broad</w:t>
      </w:r>
      <w:r w:rsidR="00FF2998" w:rsidRPr="00CB3048">
        <w:rPr>
          <w:rFonts w:eastAsia="Calibri"/>
          <w:sz w:val="20"/>
          <w:szCs w:val="20"/>
          <w:vertAlign w:val="superscript"/>
        </w:rPr>
        <w:footnoteReference w:id="133"/>
      </w:r>
      <w:r w:rsidR="4BD3A707" w:rsidRPr="00CB3048">
        <w:rPr>
          <w:rFonts w:eastAsia="Calibri"/>
        </w:rPr>
        <w:t xml:space="preserve"> and leaves open, at the portfolio level, the specification of sustainability goals</w:t>
      </w:r>
      <w:r w:rsidR="61F69CEC" w:rsidRPr="00CB3048">
        <w:rPr>
          <w:rFonts w:eastAsia="Calibri"/>
        </w:rPr>
        <w:t>. This</w:t>
      </w:r>
      <w:r w:rsidR="4BD3A707" w:rsidRPr="00CB3048">
        <w:rPr>
          <w:rFonts w:eastAsia="Calibri"/>
        </w:rPr>
        <w:t xml:space="preserve"> is supplemented through the articulation of country-level sustainability assessments which </w:t>
      </w:r>
      <w:r w:rsidR="4BD3A707" w:rsidRPr="4EF651D4">
        <w:rPr>
          <w:rFonts w:eastAsia="Calibri"/>
        </w:rPr>
        <w:t>inter alia</w:t>
      </w:r>
      <w:r w:rsidR="4BD3A707" w:rsidRPr="00CB3048">
        <w:rPr>
          <w:rFonts w:eastAsia="Calibri"/>
        </w:rPr>
        <w:t xml:space="preserve"> indicate what will be </w:t>
      </w:r>
      <w:r w:rsidR="12EABA28" w:rsidRPr="00CB3048">
        <w:rPr>
          <w:rFonts w:eastAsia="Calibri"/>
        </w:rPr>
        <w:t>‘</w:t>
      </w:r>
      <w:r w:rsidR="4BD3A707" w:rsidRPr="00CB3048">
        <w:rPr>
          <w:rFonts w:eastAsia="Calibri"/>
        </w:rPr>
        <w:t>left</w:t>
      </w:r>
      <w:r w:rsidR="4BD3A707" w:rsidRPr="00C57E1E">
        <w:rPr>
          <w:rFonts w:eastAsia="Calibri"/>
        </w:rPr>
        <w:t xml:space="preserve"> behind</w:t>
      </w:r>
      <w:r w:rsidR="12EABA28">
        <w:rPr>
          <w:rFonts w:eastAsia="Calibri"/>
        </w:rPr>
        <w:t>’</w:t>
      </w:r>
      <w:r w:rsidR="4BD3A707" w:rsidRPr="00C57E1E">
        <w:rPr>
          <w:rFonts w:eastAsia="Calibri"/>
        </w:rPr>
        <w:t xml:space="preserve"> and identify risks to sustainability and exit plans.</w:t>
      </w:r>
      <w:r w:rsidR="00FF2998" w:rsidRPr="00C57E1E">
        <w:rPr>
          <w:rFonts w:eastAsia="Calibri"/>
          <w:sz w:val="20"/>
          <w:szCs w:val="20"/>
          <w:vertAlign w:val="superscript"/>
        </w:rPr>
        <w:footnoteReference w:id="134"/>
      </w:r>
      <w:r w:rsidR="4BD3A707" w:rsidRPr="00C57E1E" w:rsidDel="007D2E99">
        <w:rPr>
          <w:rFonts w:eastAsia="Calibri"/>
        </w:rPr>
        <w:t xml:space="preserve"> </w:t>
      </w:r>
      <w:r w:rsidR="4BD3A707" w:rsidRPr="00C57E1E">
        <w:rPr>
          <w:rFonts w:eastAsia="Calibri"/>
        </w:rPr>
        <w:t xml:space="preserve">The MA </w:t>
      </w:r>
      <w:r w:rsidR="148BDBF3" w:rsidRPr="00C57E1E">
        <w:rPr>
          <w:rFonts w:eastAsia="Calibri"/>
        </w:rPr>
        <w:t>decided to take this</w:t>
      </w:r>
      <w:r w:rsidR="4BD3A707" w:rsidRPr="00C57E1E">
        <w:rPr>
          <w:rFonts w:eastAsia="Calibri"/>
        </w:rPr>
        <w:t xml:space="preserve"> approach</w:t>
      </w:r>
      <w:r w:rsidR="00FF2998" w:rsidRPr="00C57E1E">
        <w:rPr>
          <w:rFonts w:eastAsia="Calibri"/>
          <w:sz w:val="20"/>
          <w:szCs w:val="20"/>
          <w:vertAlign w:val="superscript"/>
        </w:rPr>
        <w:footnoteReference w:id="135"/>
      </w:r>
      <w:r w:rsidR="4BD3A707" w:rsidRPr="00C57E1E">
        <w:rPr>
          <w:rFonts w:eastAsia="Calibri"/>
        </w:rPr>
        <w:t xml:space="preserve"> on the basis that delivering success in </w:t>
      </w:r>
      <w:r w:rsidR="2658EF50" w:rsidRPr="00C57E1E">
        <w:rPr>
          <w:rFonts w:eastAsia="Calibri"/>
        </w:rPr>
        <w:t>phase 1</w:t>
      </w:r>
      <w:r w:rsidR="4BD3A707" w:rsidRPr="00C57E1E">
        <w:rPr>
          <w:rFonts w:eastAsia="Calibri"/>
        </w:rPr>
        <w:t xml:space="preserve"> was the first plank in the sustainability strategy (i.e. failure to deliver would both limit what needed to be sustained and undermine relationships that are key to delivering sustainability).</w:t>
      </w:r>
      <w:r w:rsidR="46C0A282" w:rsidRPr="00C57E1E">
        <w:rPr>
          <w:rFonts w:eastAsia="Calibri"/>
        </w:rPr>
        <w:t xml:space="preserve"> </w:t>
      </w:r>
      <w:r w:rsidR="4BD3A707" w:rsidRPr="4EF651D4">
        <w:rPr>
          <w:rStyle w:val="cf01"/>
          <w:rFonts w:asciiTheme="minorHAnsi" w:hAnsiTheme="minorHAnsi" w:cstheme="minorBidi"/>
          <w:sz w:val="22"/>
          <w:szCs w:val="22"/>
        </w:rPr>
        <w:t>Sustainability assessments were intended to be revised on an annual basis. During evaluation data collection in mid</w:t>
      </w:r>
      <w:r w:rsidR="148BDBF3" w:rsidRPr="4EF651D4">
        <w:rPr>
          <w:rStyle w:val="cf01"/>
          <w:rFonts w:asciiTheme="minorHAnsi" w:hAnsiTheme="minorHAnsi" w:cstheme="minorBidi"/>
          <w:sz w:val="22"/>
          <w:szCs w:val="22"/>
        </w:rPr>
        <w:t>-</w:t>
      </w:r>
      <w:r w:rsidR="4BD3A707" w:rsidRPr="4EF651D4">
        <w:rPr>
          <w:rStyle w:val="cf01"/>
          <w:rFonts w:asciiTheme="minorHAnsi" w:hAnsiTheme="minorHAnsi" w:cstheme="minorBidi"/>
          <w:sz w:val="22"/>
          <w:szCs w:val="22"/>
        </w:rPr>
        <w:t xml:space="preserve">2022, we found neither evidence that updates of the sustainability plans had affected what </w:t>
      </w:r>
      <w:r w:rsidR="148BDBF3" w:rsidRPr="4EF651D4">
        <w:rPr>
          <w:rStyle w:val="cf01"/>
          <w:rFonts w:asciiTheme="minorHAnsi" w:hAnsiTheme="minorHAnsi" w:cstheme="minorBidi"/>
          <w:sz w:val="22"/>
          <w:szCs w:val="22"/>
        </w:rPr>
        <w:t xml:space="preserve">was </w:t>
      </w:r>
      <w:r w:rsidR="4BD3A707" w:rsidRPr="4EF651D4">
        <w:rPr>
          <w:rStyle w:val="cf01"/>
          <w:rFonts w:asciiTheme="minorHAnsi" w:hAnsiTheme="minorHAnsi" w:cstheme="minorBidi"/>
          <w:sz w:val="22"/>
          <w:szCs w:val="22"/>
        </w:rPr>
        <w:t>delivered, nor that they had been used to engage with country level stakeholders on sustainability and how it might be achieved. Furthermore, sustainability/exit plans were either not in place or were under development in all countries,</w:t>
      </w:r>
      <w:r w:rsidR="4BD3A707" w:rsidRPr="00C57E1E">
        <w:rPr>
          <w:rFonts w:eastAsia="Yu Gothic Light"/>
        </w:rPr>
        <w:t xml:space="preserve"> with less progress in this regard in the AH sector (as set out in </w:t>
      </w:r>
      <w:r w:rsidR="521121B3" w:rsidRPr="00C57E1E">
        <w:rPr>
          <w:rFonts w:eastAsia="Yu Gothic Light"/>
        </w:rPr>
        <w:t>Vol. I</w:t>
      </w:r>
      <w:r w:rsidR="4BD3A707" w:rsidRPr="00C57E1E">
        <w:rPr>
          <w:rFonts w:eastAsia="Yu Gothic Light"/>
        </w:rPr>
        <w:t>I, Annex 10</w:t>
      </w:r>
      <w:r w:rsidR="062923B9">
        <w:rPr>
          <w:rFonts w:eastAsia="Yu Gothic Light"/>
        </w:rPr>
        <w:t>, Tables 4</w:t>
      </w:r>
      <w:r w:rsidR="68384F92">
        <w:rPr>
          <w:rFonts w:eastAsia="Yu Gothic Light"/>
        </w:rPr>
        <w:t>2–</w:t>
      </w:r>
      <w:r w:rsidR="062923B9">
        <w:rPr>
          <w:rFonts w:eastAsia="Yu Gothic Light"/>
        </w:rPr>
        <w:t>4</w:t>
      </w:r>
      <w:r w:rsidR="68384F92">
        <w:rPr>
          <w:rFonts w:eastAsia="Yu Gothic Light"/>
        </w:rPr>
        <w:t>4</w:t>
      </w:r>
      <w:r w:rsidR="4BD3A707" w:rsidRPr="00C57E1E">
        <w:rPr>
          <w:rFonts w:eastAsia="Yu Gothic Light"/>
        </w:rPr>
        <w:t>)</w:t>
      </w:r>
      <w:r w:rsidR="4BD3A707" w:rsidRPr="4EF651D4">
        <w:rPr>
          <w:rStyle w:val="cf01"/>
          <w:rFonts w:asciiTheme="minorHAnsi" w:hAnsiTheme="minorHAnsi" w:cstheme="minorBidi"/>
          <w:sz w:val="22"/>
          <w:szCs w:val="22"/>
        </w:rPr>
        <w:t>.</w:t>
      </w:r>
      <w:r w:rsidR="00FF2998" w:rsidRPr="00C57E1E">
        <w:rPr>
          <w:rFonts w:eastAsia="Yu Gothic Light"/>
          <w:sz w:val="20"/>
          <w:szCs w:val="20"/>
          <w:vertAlign w:val="superscript"/>
        </w:rPr>
        <w:footnoteReference w:id="136"/>
      </w:r>
      <w:r w:rsidR="4BD3A707" w:rsidRPr="4EF651D4">
        <w:rPr>
          <w:rStyle w:val="cf01"/>
          <w:rFonts w:asciiTheme="minorHAnsi" w:hAnsiTheme="minorHAnsi" w:cstheme="minorBidi"/>
          <w:sz w:val="22"/>
          <w:szCs w:val="22"/>
        </w:rPr>
        <w:t xml:space="preserve"> This raises questions on their utility given that most grants had less than six months of implementation left and so</w:t>
      </w:r>
      <w:r w:rsidR="53969095" w:rsidRPr="4EF651D4">
        <w:rPr>
          <w:rStyle w:val="cf01"/>
          <w:rFonts w:asciiTheme="minorHAnsi" w:hAnsiTheme="minorHAnsi" w:cstheme="minorBidi"/>
          <w:sz w:val="22"/>
          <w:szCs w:val="22"/>
        </w:rPr>
        <w:t xml:space="preserve"> had</w:t>
      </w:r>
      <w:r w:rsidR="4BD3A707" w:rsidRPr="4EF651D4">
        <w:rPr>
          <w:rStyle w:val="cf01"/>
          <w:rFonts w:asciiTheme="minorHAnsi" w:hAnsiTheme="minorHAnsi" w:cstheme="minorBidi"/>
          <w:sz w:val="22"/>
          <w:szCs w:val="22"/>
        </w:rPr>
        <w:t xml:space="preserve"> limited time to both identify key issues and agree</w:t>
      </w:r>
      <w:r w:rsidR="148BDBF3" w:rsidRPr="4EF651D4">
        <w:rPr>
          <w:rStyle w:val="cf01"/>
          <w:rFonts w:asciiTheme="minorHAnsi" w:hAnsiTheme="minorHAnsi" w:cstheme="minorBidi"/>
          <w:sz w:val="22"/>
          <w:szCs w:val="22"/>
        </w:rPr>
        <w:t xml:space="preserve"> on</w:t>
      </w:r>
      <w:r w:rsidR="4BD3A707" w:rsidRPr="4EF651D4">
        <w:rPr>
          <w:rStyle w:val="cf01"/>
          <w:rFonts w:asciiTheme="minorHAnsi" w:hAnsiTheme="minorHAnsi" w:cstheme="minorBidi"/>
          <w:sz w:val="22"/>
          <w:szCs w:val="22"/>
        </w:rPr>
        <w:t xml:space="preserve"> solutions with in-country partners.</w:t>
      </w:r>
      <w:r w:rsidR="4BD3A707" w:rsidRPr="00C57E1E">
        <w:rPr>
          <w:rFonts w:eastAsia="Yu Gothic Light"/>
        </w:rPr>
        <w:t xml:space="preserve"> </w:t>
      </w:r>
      <w:r w:rsidR="4BD3A707" w:rsidRPr="00C57E1E">
        <w:rPr>
          <w:rFonts w:eastAsia="Calibri"/>
        </w:rPr>
        <w:t xml:space="preserve">Limitations in the degree to which the MA implemented its own approach are therefore evident albeit progress has been made in developing </w:t>
      </w:r>
      <w:r w:rsidR="4BD3A707" w:rsidRPr="00C57E1E">
        <w:rPr>
          <w:rFonts w:eastAsia="Yu Gothic Light"/>
        </w:rPr>
        <w:t>capacity and motivation.</w:t>
      </w:r>
      <w:r w:rsidR="00FF2998" w:rsidRPr="00C57E1E">
        <w:rPr>
          <w:rStyle w:val="FootnoteReference"/>
          <w:rFonts w:eastAsia="Yu Gothic Light"/>
        </w:rPr>
        <w:footnoteReference w:id="137"/>
      </w:r>
      <w:r w:rsidR="4BD3A707" w:rsidRPr="00C57E1E">
        <w:rPr>
          <w:rFonts w:eastAsia="Yu Gothic Light"/>
        </w:rPr>
        <w:t xml:space="preserve"> Less progress has been made in terms of securing the necessary future resources, and in AH, than </w:t>
      </w:r>
      <w:r w:rsidR="148BDBF3" w:rsidRPr="00C57E1E">
        <w:rPr>
          <w:rFonts w:eastAsia="Yu Gothic Light"/>
        </w:rPr>
        <w:t xml:space="preserve">in </w:t>
      </w:r>
      <w:r w:rsidR="4BD3A707" w:rsidRPr="00C57E1E">
        <w:rPr>
          <w:rFonts w:eastAsia="Yu Gothic Light"/>
        </w:rPr>
        <w:t>HH.</w:t>
      </w:r>
      <w:r w:rsidR="00FF2998" w:rsidRPr="00C57E1E">
        <w:rPr>
          <w:rStyle w:val="FootnoteReference"/>
          <w:rFonts w:eastAsia="Yu Gothic Light"/>
        </w:rPr>
        <w:footnoteReference w:id="138"/>
      </w:r>
    </w:p>
    <w:bookmarkEnd w:id="348"/>
    <w:p w14:paraId="68407C68" w14:textId="7F727337" w:rsidR="00FF2998" w:rsidRPr="00C57E1E" w:rsidRDefault="009E1F1C" w:rsidP="00581A39">
      <w:pPr>
        <w:pStyle w:val="ItadNormalText"/>
        <w:rPr>
          <w:rFonts w:eastAsia="Yu Gothic Light" w:cs="Calibri"/>
        </w:rPr>
      </w:pPr>
      <w:r w:rsidRPr="00581A39">
        <w:rPr>
          <w:b/>
          <w:bCs/>
          <w:lang w:eastAsia="en-GB"/>
        </w:rPr>
        <w:t xml:space="preserve">Finding 2.3.4: </w:t>
      </w:r>
      <w:r w:rsidR="00FF2998" w:rsidRPr="00581A39">
        <w:rPr>
          <w:b/>
          <w:bCs/>
          <w:lang w:eastAsia="en-GB"/>
        </w:rPr>
        <w:t xml:space="preserve">Based on action to date and the current status of country-level conditions, there are limited prospects for achieving sustainability in </w:t>
      </w:r>
      <w:r w:rsidR="00222C91" w:rsidRPr="00581A39">
        <w:rPr>
          <w:b/>
          <w:bCs/>
          <w:lang w:eastAsia="en-GB"/>
        </w:rPr>
        <w:t>phase 1</w:t>
      </w:r>
      <w:r w:rsidR="00FF2998" w:rsidRPr="00581A39">
        <w:rPr>
          <w:b/>
          <w:bCs/>
          <w:lang w:eastAsia="en-GB"/>
        </w:rPr>
        <w:t>, albeit the MA</w:t>
      </w:r>
      <w:r w:rsidR="00AA6A7B" w:rsidRPr="00581A39">
        <w:rPr>
          <w:b/>
          <w:bCs/>
          <w:lang w:eastAsia="en-GB"/>
        </w:rPr>
        <w:t>’</w:t>
      </w:r>
      <w:r w:rsidR="00FF2998" w:rsidRPr="00581A39">
        <w:rPr>
          <w:b/>
          <w:bCs/>
          <w:lang w:eastAsia="en-GB"/>
        </w:rPr>
        <w:t>s assumption that there would be a second phase of Fleming Fund support has proven correct.</w:t>
      </w:r>
      <w:r w:rsidR="00FF2998" w:rsidRPr="00581A39" w:rsidDel="007D2E99">
        <w:rPr>
          <w:b/>
          <w:bCs/>
          <w:lang w:eastAsia="en-GB"/>
        </w:rPr>
        <w:t xml:space="preserve"> </w:t>
      </w:r>
      <w:r w:rsidR="00FF2998" w:rsidRPr="00581A39">
        <w:rPr>
          <w:b/>
          <w:bCs/>
          <w:lang w:eastAsia="en-GB"/>
        </w:rPr>
        <w:t xml:space="preserve">Nevertheless, experience in </w:t>
      </w:r>
      <w:r w:rsidR="00222C91" w:rsidRPr="00581A39">
        <w:rPr>
          <w:b/>
          <w:bCs/>
          <w:lang w:eastAsia="en-GB"/>
        </w:rPr>
        <w:t>phase 1</w:t>
      </w:r>
      <w:r w:rsidR="00FF2998" w:rsidRPr="00581A39">
        <w:rPr>
          <w:b/>
          <w:bCs/>
          <w:lang w:eastAsia="en-GB"/>
        </w:rPr>
        <w:t xml:space="preserve"> confirms the challenges in establishing key conditions for sustainability as identified in published literature</w:t>
      </w:r>
      <w:r w:rsidR="00CB3048">
        <w:rPr>
          <w:b/>
          <w:bCs/>
          <w:lang w:eastAsia="en-GB"/>
        </w:rPr>
        <w:t>:</w:t>
      </w:r>
      <w:r w:rsidR="00FF2998" w:rsidRPr="00581A39">
        <w:rPr>
          <w:b/>
          <w:bCs/>
          <w:lang w:eastAsia="en-GB"/>
        </w:rPr>
        <w:t xml:space="preserve"> resources, capacity, motivation</w:t>
      </w:r>
      <w:r w:rsidR="00E10A71" w:rsidRPr="00581A39">
        <w:rPr>
          <w:b/>
          <w:bCs/>
          <w:lang w:eastAsia="en-GB"/>
        </w:rPr>
        <w:t>,</w:t>
      </w:r>
      <w:r w:rsidR="00FF2998" w:rsidRPr="00581A39">
        <w:rPr>
          <w:b/>
          <w:bCs/>
          <w:lang w:eastAsia="en-GB"/>
        </w:rPr>
        <w:t xml:space="preserve"> and planning</w:t>
      </w:r>
      <w:r w:rsidR="00FF2998" w:rsidRPr="00C57E1E">
        <w:rPr>
          <w:lang w:eastAsia="en-GB"/>
        </w:rPr>
        <w:t>. Leaving aside questions on the degree to which the MA implemented its intended approach to sustainability, t</w:t>
      </w:r>
      <w:r w:rsidR="00FF2998" w:rsidRPr="00C57E1E">
        <w:rPr>
          <w:rFonts w:eastAsia="Calibri"/>
        </w:rPr>
        <w:t>he MA</w:t>
      </w:r>
      <w:r w:rsidR="00AA6A7B">
        <w:rPr>
          <w:rFonts w:eastAsia="Calibri"/>
        </w:rPr>
        <w:t>’</w:t>
      </w:r>
      <w:r w:rsidR="00FF2998" w:rsidRPr="00C57E1E">
        <w:rPr>
          <w:rFonts w:eastAsia="Calibri"/>
        </w:rPr>
        <w:t>s approach diverged from what is generally seen as good practice in delivering sustainability. The consistent message in the broader literature is that sustainability needs to be a priority focus from the start and managed for actively through implementation to ensure key conditions are in place</w:t>
      </w:r>
      <w:r w:rsidR="00FF2998" w:rsidRPr="00BF5156">
        <w:rPr>
          <w:rFonts w:eastAsia="Calibri"/>
        </w:rPr>
        <w:t>.</w:t>
      </w:r>
      <w:r w:rsidR="00FF2998" w:rsidRPr="00504E64">
        <w:rPr>
          <w:sz w:val="20"/>
          <w:szCs w:val="20"/>
          <w:vertAlign w:val="superscript"/>
          <w:lang w:eastAsia="en-GB"/>
        </w:rPr>
        <w:footnoteReference w:id="139"/>
      </w:r>
      <w:r w:rsidR="00FF2998" w:rsidRPr="00504E64">
        <w:rPr>
          <w:lang w:eastAsia="en-GB"/>
        </w:rPr>
        <w:t xml:space="preserve"> </w:t>
      </w:r>
      <w:r w:rsidR="00FF2998" w:rsidRPr="00C57E1E">
        <w:rPr>
          <w:rFonts w:eastAsia="Yu Gothic Light"/>
        </w:rPr>
        <w:t>We discuss three of these key conditions in turn below:</w:t>
      </w:r>
    </w:p>
    <w:p w14:paraId="0CF18ECE" w14:textId="29254189" w:rsidR="00FF2998" w:rsidRPr="00C57E1E" w:rsidRDefault="16CB7139" w:rsidP="00581A39">
      <w:pPr>
        <w:pStyle w:val="ItadBullets"/>
        <w:rPr>
          <w:rFonts w:eastAsia="Times New Roman" w:cs="Calibri"/>
        </w:rPr>
      </w:pPr>
      <w:r w:rsidRPr="00DC38D2">
        <w:rPr>
          <w:b/>
          <w:bCs/>
        </w:rPr>
        <w:t>T</w:t>
      </w:r>
      <w:r w:rsidR="4BD3A707" w:rsidRPr="00DC38D2">
        <w:rPr>
          <w:b/>
          <w:bCs/>
        </w:rPr>
        <w:t>he prospects for putting in place sufficient (non-Fleming Fund) resources to sustain Fleming Fund results seem limited – although the situation is marginally better in HH than AH.</w:t>
      </w:r>
      <w:r w:rsidR="4BD3A707" w:rsidRPr="00C57E1E">
        <w:t xml:space="preserve"> Assessing prospects for r</w:t>
      </w:r>
      <w:r w:rsidR="4BD3A707" w:rsidRPr="00C57E1E">
        <w:rPr>
          <w:rFonts w:eastAsia="Times New Roman"/>
        </w:rPr>
        <w:t>esourcing is not easy, as decisions to allocate resources to laboratory services are often made by facility management rather than by ministries of health; further, in those countries with decentralised systems  the financing of healthcare is often devolved, and in other countries</w:t>
      </w:r>
      <w:r w:rsidR="148BDBF3" w:rsidRPr="00C57E1E">
        <w:rPr>
          <w:rFonts w:eastAsia="Times New Roman"/>
        </w:rPr>
        <w:t>,</w:t>
      </w:r>
      <w:r w:rsidR="4BD3A707" w:rsidRPr="00C57E1E">
        <w:rPr>
          <w:rFonts w:eastAsia="Times New Roman"/>
        </w:rPr>
        <w:t xml:space="preserve"> the costs may (or may not) be covered by health insurance schemes . This has implications for Fleming Fund</w:t>
      </w:r>
      <w:r w:rsidR="12EABA28">
        <w:rPr>
          <w:rFonts w:eastAsia="Times New Roman"/>
        </w:rPr>
        <w:t>’</w:t>
      </w:r>
      <w:r w:rsidR="148BDBF3" w:rsidRPr="00C57E1E">
        <w:rPr>
          <w:rFonts w:eastAsia="Times New Roman"/>
        </w:rPr>
        <w:t>s</w:t>
      </w:r>
      <w:r w:rsidR="4BD3A707" w:rsidRPr="00C57E1E">
        <w:rPr>
          <w:rFonts w:eastAsia="Times New Roman"/>
        </w:rPr>
        <w:t xml:space="preserve"> sustainability strategies. As set out in </w:t>
      </w:r>
      <w:r w:rsidR="521121B3" w:rsidRPr="00C57E1E">
        <w:t>Vol. I</w:t>
      </w:r>
      <w:r w:rsidR="4BD3A707" w:rsidRPr="00C57E1E">
        <w:t>I, Annex 10,</w:t>
      </w:r>
      <w:r w:rsidR="2E7978D1">
        <w:t xml:space="preserve"> Table 4</w:t>
      </w:r>
      <w:r w:rsidR="762B14E6">
        <w:t>3</w:t>
      </w:r>
      <w:r w:rsidR="4BD3A707" w:rsidRPr="00C57E1E">
        <w:t>,</w:t>
      </w:r>
      <w:r w:rsidR="4BD3A707" w:rsidRPr="00C57E1E">
        <w:rPr>
          <w:rFonts w:eastAsia="Times New Roman"/>
        </w:rPr>
        <w:t xml:space="preserve"> </w:t>
      </w:r>
      <w:r w:rsidR="4BD3A707" w:rsidRPr="00C57E1E">
        <w:t>in HH there is evidence of partial resourcing</w:t>
      </w:r>
      <w:r w:rsidR="00FF2998" w:rsidRPr="00C57E1E">
        <w:rPr>
          <w:rStyle w:val="FootnoteReference"/>
          <w:rFonts w:eastAsia="Yu Gothic Light"/>
        </w:rPr>
        <w:footnoteReference w:id="140"/>
      </w:r>
      <w:r w:rsidR="4BD3A707" w:rsidRPr="00C57E1E">
        <w:t xml:space="preserve"> of relevant functions in 10 out of 16 countries (63%), but with limited expectations for change</w:t>
      </w:r>
      <w:r w:rsidR="00FF2998" w:rsidRPr="00C57E1E">
        <w:rPr>
          <w:vertAlign w:val="superscript"/>
        </w:rPr>
        <w:footnoteReference w:id="141"/>
      </w:r>
      <w:r w:rsidR="4BD3A707" w:rsidRPr="00C57E1E">
        <w:t xml:space="preserve"> during 2022; in AH currently six out of 16 (38%) countries are providing partial support, and this is expected to increase to eight </w:t>
      </w:r>
      <w:r w:rsidR="106A1BF2">
        <w:t xml:space="preserve">out </w:t>
      </w:r>
      <w:r w:rsidR="4BD3A707" w:rsidRPr="00C57E1E">
        <w:t>of 16 (50%) by the end of 2022.</w:t>
      </w:r>
    </w:p>
    <w:p w14:paraId="2A003354" w14:textId="1F4FF076" w:rsidR="00FF2998" w:rsidRPr="00C57E1E" w:rsidRDefault="00FF2998" w:rsidP="00581A39">
      <w:pPr>
        <w:pStyle w:val="ItadBullets"/>
      </w:pPr>
      <w:r w:rsidRPr="00581A39">
        <w:rPr>
          <w:b/>
          <w:bCs/>
        </w:rPr>
        <w:t>Sufficient capacity appears to be in place in some countries for HH (but none for AH) and partially in place for more countries in HH and AH.</w:t>
      </w:r>
      <w:r w:rsidRPr="00C57E1E" w:rsidDel="007D2E99">
        <w:t xml:space="preserve"> </w:t>
      </w:r>
      <w:bookmarkStart w:id="349" w:name="_Hlk136501759"/>
      <w:r w:rsidRPr="00C57E1E">
        <w:t>Respondents reported that in three out of the 16 countries (18%) there is sufficient capacity in HH in place, and partially in place in 10 of the 16 countries (63%). For AH, no countries reported having sufficient capacity in place, but 11 out of 16 (69%) reported having partial capacity in place. Several countries expect reverses in capacity, potentially linked to staff turnover and or staff not being on permanent contracts, which highlights the challenge (discussed below</w:t>
      </w:r>
      <w:r w:rsidRPr="00C57E1E">
        <w:rPr>
          <w:rStyle w:val="FootnoteReference"/>
          <w:rFonts w:eastAsia="Yu Gothic Light"/>
        </w:rPr>
        <w:footnoteReference w:id="142"/>
      </w:r>
      <w:r w:rsidRPr="00C57E1E">
        <w:t>) that establishing capacity to maintain either AMR functions or the benefits delivered through AMR surveillance is a dynamic challenge and requires consideration of upstream (e.g. supply) issues relating to capacity.</w:t>
      </w:r>
      <w:bookmarkEnd w:id="349"/>
    </w:p>
    <w:p w14:paraId="64BDE3B9" w14:textId="4CC6C57A" w:rsidR="00FF2998" w:rsidRPr="00C57E1E" w:rsidRDefault="00FF2998" w:rsidP="00581A39">
      <w:pPr>
        <w:pStyle w:val="ItadBullets"/>
        <w:rPr>
          <w:rFonts w:ascii="Times New Roman" w:eastAsia="Times New Roman" w:hAnsi="Times New Roman" w:cs="Times New Roman"/>
          <w:sz w:val="24"/>
          <w:szCs w:val="24"/>
        </w:rPr>
      </w:pPr>
      <w:r w:rsidRPr="00581A39">
        <w:rPr>
          <w:b/>
          <w:bCs/>
        </w:rPr>
        <w:t>Staff motivation to continue functions related to AMR is currently fair, although with some concerns about future trends in both HH and AH.</w:t>
      </w:r>
      <w:r w:rsidRPr="00C57E1E" w:rsidDel="007D2E99">
        <w:t xml:space="preserve"> </w:t>
      </w:r>
      <w:bookmarkStart w:id="350" w:name="_Hlk136501889"/>
      <w:r w:rsidRPr="00C57E1E">
        <w:t>Respondents reported that, for HH, five out of 16 countries (31%) noted that staff were sufficiently motivated to undertake their AMR functions, with 10 out of 16 (63%) partially motivated and one highlighting concerns around a lack of motivation.</w:t>
      </w:r>
      <w:r w:rsidRPr="00C57E1E" w:rsidDel="007D2E99">
        <w:t xml:space="preserve"> </w:t>
      </w:r>
      <w:r w:rsidRPr="00C57E1E">
        <w:t>In AH, three out of 16 countries (18%) noted adequate motivation, eight out of 16 (50%) partially sufficient motivation, and four out of 16 (25%) with concerns.</w:t>
      </w:r>
      <w:r w:rsidRPr="00C57E1E" w:rsidDel="007D2E99">
        <w:t xml:space="preserve"> </w:t>
      </w:r>
      <w:r w:rsidRPr="00C57E1E">
        <w:t>This could reflect the status of Fleming Fund implementation, with staff feeling positive following the recent renovation of laboratories and provision of new equipment. In one country</w:t>
      </w:r>
      <w:r w:rsidR="00BF5156">
        <w:t>,</w:t>
      </w:r>
      <w:r w:rsidRPr="00C57E1E" w:rsidDel="00282AE1">
        <w:t xml:space="preserve"> </w:t>
      </w:r>
      <w:r w:rsidRPr="00C57E1E">
        <w:t xml:space="preserve">respondents expected motivation to increase in HH, and six countries reported that motivation looked set to lessen over time; for AH, four countries expected progress and seven expected challenges. Similar to capacity, it is important to see motivation as dynamic and requiring </w:t>
      </w:r>
      <w:r w:rsidR="00E10A71" w:rsidRPr="00C57E1E">
        <w:t xml:space="preserve">the </w:t>
      </w:r>
      <w:r w:rsidRPr="00C57E1E">
        <w:t>consideration of upstream issues to ensure motivation is sustained.</w:t>
      </w:r>
      <w:bookmarkEnd w:id="350"/>
    </w:p>
    <w:p w14:paraId="63D6119D" w14:textId="30A6A52F" w:rsidR="00FF2998" w:rsidRPr="00512F37" w:rsidRDefault="00C3390B" w:rsidP="00581A39">
      <w:pPr>
        <w:pStyle w:val="ItadNormalTextBold"/>
        <w:rPr>
          <w:b w:val="0"/>
          <w:bCs w:val="0"/>
          <w:lang w:eastAsia="en-GB"/>
        </w:rPr>
      </w:pPr>
      <w:r>
        <w:rPr>
          <w:lang w:eastAsia="en-GB"/>
        </w:rPr>
        <w:t xml:space="preserve">Finding 2.3.5: </w:t>
      </w:r>
      <w:r w:rsidRPr="00581A39">
        <w:rPr>
          <w:lang w:eastAsia="en-GB"/>
        </w:rPr>
        <w:t>For the drivers of progress on quantity and quality, the prospects for sustainability appear limited. Allocation of resources to AMR surveillance is key to sustainability but has not been a strong focus for phase 1. Some aspects of the Fleming Fund design could make securing resources more challenging – in terms of affordability, the relevance of data, and focus on the demand for AMR testing, could make prospects for resourcing more challenging</w:t>
      </w:r>
      <w:r w:rsidRPr="00581A39" w:rsidDel="007D4C25">
        <w:rPr>
          <w:lang w:eastAsia="en-GB"/>
        </w:rPr>
        <w:t xml:space="preserve"> </w:t>
      </w:r>
      <w:r w:rsidRPr="00581A39">
        <w:rPr>
          <w:lang w:eastAsia="en-GB"/>
        </w:rPr>
        <w:t>in terms of equipment supply and maintenance, differentiation between HH and AH, the strength of focus on AMR data, and lack of focus on demand.</w:t>
      </w:r>
      <w:r w:rsidRPr="00581A39" w:rsidDel="00C3390B">
        <w:rPr>
          <w:vertAlign w:val="superscript"/>
          <w:lang w:eastAsia="en-GB"/>
        </w:rPr>
        <w:t xml:space="preserve"> </w:t>
      </w:r>
      <w:r w:rsidRPr="00512F37">
        <w:rPr>
          <w:b w:val="0"/>
          <w:bCs w:val="0"/>
          <w:lang w:eastAsia="en-GB"/>
        </w:rPr>
        <w:t>Sustaining progress with capacity building and governance is challenging, relying on work at organisational and institutional levels. The MA has not focused strongly on this during phase 1</w:t>
      </w:r>
      <w:r w:rsidR="00DA4FA7" w:rsidRPr="00512F37">
        <w:rPr>
          <w:b w:val="0"/>
          <w:bCs w:val="0"/>
          <w:lang w:eastAsia="en-GB"/>
        </w:rPr>
        <w:t>.</w:t>
      </w:r>
    </w:p>
    <w:p w14:paraId="3CE85B98" w14:textId="77777777" w:rsidR="00401B95" w:rsidRPr="008A5F96" w:rsidRDefault="00401B95" w:rsidP="00401B95">
      <w:pPr>
        <w:pStyle w:val="ItadH4"/>
      </w:pPr>
      <w:bookmarkStart w:id="351" w:name="_Hlk136502002"/>
      <w:bookmarkEnd w:id="347"/>
      <w:r w:rsidRPr="008A5F96">
        <w:t>Renovation, equipment and consumables</w:t>
      </w:r>
    </w:p>
    <w:p w14:paraId="7B091340" w14:textId="0EBA6E8C" w:rsidR="00FF2998" w:rsidRPr="00401B95" w:rsidRDefault="00FF2998" w:rsidP="00401B95">
      <w:pPr>
        <w:rPr>
          <w:rFonts w:eastAsia="Calibri"/>
          <w:b/>
          <w:bCs/>
          <w:color w:val="3B3B3C"/>
          <w:sz w:val="24"/>
          <w:szCs w:val="24"/>
        </w:rPr>
      </w:pPr>
      <w:r w:rsidRPr="00581A39">
        <w:t>A significant focus of the Fleming Fund has been the renovation of a large number of laboratories and ensuring they are appropriately equipped. Whether laboratories are maintained to the standards that the Fleming Fund has refurbished them, and equipment procured by the Fleming Fund is maintained, depends on a combination of resources and management.</w:t>
      </w:r>
      <w:r w:rsidRPr="00581A39" w:rsidDel="007D2E99">
        <w:t xml:space="preserve"> </w:t>
      </w:r>
      <w:r w:rsidRPr="00581A39">
        <w:t>The challenge is that relevant budget holders lie at multiple levels ranging from within an individual facility to the national level, so resource sustainability relies on prioritisation from multiple managers and committees that each have their own priorities, budget constraints and priorities.</w:t>
      </w:r>
      <w:r w:rsidR="00DC1D8D" w:rsidRPr="00581A39">
        <w:t xml:space="preserve"> </w:t>
      </w:r>
      <w:r w:rsidRPr="00581A39">
        <w:t xml:space="preserve">Securing financial commitments to maintain these investments across the range of relevant budget holders has not been a strong focus for </w:t>
      </w:r>
      <w:r w:rsidR="00222C91" w:rsidRPr="00581A39">
        <w:t>phase 1</w:t>
      </w:r>
      <w:r w:rsidRPr="00581A39">
        <w:t>, while some aspects of the Fleming Fund design could make prospects for resourcing more challenging</w:t>
      </w:r>
      <w:r w:rsidRPr="00BF2FFF">
        <w:t>.</w:t>
      </w:r>
      <w:bookmarkEnd w:id="351"/>
    </w:p>
    <w:p w14:paraId="26347251" w14:textId="3F36438C" w:rsidR="00FF2998" w:rsidRPr="008343D7" w:rsidRDefault="00FF2998" w:rsidP="00581A39">
      <w:pPr>
        <w:pStyle w:val="ItadNormalTextBold"/>
        <w:rPr>
          <w:lang w:eastAsia="en-GB"/>
        </w:rPr>
      </w:pPr>
      <w:bookmarkStart w:id="352" w:name="_Hlk136502099"/>
      <w:bookmarkStart w:id="353" w:name="_Hlk129338193"/>
      <w:r w:rsidRPr="008343D7">
        <w:rPr>
          <w:lang w:eastAsia="en-GB"/>
        </w:rPr>
        <w:t>Some aspects of the Fleming Fund design, in terms of affordability, the relevance of data</w:t>
      </w:r>
      <w:r w:rsidR="00BC11CC">
        <w:rPr>
          <w:lang w:eastAsia="en-GB"/>
        </w:rPr>
        <w:t>,</w:t>
      </w:r>
      <w:r w:rsidRPr="008343D7">
        <w:rPr>
          <w:lang w:eastAsia="en-GB"/>
        </w:rPr>
        <w:t xml:space="preserve"> and focus on the demand for AMR testing, could make prospects for resourcing more challenging:</w:t>
      </w:r>
    </w:p>
    <w:p w14:paraId="45124ED7" w14:textId="3A5DF429" w:rsidR="00FF2998" w:rsidRPr="00163F93" w:rsidRDefault="4BD3A707" w:rsidP="00581A39">
      <w:pPr>
        <w:pStyle w:val="ItadBullets"/>
        <w:rPr>
          <w:rFonts w:cs="Calibri"/>
        </w:rPr>
      </w:pPr>
      <w:r w:rsidRPr="008343D7">
        <w:rPr>
          <w:b/>
          <w:bCs/>
        </w:rPr>
        <w:t>Affordability of both maintenance services and consumables</w:t>
      </w:r>
      <w:r w:rsidRPr="008343D7">
        <w:t xml:space="preserve"> </w:t>
      </w:r>
      <w:r w:rsidRPr="008343D7">
        <w:rPr>
          <w:b/>
          <w:bCs/>
        </w:rPr>
        <w:t>needed to run the equipment</w:t>
      </w:r>
      <w:r w:rsidRPr="008343D7">
        <w:t>.</w:t>
      </w:r>
      <w:r w:rsidRPr="008343D7" w:rsidDel="007D2E99">
        <w:t xml:space="preserve"> </w:t>
      </w:r>
      <w:r w:rsidRPr="008343D7">
        <w:t>The Fleming Fund approach was to put in place maintenance contracts for five of the eight main pieces of equipment</w:t>
      </w:r>
      <w:r w:rsidR="00FF2998" w:rsidRPr="008343D7">
        <w:rPr>
          <w:vertAlign w:val="superscript"/>
        </w:rPr>
        <w:footnoteReference w:id="143"/>
      </w:r>
      <w:r w:rsidRPr="008343D7">
        <w:t xml:space="preserve"> and cover the cost of reagents, media and consumables (which were assumed to be in the region of 20% of the cost of laboratory requirements).</w:t>
      </w:r>
      <w:r w:rsidR="00FF2998" w:rsidRPr="008343D7">
        <w:rPr>
          <w:vertAlign w:val="superscript"/>
        </w:rPr>
        <w:footnoteReference w:id="144"/>
      </w:r>
      <w:r w:rsidRPr="008343D7">
        <w:t xml:space="preserve"> Some countries  have allocated resources to cover (some of) these costs but indications in other countries  are that this could be a challenge for countries to pay for. For example, KIIs in Laos reported that </w:t>
      </w:r>
      <w:r w:rsidRPr="008343D7">
        <w:rPr>
          <w:rFonts w:eastAsia="Calibri" w:cs="Calibri"/>
          <w:shd w:val="clear" w:color="auto" w:fill="FFFFFF"/>
        </w:rPr>
        <w:t>yearly servicing for MALDI-toff equipment is around US$35,000, compared with a total NRL annual budget of US$26,000</w:t>
      </w:r>
      <w:r w:rsidRPr="008343D7">
        <w:t>.</w:t>
      </w:r>
      <w:r w:rsidR="00FF2998" w:rsidRPr="008343D7">
        <w:rPr>
          <w:rFonts w:eastAsia="Calibri" w:cs="Calibri"/>
          <w:shd w:val="clear" w:color="auto" w:fill="FFFFFF"/>
          <w:vertAlign w:val="superscript"/>
        </w:rPr>
        <w:footnoteReference w:id="145"/>
      </w:r>
      <w:r w:rsidRPr="008343D7">
        <w:t xml:space="preserve"> The Fleming Fund</w:t>
      </w:r>
      <w:r w:rsidR="12EABA28">
        <w:t>’</w:t>
      </w:r>
      <w:r w:rsidRPr="008343D7">
        <w:t>s emphasis on the automation of microbiology processes, particularly where adequate, less expensive alternatives exist,</w:t>
      </w:r>
      <w:r w:rsidR="00FF2998" w:rsidRPr="008343D7">
        <w:rPr>
          <w:vertAlign w:val="superscript"/>
        </w:rPr>
        <w:footnoteReference w:id="146"/>
      </w:r>
      <w:r w:rsidRPr="008343D7">
        <w:t xml:space="preserve"> is </w:t>
      </w:r>
      <w:r>
        <w:t xml:space="preserve">also </w:t>
      </w:r>
      <w:r w:rsidRPr="008343D7">
        <w:t xml:space="preserve">a </w:t>
      </w:r>
      <w:r>
        <w:t xml:space="preserve">potential </w:t>
      </w:r>
      <w:r w:rsidRPr="008343D7">
        <w:t>risk to sustainability (see</w:t>
      </w:r>
      <w:r w:rsidR="4590A658">
        <w:t xml:space="preserve"> </w:t>
      </w:r>
      <w:r w:rsidR="007B5BA3">
        <w:fldChar w:fldCharType="begin"/>
      </w:r>
      <w:r w:rsidR="007B5BA3">
        <w:instrText xml:space="preserve"> REF _Ref144720177 \h </w:instrText>
      </w:r>
      <w:r w:rsidR="007B5BA3">
        <w:fldChar w:fldCharType="separate"/>
      </w:r>
      <w:r w:rsidR="3217ECBE">
        <w:t xml:space="preserve">Box </w:t>
      </w:r>
      <w:r w:rsidR="3217ECBE">
        <w:rPr>
          <w:noProof/>
        </w:rPr>
        <w:t>8</w:t>
      </w:r>
      <w:r w:rsidR="007B5BA3">
        <w:fldChar w:fldCharType="end"/>
      </w:r>
      <w:r w:rsidR="00BC11CC" w:rsidRPr="008A5F96">
        <w:rPr>
          <w:rStyle w:val="ItadBulletsChar"/>
        </w:rPr>
        <w:fldChar w:fldCharType="begin"/>
      </w:r>
      <w:r w:rsidR="00BC11CC" w:rsidRPr="008A5F96">
        <w:rPr>
          <w:rStyle w:val="ItadBulletsChar"/>
        </w:rPr>
        <w:instrText xml:space="preserve"> REF _Ref129338146 \h </w:instrText>
      </w:r>
      <w:r w:rsidR="00BC11CC">
        <w:rPr>
          <w:rStyle w:val="ItadBulletsChar"/>
        </w:rPr>
        <w:instrText xml:space="preserve"> \* MERGEFORMAT </w:instrText>
      </w:r>
      <w:r w:rsidR="00BC11CC" w:rsidRPr="008A5F96">
        <w:rPr>
          <w:rStyle w:val="ItadBulletsChar"/>
        </w:rPr>
      </w:r>
      <w:r w:rsidR="00BC11CC" w:rsidRPr="008A5F96">
        <w:rPr>
          <w:rStyle w:val="ItadBulletsChar"/>
        </w:rPr>
        <w:fldChar w:fldCharType="end"/>
      </w:r>
      <w:r w:rsidRPr="008343D7">
        <w:t>). Financing of consumables, reagents and equipment is also a sustainability risk that needs further consideration going forward, including for example, whether co-financing agreements could be put in place, and whether it is realistic to expect governments to pay for AMR services in resource</w:t>
      </w:r>
      <w:r w:rsidR="07DC7538">
        <w:t>-</w:t>
      </w:r>
      <w:r w:rsidRPr="008343D7">
        <w:t>constrained settings, particularly if the benefits are essentially a global public good</w:t>
      </w:r>
      <w:r>
        <w:t>.</w:t>
      </w:r>
      <w:bookmarkEnd w:id="352"/>
    </w:p>
    <w:p w14:paraId="21A11573" w14:textId="34FCEB93" w:rsidR="007B5BA3" w:rsidRDefault="007B5BA3" w:rsidP="007B5BA3">
      <w:pPr>
        <w:pStyle w:val="Caption"/>
        <w:keepNext/>
      </w:pPr>
      <w:bookmarkStart w:id="354" w:name="_Ref144720177"/>
      <w:bookmarkStart w:id="355" w:name="_Toc144721403"/>
      <w:r>
        <w:t xml:space="preserve">Box </w:t>
      </w:r>
      <w:r>
        <w:fldChar w:fldCharType="begin"/>
      </w:r>
      <w:r>
        <w:instrText>SEQ Box \* ARABIC</w:instrText>
      </w:r>
      <w:r>
        <w:fldChar w:fldCharType="separate"/>
      </w:r>
      <w:r w:rsidR="009A7BD2">
        <w:rPr>
          <w:noProof/>
        </w:rPr>
        <w:t>8</w:t>
      </w:r>
      <w:r>
        <w:fldChar w:fldCharType="end"/>
      </w:r>
      <w:bookmarkEnd w:id="354"/>
      <w:r>
        <w:t>:</w:t>
      </w:r>
      <w:r w:rsidRPr="007B5BA3">
        <w:t xml:space="preserve"> </w:t>
      </w:r>
      <w:r w:rsidRPr="00581A39">
        <w:t>Material</w:t>
      </w:r>
      <w:r w:rsidRPr="00E70CFB">
        <w:t xml:space="preserve"> differences between AH and HH sectors</w:t>
      </w:r>
      <w:bookmarkEnd w:id="355"/>
    </w:p>
    <w:tbl>
      <w:tblPr>
        <w:tblStyle w:val="Itadpulloutboxorange"/>
        <w:tblpPr w:leftFromText="180" w:rightFromText="180" w:vertAnchor="text" w:horzAnchor="margin" w:tblpY="208"/>
        <w:tblW w:w="0" w:type="auto"/>
        <w:tblInd w:w="0" w:type="dxa"/>
        <w:tblLook w:val="04A0" w:firstRow="1" w:lastRow="0" w:firstColumn="1" w:lastColumn="0" w:noHBand="0" w:noVBand="1"/>
      </w:tblPr>
      <w:tblGrid>
        <w:gridCol w:w="9170"/>
      </w:tblGrid>
      <w:tr w:rsidR="00983748" w14:paraId="02590829" w14:textId="77777777" w:rsidTr="00983748">
        <w:trPr>
          <w:cantSplit/>
          <w:trHeight w:val="792"/>
        </w:trPr>
        <w:tc>
          <w:tcPr>
            <w:tcW w:w="9170" w:type="dxa"/>
          </w:tcPr>
          <w:p w14:paraId="259FABD0" w14:textId="1BE109CA" w:rsidR="00983748" w:rsidRPr="00163F93" w:rsidRDefault="00983748" w:rsidP="00983748">
            <w:pPr>
              <w:pStyle w:val="FFBoxText"/>
            </w:pPr>
            <w:bookmarkStart w:id="356" w:name="_Hlk129337977"/>
            <w:bookmarkStart w:id="357" w:name="_Hlk129338804"/>
            <w:bookmarkEnd w:id="353"/>
            <w:r w:rsidRPr="008A5F96">
              <w:rPr>
                <w:rStyle w:val="FFBoxTextChar"/>
                <w:rFonts w:eastAsiaTheme="minorHAnsi"/>
              </w:rPr>
              <w:t>The main driver for incorporating AH and other non-HH sectors into the Fleming Fund is to address AMR as a HH problem.</w:t>
            </w:r>
            <w:r w:rsidRPr="008A5F96" w:rsidDel="007D2E99">
              <w:rPr>
                <w:rStyle w:val="FFBoxTextChar"/>
                <w:rFonts w:eastAsiaTheme="minorHAnsi"/>
              </w:rPr>
              <w:t xml:space="preserve"> </w:t>
            </w:r>
            <w:r w:rsidRPr="008A5F96">
              <w:rPr>
                <w:rStyle w:val="FFBoxTextChar"/>
                <w:rFonts w:eastAsiaTheme="minorHAnsi"/>
              </w:rPr>
              <w:t xml:space="preserve">This is underlined by the focus in AH on (GLASS) pathogens that are more important in terms of human rather than </w:t>
            </w:r>
            <w:r>
              <w:rPr>
                <w:rStyle w:val="FFBoxTextChar"/>
                <w:rFonts w:eastAsiaTheme="minorHAnsi"/>
              </w:rPr>
              <w:t>AH</w:t>
            </w:r>
            <w:r w:rsidRPr="008A5F96">
              <w:rPr>
                <w:rStyle w:val="FFBoxTextChar"/>
                <w:rFonts w:eastAsiaTheme="minorHAnsi"/>
              </w:rPr>
              <w:t>. The HH-focused goals of the Fleming Fund are clear in the ToC but the implications of these have not been sufficiently understood and articulated.</w:t>
            </w:r>
            <w:r w:rsidRPr="008A5F96" w:rsidDel="007D2E99">
              <w:rPr>
                <w:rStyle w:val="FFBoxTextChar"/>
                <w:rFonts w:eastAsiaTheme="minorHAnsi"/>
              </w:rPr>
              <w:t xml:space="preserve"> </w:t>
            </w:r>
            <w:r w:rsidRPr="008A5F96">
              <w:rPr>
                <w:rStyle w:val="FFBoxTextChar"/>
                <w:rFonts w:eastAsiaTheme="minorHAnsi"/>
              </w:rPr>
              <w:t xml:space="preserve">There are key elements of AH </w:t>
            </w:r>
            <w:r>
              <w:rPr>
                <w:rStyle w:val="FFBoxTextChar"/>
                <w:rFonts w:eastAsiaTheme="minorHAnsi"/>
              </w:rPr>
              <w:t>that</w:t>
            </w:r>
            <w:r w:rsidRPr="008A5F96">
              <w:rPr>
                <w:rStyle w:val="FFBoxTextChar"/>
                <w:rFonts w:eastAsiaTheme="minorHAnsi"/>
              </w:rPr>
              <w:t xml:space="preserve"> have a material impact on how surveillance is structured</w:t>
            </w:r>
            <w:r w:rsidRPr="00163F93">
              <w:t>:</w:t>
            </w:r>
          </w:p>
          <w:p w14:paraId="798F06BA" w14:textId="77777777" w:rsidR="00983748" w:rsidRPr="00512F37" w:rsidRDefault="00983748" w:rsidP="00512F37">
            <w:pPr>
              <w:pStyle w:val="Textboxbullet"/>
              <w:framePr w:hSpace="0" w:wrap="auto" w:vAnchor="margin" w:hAnchor="text" w:yAlign="inline"/>
            </w:pPr>
            <w:r w:rsidRPr="00512F37">
              <w:rPr>
                <w:b/>
                <w:bCs/>
              </w:rPr>
              <w:t>Priority pathogens differ in AH:</w:t>
            </w:r>
            <w:r w:rsidRPr="008A5F96">
              <w:t xml:space="preserve"> </w:t>
            </w:r>
            <w:r w:rsidRPr="00512F37">
              <w:t>focusing on GLASS pathogens reduces incentives for farmers and vets to use laboratory services.</w:t>
            </w:r>
            <w:r w:rsidRPr="00512F37" w:rsidDel="007D2E99">
              <w:t xml:space="preserve"> </w:t>
            </w:r>
            <w:r w:rsidRPr="00512F37">
              <w:t>Demand or throughput are also affected by commercial sensitivities which are not (less of) an issue in the HH sector.</w:t>
            </w:r>
          </w:p>
          <w:p w14:paraId="7F02084D" w14:textId="77777777" w:rsidR="00983748" w:rsidRPr="008A5F96" w:rsidRDefault="00983748" w:rsidP="00512F37">
            <w:pPr>
              <w:pStyle w:val="Textboxbullet"/>
              <w:framePr w:hSpace="0" w:wrap="auto" w:vAnchor="margin" w:hAnchor="text" w:yAlign="inline"/>
            </w:pPr>
            <w:r w:rsidRPr="008A5F96">
              <w:rPr>
                <w:b/>
                <w:bCs/>
              </w:rPr>
              <w:t>Access to diagnostic services differs:</w:t>
            </w:r>
            <w:r w:rsidRPr="008A5F96">
              <w:t xml:space="preserve"> in AH, farmers bring vets to animals which is different from HH where patients come to visit doctors. This means that passive surveillance in AH is not used.</w:t>
            </w:r>
          </w:p>
          <w:p w14:paraId="0C056032" w14:textId="77777777" w:rsidR="00983748" w:rsidRPr="008A5F96" w:rsidRDefault="00983748" w:rsidP="00512F37">
            <w:pPr>
              <w:pStyle w:val="Textboxbullet"/>
              <w:framePr w:hSpace="0" w:wrap="auto" w:vAnchor="margin" w:hAnchor="text" w:yAlign="inline"/>
            </w:pPr>
            <w:r w:rsidRPr="008A5F96">
              <w:rPr>
                <w:b/>
                <w:bCs/>
              </w:rPr>
              <w:t>Private sector provision is more important than government provision</w:t>
            </w:r>
            <w:r w:rsidRPr="008A5F96">
              <w:t>: in many countries, there are few government vets, and private sector provision is significant. The implication is that any data on AMR is not necessarily shared in national surveillance systems.</w:t>
            </w:r>
          </w:p>
          <w:p w14:paraId="45481922" w14:textId="77777777" w:rsidR="00983748" w:rsidRPr="008A5F96" w:rsidRDefault="00983748" w:rsidP="00512F37">
            <w:pPr>
              <w:pStyle w:val="Textboxbullet"/>
              <w:framePr w:hSpace="0" w:wrap="auto" w:vAnchor="margin" w:hAnchor="text" w:yAlign="inline"/>
            </w:pPr>
            <w:r w:rsidRPr="008A5F96">
              <w:rPr>
                <w:b/>
                <w:bCs/>
              </w:rPr>
              <w:t xml:space="preserve">AH surveillance focuses on active surveillance, </w:t>
            </w:r>
            <w:r w:rsidRPr="008A5F96">
              <w:t>yet this is more expensive per isolate than passive surveillance, and challenging to sustain.</w:t>
            </w:r>
          </w:p>
          <w:p w14:paraId="79F90550" w14:textId="77777777" w:rsidR="00983748" w:rsidRPr="008A5F96" w:rsidRDefault="00983748" w:rsidP="00512F37">
            <w:pPr>
              <w:pStyle w:val="FFBoxText"/>
            </w:pPr>
            <w:r w:rsidRPr="008A5F96">
              <w:t>The strategy on AH surveillance and One Health requires more detailed thought and discussion between the MA and DHSC, yet the Fleming Fund team does not have specific expertise on AH to engage on this topic.</w:t>
            </w:r>
          </w:p>
          <w:bookmarkEnd w:id="356"/>
          <w:p w14:paraId="614DD7B4" w14:textId="77777777" w:rsidR="00983748" w:rsidRPr="00163F93" w:rsidRDefault="00983748" w:rsidP="00512F37">
            <w:pPr>
              <w:pStyle w:val="FFBoxText"/>
              <w:rPr>
                <w:rFonts w:cs="Calibri"/>
              </w:rPr>
            </w:pPr>
            <w:r w:rsidRPr="008A5F96">
              <w:t>The key strategic questions are: What is the purpose of One Health? Is this best advanced through surveillance or research? How to incentivise farmers to use the laboratory services required? What pathogens should AH focus on? Does the current AH approach maximise VfM?</w:t>
            </w:r>
            <w:bookmarkEnd w:id="357"/>
          </w:p>
        </w:tc>
      </w:tr>
    </w:tbl>
    <w:p w14:paraId="1995FCE9" w14:textId="07E20C0A" w:rsidR="00FF2998" w:rsidRPr="00AF2BC8" w:rsidRDefault="4BD3A707" w:rsidP="00983748">
      <w:pPr>
        <w:pStyle w:val="ItadBullets"/>
      </w:pPr>
      <w:bookmarkStart w:id="358" w:name="_Hlk136502527"/>
      <w:bookmarkStart w:id="359" w:name="_Hlk129339382"/>
      <w:r w:rsidRPr="00AF2BC8">
        <w:rPr>
          <w:b/>
          <w:bCs/>
        </w:rPr>
        <w:t xml:space="preserve">Limited differentiation in the support provided to HH and AH sectors. </w:t>
      </w:r>
      <w:r w:rsidRPr="00AF2BC8">
        <w:t>Whil</w:t>
      </w:r>
      <w:r w:rsidR="03E31431">
        <w:t>e</w:t>
      </w:r>
      <w:r w:rsidRPr="00AF2BC8">
        <w:t xml:space="preserve"> the MA has appropriately focused on active surveillance within the AH sector, it is not clear that the strategy is sufficiently tailored to AH and active surveillance.</w:t>
      </w:r>
      <w:r w:rsidR="00FF2998" w:rsidRPr="00AF2BC8">
        <w:rPr>
          <w:vertAlign w:val="superscript"/>
        </w:rPr>
        <w:footnoteReference w:id="147"/>
      </w:r>
      <w:r w:rsidRPr="00AF2BC8">
        <w:t xml:space="preserve"> </w:t>
      </w:r>
      <w:r w:rsidR="007B5BA3">
        <w:fldChar w:fldCharType="begin"/>
      </w:r>
      <w:r w:rsidR="007B5BA3">
        <w:instrText xml:space="preserve"> REF _Ref144719903 \h </w:instrText>
      </w:r>
      <w:r w:rsidR="007B5BA3">
        <w:fldChar w:fldCharType="separate"/>
      </w:r>
      <w:r w:rsidR="3217ECBE">
        <w:t xml:space="preserve">Box </w:t>
      </w:r>
      <w:r w:rsidR="3217ECBE">
        <w:rPr>
          <w:noProof/>
        </w:rPr>
        <w:t>1</w:t>
      </w:r>
      <w:r w:rsidR="007B5BA3">
        <w:fldChar w:fldCharType="end"/>
      </w:r>
      <w:r w:rsidR="34AE16C0">
        <w:t xml:space="preserve"> </w:t>
      </w:r>
      <w:r w:rsidRPr="00AF2BC8">
        <w:t>described the requirements for active and passive surveillance; in principle, less laboratory capacity is needed for active than for passive surveillance because the throughput of data in active surveillance is predictable by design. There is some logic to establishing multiple sites to support active surveillance, e.g. where the national strategy combines active and passive surveillance  or where country size and governance structures require it (i.e. decentralised or not), or where geography makes transportation of samples to NRLs challenging. In the majority of countries, the Fleming Fund is supporting fewer sites in AH than in HH. However, substantially fewer surveillance sites are needed in the AH sector. The MA approach risks that the cost of sustaining AMR surveillance in AH is higher than it needs to be. As described in</w:t>
      </w:r>
      <w:r w:rsidR="46D78FCD">
        <w:t xml:space="preserve"> </w:t>
      </w:r>
      <w:r w:rsidR="005B2E81">
        <w:fldChar w:fldCharType="begin"/>
      </w:r>
      <w:r w:rsidR="005B2E81">
        <w:instrText xml:space="preserve"> REF _Ref144720307 \h </w:instrText>
      </w:r>
      <w:r w:rsidR="005B2E81">
        <w:fldChar w:fldCharType="separate"/>
      </w:r>
      <w:r w:rsidR="3217ECBE">
        <w:t xml:space="preserve">Box </w:t>
      </w:r>
      <w:r w:rsidR="3217ECBE">
        <w:rPr>
          <w:noProof/>
        </w:rPr>
        <w:t>9</w:t>
      </w:r>
      <w:r w:rsidR="005B2E81">
        <w:fldChar w:fldCharType="end"/>
      </w:r>
      <w:r w:rsidRPr="00AF2BC8">
        <w:t xml:space="preserve">, if the logic is to build capacity that can be used as the basis for future passive surveillance, there is a separate risk that the Fleming Fund builds capacity in the government system when there is more demand/throughput through private sector laboratories, which are not compelled to share data as a basis for national surveillance. The approach in </w:t>
      </w:r>
      <w:r w:rsidR="2658EF50" w:rsidRPr="00AF2BC8">
        <w:t>phase 1</w:t>
      </w:r>
      <w:r w:rsidRPr="00AF2BC8">
        <w:t xml:space="preserve"> has built foundations in AH, and</w:t>
      </w:r>
      <w:r w:rsidR="07DC7538">
        <w:t xml:space="preserve"> there is a gap in</w:t>
      </w:r>
      <w:r w:rsidRPr="00AF2BC8">
        <w:t xml:space="preserve"> a more explicit, differentiated approach for AH (including specifying how risk factors would be managed for active surveillance).</w:t>
      </w:r>
      <w:bookmarkEnd w:id="358"/>
    </w:p>
    <w:p w14:paraId="2A143DD4" w14:textId="613E26EE" w:rsidR="00FF2998" w:rsidRPr="008343D7" w:rsidRDefault="00FF2998" w:rsidP="00983748">
      <w:pPr>
        <w:pStyle w:val="ItadBullets"/>
        <w:rPr>
          <w:rFonts w:cs="Calibri"/>
        </w:rPr>
      </w:pPr>
      <w:r w:rsidRPr="008343D7">
        <w:rPr>
          <w:b/>
        </w:rPr>
        <w:t>Limited focus on AMC/U, especially in AH.</w:t>
      </w:r>
      <w:r w:rsidRPr="008343D7" w:rsidDel="007D2E99">
        <w:t xml:space="preserve"> </w:t>
      </w:r>
      <w:r w:rsidRPr="008343D7">
        <w:t>The rationale for the creation of the Fleming Fund emphasises the generation of AMR surveillance data as the basis for increasing awareness, understanding and action on AMR.</w:t>
      </w:r>
      <w:r w:rsidRPr="008343D7" w:rsidDel="007D2E99">
        <w:t xml:space="preserve"> </w:t>
      </w:r>
      <w:r w:rsidRPr="008343D7">
        <w:t>The MA noted that, at the time of the launch of the Fleming Fund, limited agreement existed on protocols for AMC/U and consequently there was less focus on AMC/U in the Fleming Fund MA ToR</w:t>
      </w:r>
      <w:r w:rsidR="00AF2BC8">
        <w:t>.</w:t>
      </w:r>
      <w:r w:rsidRPr="008343D7">
        <w:rPr>
          <w:sz w:val="20"/>
          <w:szCs w:val="20"/>
          <w:vertAlign w:val="superscript"/>
        </w:rPr>
        <w:footnoteReference w:id="148"/>
      </w:r>
      <w:r w:rsidRPr="008343D7">
        <w:t xml:space="preserve"> And yet, as discussed in section </w:t>
      </w:r>
      <w:r w:rsidR="00AF2BC8">
        <w:fldChar w:fldCharType="begin"/>
      </w:r>
      <w:r w:rsidR="00AF2BC8">
        <w:instrText xml:space="preserve"> REF _Ref129331366 \r \h </w:instrText>
      </w:r>
      <w:r w:rsidR="00AF2BC8">
        <w:fldChar w:fldCharType="separate"/>
      </w:r>
      <w:r w:rsidR="00AF2BC8">
        <w:t>2.2</w:t>
      </w:r>
      <w:r w:rsidR="00AF2BC8">
        <w:fldChar w:fldCharType="end"/>
      </w:r>
      <w:r w:rsidRPr="008343D7">
        <w:t>, emerging examples of data use in AH rely more on AMC/U data. The risk is that this creates inefficiencies in the system, prioritising the generation of types of data that are ultimately not needed or valued by decision</w:t>
      </w:r>
      <w:r w:rsidR="00D50F4C">
        <w:t>-</w:t>
      </w:r>
      <w:r w:rsidRPr="008343D7">
        <w:t>makers</w:t>
      </w:r>
      <w:r>
        <w:t xml:space="preserve"> in the </w:t>
      </w:r>
      <w:r w:rsidR="00BE6F91">
        <w:t>AH</w:t>
      </w:r>
      <w:r>
        <w:t xml:space="preserve"> sector</w:t>
      </w:r>
      <w:r w:rsidRPr="008343D7">
        <w:t>.</w:t>
      </w:r>
    </w:p>
    <w:p w14:paraId="6594B6EB" w14:textId="6E3F41B4" w:rsidR="00FF2998" w:rsidRPr="008343D7" w:rsidRDefault="00FF2998" w:rsidP="00983748">
      <w:pPr>
        <w:pStyle w:val="ItadBullets"/>
        <w:rPr>
          <w:rFonts w:cs="Calibri"/>
        </w:rPr>
      </w:pPr>
      <w:r w:rsidRPr="008343D7">
        <w:rPr>
          <w:b/>
          <w:bCs/>
        </w:rPr>
        <w:t>Lack of focus on demand.</w:t>
      </w:r>
      <w:r w:rsidRPr="008343D7" w:rsidDel="007D2E99">
        <w:rPr>
          <w:b/>
          <w:bCs/>
        </w:rPr>
        <w:t xml:space="preserve"> </w:t>
      </w:r>
      <w:r w:rsidRPr="008343D7">
        <w:t>Linked to the above, there is the risk that the laboratory capacity built/strengthened is not aligned with demand or use.</w:t>
      </w:r>
      <w:r w:rsidRPr="008343D7" w:rsidDel="007D2E99">
        <w:t xml:space="preserve"> </w:t>
      </w:r>
      <w:r w:rsidRPr="008343D7">
        <w:t xml:space="preserve">The Fleming Fund has, in the earlier stages of </w:t>
      </w:r>
      <w:r w:rsidR="00222C91">
        <w:t>phase 1</w:t>
      </w:r>
      <w:r w:rsidRPr="008343D7">
        <w:t>, placed limited emphasis on strengthening demand for A</w:t>
      </w:r>
      <w:r>
        <w:t xml:space="preserve">ST </w:t>
      </w:r>
      <w:r w:rsidRPr="008343D7">
        <w:t>testing.</w:t>
      </w:r>
      <w:r w:rsidRPr="008343D7" w:rsidDel="007D2E99">
        <w:t xml:space="preserve"> </w:t>
      </w:r>
      <w:r w:rsidRPr="008343D7">
        <w:t>It is plausible that the MA has identified the</w:t>
      </w:r>
      <w:r>
        <w:t xml:space="preserve"> capacity to deliver credible AST testing</w:t>
      </w:r>
      <w:r w:rsidR="00DC1D8D">
        <w:t xml:space="preserve"> </w:t>
      </w:r>
      <w:r>
        <w:t>(</w:t>
      </w:r>
      <w:r w:rsidRPr="008343D7">
        <w:rPr>
          <w:i/>
          <w:iCs/>
        </w:rPr>
        <w:t>supply</w:t>
      </w:r>
      <w:r>
        <w:rPr>
          <w:i/>
          <w:iCs/>
        </w:rPr>
        <w:t>)</w:t>
      </w:r>
      <w:r>
        <w:t xml:space="preserve"> </w:t>
      </w:r>
      <w:r w:rsidRPr="008343D7">
        <w:t xml:space="preserve">as the primary obstacle at this stage, or a prerequisite </w:t>
      </w:r>
      <w:r>
        <w:t>before</w:t>
      </w:r>
      <w:r w:rsidRPr="008343D7">
        <w:t xml:space="preserve"> focusing on demand</w:t>
      </w:r>
      <w:r>
        <w:t>, but this was</w:t>
      </w:r>
      <w:r w:rsidR="00AF2BC8">
        <w:t xml:space="preserve"> not </w:t>
      </w:r>
      <w:r>
        <w:t>made explicit and under</w:t>
      </w:r>
      <w:r w:rsidR="00C40B3E">
        <w:t>pinned</w:t>
      </w:r>
      <w:r>
        <w:t xml:space="preserve"> by evidence</w:t>
      </w:r>
      <w:r w:rsidRPr="008343D7">
        <w:t>.</w:t>
      </w:r>
      <w:r w:rsidRPr="008343D7" w:rsidDel="007D2E99">
        <w:t xml:space="preserve"> </w:t>
      </w:r>
      <w:r w:rsidRPr="008343D7">
        <w:t>This risk</w:t>
      </w:r>
      <w:r>
        <w:t>ed</w:t>
      </w:r>
      <w:r w:rsidRPr="008343D7">
        <w:t xml:space="preserve"> missing opportunities to increase throughput </w:t>
      </w:r>
      <w:r>
        <w:t>at</w:t>
      </w:r>
      <w:r w:rsidR="005E2C10">
        <w:t xml:space="preserve"> the</w:t>
      </w:r>
      <w:r>
        <w:t xml:space="preserve"> facility level </w:t>
      </w:r>
      <w:r w:rsidRPr="008343D7">
        <w:t>further; although we note that the Fleming Fund has supported the provision of free testing, and removed cost as a key obstacle to demand.</w:t>
      </w:r>
      <w:r w:rsidRPr="008343D7">
        <w:rPr>
          <w:vertAlign w:val="superscript"/>
        </w:rPr>
        <w:footnoteReference w:id="149"/>
      </w:r>
    </w:p>
    <w:p w14:paraId="7572AD7A" w14:textId="1F9E3DDE" w:rsidR="00A1292F" w:rsidRPr="00551F0C" w:rsidRDefault="005B2E81" w:rsidP="005B2E81">
      <w:pPr>
        <w:pStyle w:val="Caption"/>
      </w:pPr>
      <w:bookmarkStart w:id="360" w:name="_Ref144720307"/>
      <w:bookmarkStart w:id="361" w:name="_Toc144721404"/>
      <w:bookmarkEnd w:id="359"/>
      <w:r>
        <w:t xml:space="preserve">Box </w:t>
      </w:r>
      <w:r>
        <w:fldChar w:fldCharType="begin"/>
      </w:r>
      <w:r>
        <w:instrText>SEQ Box \* ARABIC</w:instrText>
      </w:r>
      <w:r>
        <w:fldChar w:fldCharType="separate"/>
      </w:r>
      <w:r w:rsidR="009A7BD2">
        <w:rPr>
          <w:noProof/>
        </w:rPr>
        <w:t>9</w:t>
      </w:r>
      <w:r>
        <w:fldChar w:fldCharType="end"/>
      </w:r>
      <w:bookmarkEnd w:id="360"/>
      <w:r w:rsidR="00A1292F">
        <w:t xml:space="preserve">: </w:t>
      </w:r>
      <w:r w:rsidR="00A1292F" w:rsidRPr="00551F0C">
        <w:t>Use of automation to improve quality</w:t>
      </w:r>
      <w:bookmarkEnd w:id="361"/>
      <w:r w:rsidR="00A1292F" w:rsidRPr="00551F0C">
        <w:t xml:space="preserve"> </w:t>
      </w:r>
    </w:p>
    <w:p w14:paraId="4B761502" w14:textId="06543C6E" w:rsidR="00A1292F" w:rsidRPr="00B77CDF" w:rsidRDefault="00A1292F" w:rsidP="00A1292F">
      <w:pPr>
        <w:pStyle w:val="ItadBullets"/>
        <w:shd w:val="clear" w:color="auto" w:fill="F9E2D5" w:themeFill="accent2" w:themeFillTint="33"/>
      </w:pPr>
      <w:r w:rsidRPr="00B77CDF">
        <w:t xml:space="preserve">The Fleming Fund has made substantial investments in procuring </w:t>
      </w:r>
      <w:r w:rsidRPr="00B77CDF" w:rsidDel="0002330F">
        <w:t>hi-</w:t>
      </w:r>
      <w:r>
        <w:t>tech</w:t>
      </w:r>
      <w:r w:rsidRPr="00B77CDF">
        <w:t xml:space="preserve"> laboratory equipment to support routine, standardised AMR testing, as a key pathway to improve quality.</w:t>
      </w:r>
      <w:r w:rsidRPr="00B77CDF" w:rsidDel="007D2E99">
        <w:t xml:space="preserve"> </w:t>
      </w:r>
      <w:r w:rsidRPr="00B77CDF">
        <w:t xml:space="preserve">This has been complemented </w:t>
      </w:r>
      <w:r>
        <w:t>by</w:t>
      </w:r>
      <w:r w:rsidRPr="00B77CDF">
        <w:t xml:space="preserve"> investment in </w:t>
      </w:r>
      <w:r>
        <w:t xml:space="preserve">the </w:t>
      </w:r>
      <w:r w:rsidRPr="00B77CDF">
        <w:t xml:space="preserve">training of laboratory staff. </w:t>
      </w:r>
      <w:r>
        <w:t>T</w:t>
      </w:r>
      <w:r w:rsidRPr="00B77CDF">
        <w:t xml:space="preserve">he MA has made efforts to </w:t>
      </w:r>
      <w:r>
        <w:t xml:space="preserve">supply </w:t>
      </w:r>
      <w:r w:rsidRPr="00B77CDF">
        <w:t xml:space="preserve">equipment </w:t>
      </w:r>
      <w:r>
        <w:t xml:space="preserve">that </w:t>
      </w:r>
      <w:r w:rsidRPr="00B77CDF">
        <w:t xml:space="preserve">meets </w:t>
      </w:r>
      <w:r>
        <w:t xml:space="preserve">identified </w:t>
      </w:r>
      <w:r w:rsidRPr="00B77CDF">
        <w:t xml:space="preserve">needs at </w:t>
      </w:r>
      <w:r w:rsidRPr="00853D7E">
        <w:t>competitive</w:t>
      </w:r>
      <w:r w:rsidRPr="00D547F4">
        <w:t xml:space="preserve"> prices</w:t>
      </w:r>
      <w:r w:rsidRPr="00340157">
        <w:t xml:space="preserve"> (see section </w:t>
      </w:r>
      <w:r>
        <w:fldChar w:fldCharType="begin"/>
      </w:r>
      <w:r>
        <w:instrText xml:space="preserve"> REF _Ref129083757 \r \h  \* MERGEFORMAT </w:instrText>
      </w:r>
      <w:r>
        <w:fldChar w:fldCharType="separate"/>
      </w:r>
      <w:r>
        <w:t>2.3</w:t>
      </w:r>
      <w:r>
        <w:fldChar w:fldCharType="end"/>
      </w:r>
      <w:r w:rsidRPr="00340157">
        <w:t>).</w:t>
      </w:r>
      <w:r w:rsidRPr="00B77CDF">
        <w:t xml:space="preserve"> </w:t>
      </w:r>
    </w:p>
    <w:p w14:paraId="0C10D8F4" w14:textId="77777777" w:rsidR="00A1292F" w:rsidRPr="00B77CDF" w:rsidRDefault="00A1292F" w:rsidP="00A1292F">
      <w:pPr>
        <w:pStyle w:val="ItadBullets"/>
        <w:shd w:val="clear" w:color="auto" w:fill="F9E2D5" w:themeFill="accent2" w:themeFillTint="33"/>
      </w:pPr>
      <w:r w:rsidRPr="00B77CDF">
        <w:t>Automation can play an important role in improving the quantity and quality of AMR testing, particularly for blood cultures.</w:t>
      </w:r>
      <w:r w:rsidRPr="00B77CDF" w:rsidDel="007D2E99">
        <w:t xml:space="preserve"> </w:t>
      </w:r>
      <w:r w:rsidRPr="00B77CDF">
        <w:t>However, creating dependencies on automated equipment comes with risks to sustainability that can be challenging to manage.</w:t>
      </w:r>
      <w:r w:rsidRPr="00B77CDF" w:rsidDel="007D2E99">
        <w:t xml:space="preserve"> </w:t>
      </w:r>
      <w:r w:rsidRPr="00B77CDF">
        <w:t>Ongoing costs associated with equipment include maintenance, cost of consumables</w:t>
      </w:r>
      <w:r>
        <w:t>,</w:t>
      </w:r>
      <w:r w:rsidRPr="00B77CDF">
        <w:t xml:space="preserve"> and depreciation/cost of replacement.</w:t>
      </w:r>
      <w:r w:rsidRPr="00B77CDF" w:rsidDel="007D2E99">
        <w:t xml:space="preserve"> </w:t>
      </w:r>
      <w:r w:rsidRPr="00B77CDF">
        <w:t xml:space="preserve">The </w:t>
      </w:r>
      <w:r w:rsidRPr="0057465F">
        <w:t>Fleming Fund</w:t>
      </w:r>
      <w:r w:rsidRPr="00B77CDF">
        <w:t xml:space="preserve"> has, during </w:t>
      </w:r>
      <w:r>
        <w:t>phase 1</w:t>
      </w:r>
      <w:r w:rsidRPr="00B77CDF">
        <w:t>, take</w:t>
      </w:r>
      <w:r>
        <w:t>n</w:t>
      </w:r>
      <w:r w:rsidRPr="00B77CDF">
        <w:t xml:space="preserve"> steps to mitigate against these risks but there are examples, particularly at the transition between </w:t>
      </w:r>
      <w:r w:rsidRPr="0057465F">
        <w:t>Fleming Fund</w:t>
      </w:r>
      <w:r w:rsidRPr="00B77CDF">
        <w:t xml:space="preserve"> grants, where countries have been unable or unwilling to pick up associated costs.</w:t>
      </w:r>
      <w:r w:rsidRPr="00B77CDF" w:rsidDel="007D2E99">
        <w:t xml:space="preserve"> </w:t>
      </w:r>
    </w:p>
    <w:p w14:paraId="7D5FB957" w14:textId="77777777" w:rsidR="00A1292F" w:rsidRPr="00B77CDF" w:rsidRDefault="00A1292F" w:rsidP="00A1292F">
      <w:pPr>
        <w:pStyle w:val="ItadBullets"/>
        <w:shd w:val="clear" w:color="auto" w:fill="F9E2D5" w:themeFill="accent2" w:themeFillTint="33"/>
      </w:pPr>
      <w:r w:rsidRPr="00B77CDF">
        <w:t xml:space="preserve">For some of the microbiology processes that the Fleming Fund is supporting, there are alternative (manual) methods </w:t>
      </w:r>
      <w:r>
        <w:t>that</w:t>
      </w:r>
      <w:r w:rsidRPr="00B77CDF">
        <w:t xml:space="preserve"> do not rely on equipment and do not create contingent liabilities.</w:t>
      </w:r>
      <w:r w:rsidRPr="00B77CDF" w:rsidDel="007D2E99">
        <w:t xml:space="preserve"> </w:t>
      </w:r>
      <w:r w:rsidRPr="00B77CDF">
        <w:t xml:space="preserve">Examples from </w:t>
      </w:r>
      <w:r>
        <w:t>phase 1</w:t>
      </w:r>
      <w:r w:rsidRPr="00B77CDF">
        <w:t xml:space="preserve"> of equipment not being used as intended underline the importance of careful consideration in </w:t>
      </w:r>
      <w:r>
        <w:t xml:space="preserve">the </w:t>
      </w:r>
      <w:r w:rsidRPr="00B77CDF">
        <w:t>supply of equipment as part of an agreed, sustainability strategy.</w:t>
      </w:r>
    </w:p>
    <w:p w14:paraId="153A4B76" w14:textId="22CB89D0" w:rsidR="00FF2998" w:rsidRPr="008A5F96" w:rsidRDefault="00FF2998" w:rsidP="00A9783B">
      <w:pPr>
        <w:pStyle w:val="ItadNormalText"/>
      </w:pPr>
    </w:p>
    <w:p w14:paraId="786DAB88" w14:textId="77777777" w:rsidR="00FF2998" w:rsidRPr="008A5F96" w:rsidRDefault="00FF2998" w:rsidP="00C319AF">
      <w:pPr>
        <w:pStyle w:val="ItadH4"/>
      </w:pPr>
      <w:bookmarkStart w:id="362" w:name="_Toc144049401"/>
      <w:r w:rsidRPr="008A5F96">
        <w:t>Capacity building and governance</w:t>
      </w:r>
      <w:bookmarkEnd w:id="362"/>
    </w:p>
    <w:p w14:paraId="4A15A107" w14:textId="277A361D" w:rsidR="00D4151C" w:rsidRDefault="379FD243" w:rsidP="008A5F96">
      <w:pPr>
        <w:pStyle w:val="ItadNormalText"/>
        <w:rPr>
          <w:rFonts w:eastAsia="Yu Gothic Light"/>
        </w:rPr>
      </w:pPr>
      <w:bookmarkStart w:id="363" w:name="_Hlk129339877"/>
      <w:r>
        <w:rPr>
          <w:b/>
          <w:bCs/>
          <w:lang w:eastAsia="en-GB"/>
        </w:rPr>
        <w:t xml:space="preserve">Finding 2.3.6: </w:t>
      </w:r>
      <w:r w:rsidR="4BD3A707" w:rsidRPr="008A5F96">
        <w:rPr>
          <w:b/>
          <w:bCs/>
          <w:lang w:eastAsia="en-GB"/>
        </w:rPr>
        <w:t xml:space="preserve">Sustaining progress with capacity building and governance is also challenging, relying on work at organisational and institutional levels. The MA has not focused strongly on this during </w:t>
      </w:r>
      <w:r w:rsidR="2658EF50" w:rsidRPr="008A5F96">
        <w:rPr>
          <w:b/>
          <w:bCs/>
          <w:lang w:eastAsia="en-GB"/>
        </w:rPr>
        <w:t>phase 1</w:t>
      </w:r>
      <w:r w:rsidR="4BD3A707" w:rsidRPr="008A5F96">
        <w:rPr>
          <w:rFonts w:eastAsia="Calibri"/>
          <w:b/>
          <w:bCs/>
        </w:rPr>
        <w:t>.</w:t>
      </w:r>
      <w:r w:rsidR="4BD3A707" w:rsidRPr="008343D7">
        <w:rPr>
          <w:rFonts w:eastAsia="Calibri"/>
        </w:rPr>
        <w:t xml:space="preserve"> </w:t>
      </w:r>
      <w:r w:rsidR="4BD3A707" w:rsidRPr="008343D7">
        <w:rPr>
          <w:lang w:eastAsia="en-GB"/>
        </w:rPr>
        <w:t>Many countries and MA sustainability assessments</w:t>
      </w:r>
      <w:r w:rsidR="00FF2998" w:rsidRPr="008343D7">
        <w:rPr>
          <w:sz w:val="20"/>
          <w:szCs w:val="20"/>
          <w:vertAlign w:val="superscript"/>
          <w:lang w:eastAsia="en-GB"/>
        </w:rPr>
        <w:footnoteReference w:id="150"/>
      </w:r>
      <w:r w:rsidR="4BD3A707" w:rsidRPr="008343D7">
        <w:rPr>
          <w:lang w:eastAsia="en-GB"/>
        </w:rPr>
        <w:t xml:space="preserve"> have identified staff turnover as a threat to the sustainability of capacity within the laboratory workforce.</w:t>
      </w:r>
      <w:r w:rsidR="4BD3A707" w:rsidRPr="008343D7" w:rsidDel="007D2E99">
        <w:rPr>
          <w:lang w:eastAsia="en-GB"/>
        </w:rPr>
        <w:t xml:space="preserve"> </w:t>
      </w:r>
      <w:r w:rsidR="4BD3A707" w:rsidRPr="008343D7">
        <w:rPr>
          <w:lang w:eastAsia="en-GB"/>
        </w:rPr>
        <w:t>The MA seeks to address this partly through using the Fleming Fellows to cascade training throughout the system in each country (see</w:t>
      </w:r>
      <w:r w:rsidR="46D78FCD">
        <w:rPr>
          <w:lang w:eastAsia="en-GB"/>
        </w:rPr>
        <w:t xml:space="preserve"> </w:t>
      </w:r>
      <w:r w:rsidR="005B2E81">
        <w:rPr>
          <w:lang w:eastAsia="en-GB"/>
        </w:rPr>
        <w:fldChar w:fldCharType="begin"/>
      </w:r>
      <w:r w:rsidR="005B2E81">
        <w:rPr>
          <w:lang w:eastAsia="en-GB"/>
        </w:rPr>
        <w:instrText xml:space="preserve"> REF _Ref144720363 \h </w:instrText>
      </w:r>
      <w:r w:rsidR="005B2E81">
        <w:rPr>
          <w:lang w:eastAsia="en-GB"/>
        </w:rPr>
      </w:r>
      <w:r w:rsidR="005B2E81">
        <w:rPr>
          <w:lang w:eastAsia="en-GB"/>
        </w:rPr>
        <w:fldChar w:fldCharType="separate"/>
      </w:r>
      <w:r w:rsidR="3217ECBE">
        <w:t xml:space="preserve">Box </w:t>
      </w:r>
      <w:r w:rsidR="3217ECBE">
        <w:rPr>
          <w:noProof/>
        </w:rPr>
        <w:t>10</w:t>
      </w:r>
      <w:r w:rsidR="005B2E81">
        <w:rPr>
          <w:lang w:eastAsia="en-GB"/>
        </w:rPr>
        <w:fldChar w:fldCharType="end"/>
      </w:r>
      <w:r w:rsidR="4BD3A707" w:rsidRPr="008343D7">
        <w:rPr>
          <w:lang w:eastAsia="en-GB"/>
        </w:rPr>
        <w:t>).</w:t>
      </w:r>
      <w:r w:rsidR="00FF2998" w:rsidRPr="008343D7">
        <w:rPr>
          <w:sz w:val="20"/>
          <w:szCs w:val="20"/>
          <w:vertAlign w:val="superscript"/>
          <w:lang w:eastAsia="en-GB"/>
        </w:rPr>
        <w:footnoteReference w:id="151"/>
      </w:r>
      <w:r w:rsidR="4BD3A707" w:rsidRPr="008343D7">
        <w:rPr>
          <w:lang w:eastAsia="en-GB"/>
        </w:rPr>
        <w:t xml:space="preserve"> However, the MA has had limited engagement with the upstream supply of training through national systems, with suggestion</w:t>
      </w:r>
      <w:r w:rsidR="5128C8AC">
        <w:rPr>
          <w:lang w:eastAsia="en-GB"/>
        </w:rPr>
        <w:t>s</w:t>
      </w:r>
      <w:r w:rsidR="4BD3A707" w:rsidRPr="008343D7">
        <w:rPr>
          <w:lang w:eastAsia="en-GB"/>
        </w:rPr>
        <w:t xml:space="preserve"> that it is outside its remit to work at organisational/institutional levels</w:t>
      </w:r>
      <w:r w:rsidR="4BD3A707" w:rsidRPr="008343D7">
        <w:rPr>
          <w:rFonts w:eastAsia="Yu Gothic Light"/>
        </w:rPr>
        <w:t>.</w:t>
      </w:r>
      <w:r w:rsidR="4BD3A707" w:rsidRPr="008343D7">
        <w:rPr>
          <w:lang w:eastAsia="en-GB"/>
        </w:rPr>
        <w:t xml:space="preserve"> As such, turnover remains a risk to the sustainability of Fleming Fund</w:t>
      </w:r>
      <w:r w:rsidR="12EABA28">
        <w:rPr>
          <w:lang w:eastAsia="en-GB"/>
        </w:rPr>
        <w:t>’</w:t>
      </w:r>
      <w:r w:rsidR="4BD3A707" w:rsidRPr="008343D7">
        <w:rPr>
          <w:lang w:eastAsia="en-GB"/>
        </w:rPr>
        <w:t>s capacity</w:t>
      </w:r>
      <w:r w:rsidR="37988872">
        <w:rPr>
          <w:lang w:eastAsia="en-GB"/>
        </w:rPr>
        <w:t>-</w:t>
      </w:r>
      <w:r w:rsidR="4BD3A707" w:rsidRPr="008343D7">
        <w:rPr>
          <w:lang w:eastAsia="en-GB"/>
        </w:rPr>
        <w:t>building results and the results that rely on this capacity</w:t>
      </w:r>
      <w:r w:rsidR="4BD3A707" w:rsidRPr="008343D7">
        <w:rPr>
          <w:rFonts w:eastAsia="Yu Gothic Light"/>
        </w:rPr>
        <w:t>. There are some ongoing examples of attempts to address this at the country and regional level (</w:t>
      </w:r>
      <w:r w:rsidR="003E00B8" w:rsidRPr="4EF651D4">
        <w:rPr>
          <w:rFonts w:eastAsia="Yu Gothic Light"/>
        </w:rPr>
        <w:t xml:space="preserve">e.g. </w:t>
      </w:r>
      <w:r w:rsidR="4BD3A707" w:rsidRPr="008343D7">
        <w:rPr>
          <w:rFonts w:eastAsia="Yu Gothic Light"/>
        </w:rPr>
        <w:t>the ASLM grant).</w:t>
      </w:r>
    </w:p>
    <w:bookmarkEnd w:id="363"/>
    <w:p w14:paraId="670AD8BF" w14:textId="53EA3C03" w:rsidR="00CD607A" w:rsidRDefault="00CD607A" w:rsidP="00ED14B1">
      <w:pPr>
        <w:pStyle w:val="ItadCaption"/>
        <w:keepNext/>
      </w:pPr>
    </w:p>
    <w:p w14:paraId="2FC0E3FE" w14:textId="18603C11" w:rsidR="005B2E81" w:rsidRDefault="005B2E81" w:rsidP="005B2E81">
      <w:pPr>
        <w:pStyle w:val="Caption"/>
        <w:keepNext/>
      </w:pPr>
      <w:bookmarkStart w:id="364" w:name="_Ref144720363"/>
      <w:bookmarkStart w:id="365" w:name="_Toc144721405"/>
      <w:r>
        <w:t xml:space="preserve">Box </w:t>
      </w:r>
      <w:r>
        <w:fldChar w:fldCharType="begin"/>
      </w:r>
      <w:r>
        <w:instrText>SEQ Box \* ARABIC</w:instrText>
      </w:r>
      <w:r>
        <w:fldChar w:fldCharType="separate"/>
      </w:r>
      <w:r w:rsidR="009A7BD2">
        <w:rPr>
          <w:noProof/>
        </w:rPr>
        <w:t>10</w:t>
      </w:r>
      <w:r>
        <w:fldChar w:fldCharType="end"/>
      </w:r>
      <w:bookmarkEnd w:id="364"/>
      <w:r>
        <w:t xml:space="preserve">: </w:t>
      </w:r>
      <w:r w:rsidRPr="008A5F96">
        <w:t>Examples of Fleming Fund efforts to strengthen sustainability</w:t>
      </w:r>
      <w:bookmarkEnd w:id="365"/>
    </w:p>
    <w:tbl>
      <w:tblPr>
        <w:tblStyle w:val="Itadpulloutboxorange"/>
        <w:tblW w:w="0" w:type="auto"/>
        <w:tblLook w:val="04A0" w:firstRow="1" w:lastRow="0" w:firstColumn="1" w:lastColumn="0" w:noHBand="0" w:noVBand="1"/>
      </w:tblPr>
      <w:tblGrid>
        <w:gridCol w:w="9170"/>
      </w:tblGrid>
      <w:tr w:rsidR="00CD607A" w14:paraId="6CEC95EC" w14:textId="77777777" w:rsidTr="4EF651D4">
        <w:trPr>
          <w:trHeight w:val="792"/>
        </w:trPr>
        <w:tc>
          <w:tcPr>
            <w:tcW w:w="9170" w:type="dxa"/>
          </w:tcPr>
          <w:p w14:paraId="6CDA9977" w14:textId="083C6C14" w:rsidR="00CD607A" w:rsidRPr="008A5F96" w:rsidRDefault="00CD607A" w:rsidP="00F30820">
            <w:pPr>
              <w:pStyle w:val="Textboxbullet"/>
              <w:framePr w:wrap="around"/>
            </w:pPr>
            <w:bookmarkStart w:id="366" w:name="_Hlk129340025"/>
            <w:r w:rsidRPr="008A5F96">
              <w:rPr>
                <w:b/>
                <w:bCs/>
              </w:rPr>
              <w:t>C</w:t>
            </w:r>
            <w:r w:rsidR="00FA29A2">
              <w:rPr>
                <w:b/>
                <w:bCs/>
              </w:rPr>
              <w:t>Gs</w:t>
            </w:r>
            <w:r w:rsidR="00F66506" w:rsidRPr="008A5F96">
              <w:t xml:space="preserve"> </w:t>
            </w:r>
            <w:r w:rsidRPr="008A5F96">
              <w:t>were designed with sustainability in mind</w:t>
            </w:r>
            <w:r w:rsidR="00E51414">
              <w:t>,</w:t>
            </w:r>
            <w:r w:rsidRPr="008A5F96">
              <w:t xml:space="preserve"> although as discussed in</w:t>
            </w:r>
            <w:r w:rsidR="00E51414">
              <w:t xml:space="preserve"> this </w:t>
            </w:r>
            <w:r w:rsidRPr="008A5F96">
              <w:t xml:space="preserve">section </w:t>
            </w:r>
            <w:r w:rsidR="00E51414">
              <w:t>(</w:t>
            </w:r>
            <w:r w:rsidRPr="008A5F96">
              <w:fldChar w:fldCharType="begin"/>
            </w:r>
            <w:r w:rsidRPr="008A5F96">
              <w:instrText xml:space="preserve"> REF _Ref118234946 \r \h  \* MERGEFORMAT </w:instrText>
            </w:r>
            <w:r w:rsidRPr="008A5F96">
              <w:fldChar w:fldCharType="separate"/>
            </w:r>
            <w:r w:rsidRPr="008A5F96">
              <w:t>2.3</w:t>
            </w:r>
            <w:r w:rsidRPr="008A5F96">
              <w:fldChar w:fldCharType="end"/>
            </w:r>
            <w:r w:rsidR="00E51414">
              <w:t>)</w:t>
            </w:r>
            <w:r w:rsidRPr="008A5F96">
              <w:t>, have focused more during phase 1 on delivering results that can be sustained in due course.</w:t>
            </w:r>
          </w:p>
          <w:p w14:paraId="193E5B73" w14:textId="110AE4B4" w:rsidR="00CD607A" w:rsidRPr="008A5F96" w:rsidRDefault="00CD607A" w:rsidP="00F30820">
            <w:pPr>
              <w:pStyle w:val="Textboxbullet"/>
              <w:framePr w:wrap="around"/>
            </w:pPr>
            <w:r w:rsidRPr="008A5F96">
              <w:rPr>
                <w:b/>
                <w:bCs/>
              </w:rPr>
              <w:t>R</w:t>
            </w:r>
            <w:r w:rsidR="00FA29A2">
              <w:rPr>
                <w:b/>
                <w:bCs/>
              </w:rPr>
              <w:t>Gs</w:t>
            </w:r>
            <w:r w:rsidRPr="008A5F96">
              <w:t xml:space="preserve"> provide a range of examples of how sustainability has been actively pursued:</w:t>
            </w:r>
          </w:p>
          <w:p w14:paraId="08470FF1" w14:textId="2A905A24" w:rsidR="00CD607A" w:rsidRPr="008A5F96" w:rsidRDefault="00CD607A" w:rsidP="00F30820">
            <w:pPr>
              <w:pStyle w:val="Textboxbullet"/>
              <w:framePr w:wrap="around"/>
              <w:numPr>
                <w:ilvl w:val="1"/>
                <w:numId w:val="26"/>
              </w:numPr>
              <w:ind w:left="619"/>
            </w:pPr>
            <w:r w:rsidRPr="008A5F96">
              <w:t>The RG1 grant on retrospective data collection (CAPTURA) has approached WHO Collaborating Centre for Drug Statistics and Methodology in Oslo. RG1 could leverage discussions to get a formal endorsement by WHO South-East Asia Regional Office/Western Pacific Regional Office; the MAAP project identified nodal persons or champions who can cascade within the country, based in ministries of Health –</w:t>
            </w:r>
            <w:r w:rsidRPr="008A5F96" w:rsidDel="00783F60">
              <w:t xml:space="preserve"> </w:t>
            </w:r>
            <w:r w:rsidRPr="008A5F96">
              <w:t>one for pharmacy for AMC, one for laboratories for AMR.</w:t>
            </w:r>
          </w:p>
          <w:p w14:paraId="293B36C4" w14:textId="7EDEEE5E" w:rsidR="00CD607A" w:rsidRPr="008A5F96" w:rsidRDefault="00CD607A" w:rsidP="00F30820">
            <w:pPr>
              <w:pStyle w:val="Textboxbullet"/>
              <w:framePr w:hSpace="0" w:wrap="auto" w:vAnchor="margin" w:hAnchor="text" w:yAlign="inline"/>
              <w:numPr>
                <w:ilvl w:val="1"/>
                <w:numId w:val="26"/>
              </w:numPr>
              <w:ind w:left="619"/>
            </w:pPr>
            <w:r w:rsidRPr="008A5F96">
              <w:t>The RG2 grant on whole genome sequencing (</w:t>
            </w:r>
            <w:proofErr w:type="spellStart"/>
            <w:r w:rsidRPr="008A5F96">
              <w:t>SEQAfrica</w:t>
            </w:r>
            <w:proofErr w:type="spellEnd"/>
            <w:r w:rsidRPr="008A5F96">
              <w:t xml:space="preserve">) focused on establishing its reputation, building relationships with Africa Centres for Disease Control and Prevention, </w:t>
            </w:r>
            <w:r w:rsidR="00F759B1" w:rsidRPr="00F759B1">
              <w:t>African Society for Laboratory Medicine</w:t>
            </w:r>
            <w:r w:rsidR="00F759B1" w:rsidRPr="008A5F96">
              <w:t xml:space="preserve"> </w:t>
            </w:r>
            <w:r w:rsidRPr="008A5F96">
              <w:t>and Pasteur Institute, developing differentiation within its laboratory networks (e.g. regional sites as referrals, sentinel sites to focus on specific pathogens) and seeking funds from other donors.</w:t>
            </w:r>
          </w:p>
          <w:p w14:paraId="5FB0C91B" w14:textId="3BB8241B" w:rsidR="00CD607A" w:rsidRPr="008A5F96" w:rsidRDefault="00CD607A" w:rsidP="00F30820">
            <w:pPr>
              <w:pStyle w:val="Textboxbullet"/>
              <w:framePr w:hSpace="0" w:wrap="auto" w:vAnchor="margin" w:hAnchor="text" w:yAlign="inline"/>
              <w:numPr>
                <w:ilvl w:val="1"/>
                <w:numId w:val="26"/>
              </w:numPr>
              <w:ind w:left="619"/>
            </w:pPr>
            <w:r w:rsidRPr="008A5F96">
              <w:t>EQA grants in Africa and Asia have identified the importance of advocacy to encourage laboratories to pay for EQA services; and worked with regional EQA providers to develop business plans with short, medium and long-term goals, although considering that EQA is not sustainable within next five years.</w:t>
            </w:r>
          </w:p>
          <w:p w14:paraId="1C1FEABA" w14:textId="7F0580B7" w:rsidR="00CD607A" w:rsidRPr="008A5F96" w:rsidRDefault="057A826C" w:rsidP="00F30820">
            <w:pPr>
              <w:pStyle w:val="Textboxbullet"/>
              <w:framePr w:hSpace="0" w:wrap="auto" w:vAnchor="margin" w:hAnchor="text" w:yAlign="inline"/>
              <w:numPr>
                <w:ilvl w:val="1"/>
                <w:numId w:val="26"/>
              </w:numPr>
              <w:ind w:left="619"/>
            </w:pPr>
            <w:r>
              <w:t>The RG2 grant on regional training has used a range of approaches, including incorporating their training material in the existing curriculum , running a master-trainer course to deliver the same materials to others, setting up mentorship at regional and country levels.</w:t>
            </w:r>
          </w:p>
          <w:p w14:paraId="386DF213" w14:textId="4D7363AE" w:rsidR="00CD607A" w:rsidRDefault="00CD607A" w:rsidP="00F30820">
            <w:pPr>
              <w:pStyle w:val="Textboxbullet"/>
              <w:framePr w:wrap="around"/>
              <w:rPr>
                <w:rFonts w:eastAsia="Calibri"/>
              </w:rPr>
            </w:pPr>
            <w:r w:rsidRPr="008A5F96">
              <w:rPr>
                <w:b/>
                <w:bCs/>
              </w:rPr>
              <w:t>The Fleming Fellowships Scheme</w:t>
            </w:r>
            <w:r w:rsidR="00AA6A7B">
              <w:rPr>
                <w:b/>
                <w:bCs/>
              </w:rPr>
              <w:t>’</w:t>
            </w:r>
            <w:r w:rsidRPr="008A5F96">
              <w:rPr>
                <w:b/>
                <w:bCs/>
              </w:rPr>
              <w:t>s</w:t>
            </w:r>
            <w:r w:rsidRPr="008A5F96">
              <w:t xml:space="preserve"> main aim was to build the individual capacity of </w:t>
            </w:r>
            <w:r w:rsidR="00AA6A7B">
              <w:t>F</w:t>
            </w:r>
            <w:r w:rsidRPr="008A5F96">
              <w:t xml:space="preserve">ellows with an expectation that this would equate to increased capacity for their institutions. The extent to which Fellows transferred their knowledge to their colleagues or even saw that as one of their responsibilities, however, was variable. A </w:t>
            </w:r>
            <w:r w:rsidRPr="008A5F96" w:rsidDel="002C0331">
              <w:t>train</w:t>
            </w:r>
            <w:r w:rsidRPr="008A5F96">
              <w:t>-the-trainer model was not systematically applied across the board. Moreover, data to assess the scheme</w:t>
            </w:r>
            <w:r w:rsidR="00AA6A7B">
              <w:t>’</w:t>
            </w:r>
            <w:r w:rsidRPr="008A5F96">
              <w:t xml:space="preserve">s contribution to results beyond the implementation of their </w:t>
            </w:r>
            <w:r w:rsidR="00FA29A2">
              <w:t>F</w:t>
            </w:r>
            <w:r w:rsidRPr="008A5F96">
              <w:t>ellowship activity is scarce.</w:t>
            </w:r>
            <w:bookmarkEnd w:id="366"/>
          </w:p>
        </w:tc>
      </w:tr>
    </w:tbl>
    <w:p w14:paraId="02167440" w14:textId="77777777" w:rsidR="00FF2998" w:rsidRDefault="00FF2998" w:rsidP="00FF2998">
      <w:pPr>
        <w:spacing w:after="120"/>
        <w:rPr>
          <w:rFonts w:eastAsia="Calibri"/>
          <w:color w:val="3B3B3C"/>
          <w:lang w:eastAsia="en-GB"/>
        </w:rPr>
      </w:pPr>
    </w:p>
    <w:p w14:paraId="32767DA3" w14:textId="348F17AD" w:rsidR="00FF2998" w:rsidRPr="008343D7" w:rsidRDefault="00FF2998" w:rsidP="00983748">
      <w:pPr>
        <w:pStyle w:val="ItadNormalText"/>
        <w:rPr>
          <w:lang w:eastAsia="en-GB"/>
        </w:rPr>
      </w:pPr>
      <w:bookmarkStart w:id="367" w:name="_Hlk129340144"/>
      <w:r w:rsidRPr="008343D7">
        <w:rPr>
          <w:lang w:eastAsia="en-GB"/>
        </w:rPr>
        <w:t>Similarly, for AMR governance, experience suggests that the routine functioning of AMRCCs cannot be assumed,</w:t>
      </w:r>
      <w:r w:rsidRPr="008343D7">
        <w:rPr>
          <w:rFonts w:eastAsia="Times New Roman"/>
          <w:sz w:val="20"/>
          <w:szCs w:val="20"/>
          <w:vertAlign w:val="superscript"/>
          <w:lang w:eastAsia="en-GB"/>
        </w:rPr>
        <w:footnoteReference w:id="152"/>
      </w:r>
      <w:r w:rsidRPr="008343D7">
        <w:rPr>
          <w:lang w:eastAsia="en-GB"/>
        </w:rPr>
        <w:t xml:space="preserve"> and yet governance structures decide on important drivers of AMR data quantity and quality, such as the purpose and scope of surveillance systems (number of sites, priority pathogens). Maintaining newly established AMR governance structures is influenced by political commitment. AMRCCs</w:t>
      </w:r>
      <w:r>
        <w:rPr>
          <w:lang w:eastAsia="en-GB"/>
        </w:rPr>
        <w:t xml:space="preserve"> are not institutionalised and </w:t>
      </w:r>
      <w:r w:rsidRPr="008343D7">
        <w:rPr>
          <w:lang w:eastAsia="en-GB"/>
        </w:rPr>
        <w:t xml:space="preserve">often lack a clear </w:t>
      </w:r>
      <w:r w:rsidR="00AA6A7B">
        <w:rPr>
          <w:lang w:eastAsia="en-GB"/>
        </w:rPr>
        <w:t>‘</w:t>
      </w:r>
      <w:r w:rsidRPr="008343D7">
        <w:rPr>
          <w:lang w:eastAsia="en-GB"/>
        </w:rPr>
        <w:t>home</w:t>
      </w:r>
      <w:r w:rsidR="00AA6A7B">
        <w:rPr>
          <w:lang w:eastAsia="en-GB"/>
        </w:rPr>
        <w:t>’</w:t>
      </w:r>
      <w:r w:rsidRPr="008343D7">
        <w:rPr>
          <w:lang w:eastAsia="en-GB"/>
        </w:rPr>
        <w:t xml:space="preserve"> within </w:t>
      </w:r>
      <w:r>
        <w:rPr>
          <w:lang w:eastAsia="en-GB"/>
        </w:rPr>
        <w:t>the</w:t>
      </w:r>
      <w:r w:rsidRPr="008343D7">
        <w:rPr>
          <w:lang w:eastAsia="en-GB"/>
        </w:rPr>
        <w:t xml:space="preserve"> government system due to their cross-sectoral composition.</w:t>
      </w:r>
      <w:r>
        <w:rPr>
          <w:rStyle w:val="FootnoteReference"/>
          <w:rFonts w:eastAsia="Calibri"/>
          <w:lang w:eastAsia="en-GB"/>
        </w:rPr>
        <w:footnoteReference w:id="153"/>
      </w:r>
      <w:r w:rsidRPr="008343D7" w:rsidDel="007D2E99">
        <w:rPr>
          <w:lang w:eastAsia="en-GB"/>
        </w:rPr>
        <w:t xml:space="preserve"> </w:t>
      </w:r>
      <w:r w:rsidRPr="008343D7">
        <w:rPr>
          <w:lang w:eastAsia="en-GB"/>
        </w:rPr>
        <w:t xml:space="preserve">The Fleming Fund has, during </w:t>
      </w:r>
      <w:r w:rsidR="00222C91">
        <w:rPr>
          <w:lang w:eastAsia="en-GB"/>
        </w:rPr>
        <w:t>phase 1</w:t>
      </w:r>
      <w:r w:rsidRPr="008343D7">
        <w:rPr>
          <w:lang w:eastAsia="en-GB"/>
        </w:rPr>
        <w:t>, maintained a technical focus</w:t>
      </w:r>
      <w:r w:rsidR="00E51414">
        <w:rPr>
          <w:lang w:eastAsia="en-GB"/>
        </w:rPr>
        <w:t>,</w:t>
      </w:r>
      <w:r w:rsidRPr="008343D7">
        <w:rPr>
          <w:lang w:eastAsia="en-GB"/>
        </w:rPr>
        <w:t xml:space="preserve"> and engaging in political concerns </w:t>
      </w:r>
      <w:r w:rsidR="00157F62">
        <w:rPr>
          <w:lang w:eastAsia="en-GB"/>
        </w:rPr>
        <w:t>was not the focus of</w:t>
      </w:r>
      <w:r w:rsidRPr="008343D7">
        <w:rPr>
          <w:lang w:eastAsia="en-GB"/>
        </w:rPr>
        <w:t xml:space="preserve"> the MA (although less so for HMG and its broader diplomatic network, even if </w:t>
      </w:r>
      <w:r w:rsidR="00D4151C">
        <w:rPr>
          <w:lang w:eastAsia="en-GB"/>
        </w:rPr>
        <w:t xml:space="preserve">the </w:t>
      </w:r>
      <w:r w:rsidRPr="008343D7">
        <w:rPr>
          <w:lang w:eastAsia="en-GB"/>
        </w:rPr>
        <w:t>DHSC</w:t>
      </w:r>
      <w:r w:rsidR="00AA6A7B">
        <w:rPr>
          <w:lang w:eastAsia="en-GB"/>
        </w:rPr>
        <w:t>’</w:t>
      </w:r>
      <w:r w:rsidRPr="008343D7">
        <w:rPr>
          <w:lang w:eastAsia="en-GB"/>
        </w:rPr>
        <w:t xml:space="preserve">s lack of in-country presence and relatively small UK-based team is limited in its </w:t>
      </w:r>
      <w:r>
        <w:rPr>
          <w:lang w:eastAsia="en-GB"/>
        </w:rPr>
        <w:t xml:space="preserve">capacity for </w:t>
      </w:r>
      <w:r w:rsidRPr="008343D7">
        <w:rPr>
          <w:lang w:eastAsia="en-GB"/>
        </w:rPr>
        <w:t>country-level influence). However, the lack of emphasis on politics represents an ongoing risk to the sustainability of Fleming Fund results.</w:t>
      </w:r>
    </w:p>
    <w:p w14:paraId="06BEAD83" w14:textId="68D5DB8A" w:rsidR="00FF2998" w:rsidRPr="008A5F96" w:rsidRDefault="00FF2998" w:rsidP="000F5E14">
      <w:pPr>
        <w:pStyle w:val="ItadH3"/>
      </w:pPr>
      <w:bookmarkStart w:id="368" w:name="_Ref128743758"/>
      <w:bookmarkStart w:id="369" w:name="_Toc144049402"/>
      <w:bookmarkStart w:id="370" w:name="_Toc144715824"/>
      <w:bookmarkEnd w:id="367"/>
      <w:r w:rsidRPr="008A5F96">
        <w:t xml:space="preserve">Value for </w:t>
      </w:r>
      <w:r w:rsidR="002944F0">
        <w:t>m</w:t>
      </w:r>
      <w:r w:rsidRPr="008A5F96">
        <w:t>oney</w:t>
      </w:r>
      <w:bookmarkEnd w:id="368"/>
      <w:bookmarkEnd w:id="369"/>
      <w:bookmarkEnd w:id="370"/>
    </w:p>
    <w:p w14:paraId="5C133628" w14:textId="77777777" w:rsidR="00FF2998" w:rsidRPr="008343D7" w:rsidRDefault="00FF2998" w:rsidP="00983748">
      <w:pPr>
        <w:pStyle w:val="ItadNormalText"/>
        <w:rPr>
          <w:lang w:eastAsia="en-GB"/>
        </w:rPr>
      </w:pPr>
      <w:r w:rsidRPr="008343D7">
        <w:rPr>
          <w:lang w:eastAsia="en-GB"/>
        </w:rPr>
        <w:t>In this section we present a summary analysis of the extent to which Fleming Fund results offer VfM.</w:t>
      </w:r>
      <w:r w:rsidRPr="008343D7" w:rsidDel="007D2E99">
        <w:rPr>
          <w:lang w:eastAsia="en-GB"/>
        </w:rPr>
        <w:t xml:space="preserve"> </w:t>
      </w:r>
      <w:r w:rsidRPr="008343D7">
        <w:rPr>
          <w:lang w:eastAsia="en-GB"/>
        </w:rPr>
        <w:t>We look first at whether VfM has been delivered in terms of economy, efficiency and effectiveness.</w:t>
      </w:r>
      <w:r w:rsidRPr="008343D7">
        <w:rPr>
          <w:sz w:val="20"/>
          <w:szCs w:val="20"/>
          <w:vertAlign w:val="superscript"/>
          <w:lang w:eastAsia="en-GB"/>
        </w:rPr>
        <w:footnoteReference w:id="154"/>
      </w:r>
      <w:r w:rsidRPr="008343D7">
        <w:rPr>
          <w:lang w:eastAsia="en-GB"/>
        </w:rPr>
        <w:t xml:space="preserve"> Next, we look at the systems that the MA has put in place to </w:t>
      </w:r>
      <w:r w:rsidRPr="008343D7">
        <w:rPr>
          <w:i/>
          <w:iCs/>
          <w:lang w:eastAsia="en-GB"/>
        </w:rPr>
        <w:t xml:space="preserve">manage </w:t>
      </w:r>
      <w:r w:rsidRPr="008343D7">
        <w:rPr>
          <w:lang w:eastAsia="en-GB"/>
        </w:rPr>
        <w:t xml:space="preserve">VfM. Detailed analysis </w:t>
      </w:r>
      <w:r w:rsidRPr="008343D7">
        <w:rPr>
          <w:rFonts w:eastAsia="MS Mincho" w:cs="Calibri"/>
        </w:rPr>
        <w:t xml:space="preserve">is presented in </w:t>
      </w:r>
      <w:r w:rsidRPr="008343D7">
        <w:t>Vol. II, Annex 6</w:t>
      </w:r>
      <w:r w:rsidRPr="008343D7">
        <w:rPr>
          <w:rFonts w:eastAsia="Times New Roman"/>
          <w:lang w:eastAsia="en-GB"/>
        </w:rPr>
        <w:t>.</w:t>
      </w:r>
    </w:p>
    <w:tbl>
      <w:tblPr>
        <w:tblStyle w:val="TableGrid"/>
        <w:tblpPr w:leftFromText="180" w:rightFromText="180" w:vertAnchor="text" w:horzAnchor="margin" w:tblpY="140"/>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9E2D5"/>
        <w:tblLook w:val="04A0" w:firstRow="1" w:lastRow="0" w:firstColumn="1" w:lastColumn="0" w:noHBand="0" w:noVBand="1"/>
      </w:tblPr>
      <w:tblGrid>
        <w:gridCol w:w="9067"/>
      </w:tblGrid>
      <w:tr w:rsidR="0075508B" w:rsidRPr="0075508B" w14:paraId="46BF3FD5" w14:textId="77777777" w:rsidTr="00371D8F">
        <w:tc>
          <w:tcPr>
            <w:tcW w:w="9067" w:type="dxa"/>
            <w:shd w:val="clear" w:color="auto" w:fill="F9E2D5"/>
          </w:tcPr>
          <w:p w14:paraId="0349F16B" w14:textId="77777777" w:rsidR="00FF2998" w:rsidRPr="008A5F96" w:rsidRDefault="00FF2998" w:rsidP="00512F37">
            <w:pPr>
              <w:pStyle w:val="ItadNormalTextBold"/>
              <w:rPr>
                <w:lang w:eastAsia="en-GB"/>
              </w:rPr>
            </w:pPr>
            <w:bookmarkStart w:id="371" w:name="_Hlk129340291"/>
            <w:r w:rsidRPr="008A5F96">
              <w:rPr>
                <w:lang w:eastAsia="en-GB"/>
              </w:rPr>
              <w:t>Key findings</w:t>
            </w:r>
          </w:p>
        </w:tc>
      </w:tr>
      <w:tr w:rsidR="0075508B" w:rsidRPr="0075508B" w14:paraId="5CA467A4" w14:textId="77777777" w:rsidTr="00371D8F">
        <w:tc>
          <w:tcPr>
            <w:tcW w:w="9067" w:type="dxa"/>
            <w:shd w:val="clear" w:color="auto" w:fill="F9E2D5"/>
          </w:tcPr>
          <w:p w14:paraId="4F657098" w14:textId="04B0F297" w:rsidR="00196C53" w:rsidRPr="002B6802" w:rsidRDefault="000F5E14" w:rsidP="002B6802">
            <w:pPr>
              <w:pStyle w:val="FFBoxText"/>
              <w:rPr>
                <w:rFonts w:eastAsia="Calibri" w:cs="Times New Roman"/>
                <w:color w:val="3FB84E"/>
                <w:sz w:val="32"/>
                <w:szCs w:val="32"/>
              </w:rPr>
            </w:pPr>
            <w:bookmarkStart w:id="372" w:name="_Toc144049403"/>
            <w:bookmarkStart w:id="373" w:name="_Hlk136503359"/>
            <w:r w:rsidRPr="000F5E14">
              <w:rPr>
                <w:color w:val="3FB84E"/>
              </w:rPr>
              <w:t>2.3.</w:t>
            </w:r>
            <w:r w:rsidR="001D79B2">
              <w:rPr>
                <w:color w:val="3FB84E"/>
              </w:rPr>
              <w:t>7</w:t>
            </w:r>
            <w:r>
              <w:tab/>
            </w:r>
            <w:r w:rsidR="00FF2998" w:rsidRPr="001364AC">
              <w:t>In narrow terms (economy, efficiency) there is evidence of VfM having been delivered.</w:t>
            </w:r>
            <w:r w:rsidR="00FF2998" w:rsidRPr="001364AC" w:rsidDel="007D2E99">
              <w:t xml:space="preserve"> </w:t>
            </w:r>
            <w:r w:rsidR="00FF2998" w:rsidRPr="001364AC">
              <w:t>But in terms of effectiveness (as defined by OECD) the case is less clear</w:t>
            </w:r>
            <w:r w:rsidR="007D4C25" w:rsidRPr="001364AC">
              <w:t>.</w:t>
            </w:r>
            <w:bookmarkEnd w:id="372"/>
          </w:p>
          <w:p w14:paraId="5558FD4D" w14:textId="1407DFAD" w:rsidR="00196C53" w:rsidRPr="002B6802" w:rsidRDefault="000F5E14" w:rsidP="002B6802">
            <w:pPr>
              <w:pStyle w:val="FFBoxText"/>
              <w:rPr>
                <w:rFonts w:eastAsia="Calibri" w:cs="Times New Roman"/>
                <w:color w:val="3FB84E"/>
                <w:sz w:val="32"/>
                <w:szCs w:val="32"/>
              </w:rPr>
            </w:pPr>
            <w:r w:rsidRPr="000F5E14">
              <w:rPr>
                <w:color w:val="3FB84E"/>
              </w:rPr>
              <w:t>2.3.</w:t>
            </w:r>
            <w:r w:rsidR="001D79B2">
              <w:rPr>
                <w:color w:val="3FB84E"/>
              </w:rPr>
              <w:t>8</w:t>
            </w:r>
            <w:r>
              <w:tab/>
            </w:r>
            <w:bookmarkStart w:id="374" w:name="_Toc144049404"/>
            <w:r w:rsidR="003E274B" w:rsidRPr="008A5F96">
              <w:rPr>
                <w:i/>
                <w:iCs/>
              </w:rPr>
              <w:t>Economy:</w:t>
            </w:r>
            <w:r w:rsidR="003E274B" w:rsidRPr="008A5F96">
              <w:t xml:space="preserve"> There is evidence of significant cost savings delivered by the MA, underpinned by strong systems to manage budgets and expenditures; performance is comparable to similar programmes.</w:t>
            </w:r>
            <w:bookmarkEnd w:id="374"/>
          </w:p>
          <w:p w14:paraId="39E57F17" w14:textId="1FFFE9D3" w:rsidR="00196C53" w:rsidRPr="002B6802" w:rsidRDefault="000F5E14" w:rsidP="002B6802">
            <w:pPr>
              <w:pStyle w:val="FFBoxText"/>
              <w:rPr>
                <w:rFonts w:eastAsia="Calibri" w:cs="Calibri"/>
                <w:lang w:eastAsia="en-US"/>
              </w:rPr>
            </w:pPr>
            <w:r w:rsidRPr="000F5E14">
              <w:rPr>
                <w:color w:val="3FB84E"/>
              </w:rPr>
              <w:t>2.3.</w:t>
            </w:r>
            <w:r w:rsidR="001D79B2">
              <w:rPr>
                <w:color w:val="3FB84E"/>
              </w:rPr>
              <w:t>9</w:t>
            </w:r>
            <w:r>
              <w:tab/>
            </w:r>
            <w:bookmarkStart w:id="375" w:name="_Toc144049405"/>
            <w:r w:rsidR="003E274B" w:rsidRPr="008A5F96">
              <w:rPr>
                <w:i/>
                <w:iCs/>
              </w:rPr>
              <w:t>Efficiency:</w:t>
            </w:r>
            <w:r w:rsidR="003E274B" w:rsidRPr="008A5F96">
              <w:t xml:space="preserve"> delivering efficiently has been challenging in the context, and with the operational model that has been chosen, which affects VfM in terms of internal and external coherence, as well as management overheads.</w:t>
            </w:r>
            <w:r w:rsidR="003E274B" w:rsidRPr="008A5F96">
              <w:rPr>
                <w:rFonts w:eastAsia="Calibri"/>
              </w:rPr>
              <w:t xml:space="preserve"> </w:t>
            </w:r>
            <w:r w:rsidR="003E274B" w:rsidRPr="008A5F96">
              <w:t>Efficiency has also been challenging to track given the focus on reporting implementation rates and the lack of a link between financial reporting and outputs; this seems to be driven by systems and cultures within DHSC.</w:t>
            </w:r>
            <w:r w:rsidR="003E274B" w:rsidRPr="008A5F96" w:rsidDel="007D2E99">
              <w:t xml:space="preserve"> </w:t>
            </w:r>
            <w:r w:rsidR="003E274B" w:rsidRPr="008A5F96">
              <w:rPr>
                <w:rFonts w:eastAsia="Calibri" w:cs="Calibri"/>
              </w:rPr>
              <w:t xml:space="preserve">There is some evidence that the value of leveraged resources is reasonably significant in some grants (&gt;5% of grant value </w:t>
            </w:r>
            <w:r w:rsidR="003E274B" w:rsidRPr="003E274B">
              <w:rPr>
                <w:rFonts w:eastAsia="Calibri" w:cs="Calibri"/>
              </w:rPr>
              <w:t xml:space="preserve">in </w:t>
            </w:r>
            <w:r w:rsidR="00B30736">
              <w:rPr>
                <w:rFonts w:eastAsia="Calibri" w:cs="Calibri"/>
              </w:rPr>
              <w:t>Timor-Leste</w:t>
            </w:r>
            <w:r w:rsidR="003E274B" w:rsidRPr="003E274B">
              <w:rPr>
                <w:rFonts w:eastAsia="Calibri" w:cs="Calibri"/>
              </w:rPr>
              <w:t xml:space="preserve"> and Laos)</w:t>
            </w:r>
            <w:r w:rsidR="003E274B" w:rsidRPr="008A5F96">
              <w:rPr>
                <w:rFonts w:eastAsia="Calibri" w:cs="Calibri"/>
              </w:rPr>
              <w:t>. However, this indicator has not been reported or consistently tracked across all grants. </w:t>
            </w:r>
            <w:r w:rsidR="003E274B" w:rsidRPr="002B6802">
              <w:rPr>
                <w:rFonts w:eastAsia="Calibri" w:cs="Calibri"/>
                <w:lang w:eastAsia="en-US"/>
              </w:rPr>
              <w:t xml:space="preserve">The alignment between </w:t>
            </w:r>
            <w:r w:rsidR="003E274B" w:rsidRPr="008A5F96">
              <w:rPr>
                <w:rFonts w:eastAsia="Calibri" w:cs="Calibri"/>
              </w:rPr>
              <w:t>Fleming</w:t>
            </w:r>
            <w:r w:rsidR="003E274B" w:rsidRPr="000F5E14">
              <w:rPr>
                <w:rFonts w:eastAsia="Calibri" w:cs="Calibri"/>
              </w:rPr>
              <w:t xml:space="preserve"> Fund</w:t>
            </w:r>
            <w:r w:rsidR="003E274B" w:rsidRPr="002B6802">
              <w:rPr>
                <w:rFonts w:eastAsia="Calibri" w:cs="Calibri"/>
                <w:lang w:eastAsia="en-US"/>
              </w:rPr>
              <w:t xml:space="preserve"> expenditure, contribution, and progress in generating quality AMR data was found to be high, suggesting a positive outcome in terms of VfM.</w:t>
            </w:r>
            <w:bookmarkEnd w:id="375"/>
          </w:p>
          <w:p w14:paraId="486030A2" w14:textId="2CC2F811" w:rsidR="00196C53" w:rsidRPr="002B6802" w:rsidRDefault="000F5E14" w:rsidP="002B6802">
            <w:pPr>
              <w:pStyle w:val="FFBoxText"/>
              <w:rPr>
                <w:rFonts w:eastAsia="Calibri"/>
                <w:color w:val="3FB84E"/>
                <w:sz w:val="32"/>
                <w:szCs w:val="32"/>
              </w:rPr>
            </w:pPr>
            <w:r w:rsidRPr="000F5E14">
              <w:rPr>
                <w:color w:val="3FB84E"/>
              </w:rPr>
              <w:t>2.3.</w:t>
            </w:r>
            <w:r w:rsidR="00FA536F">
              <w:rPr>
                <w:color w:val="3FB84E"/>
              </w:rPr>
              <w:t>10</w:t>
            </w:r>
            <w:r>
              <w:rPr>
                <w:i/>
                <w:iCs/>
              </w:rPr>
              <w:tab/>
            </w:r>
            <w:bookmarkStart w:id="376" w:name="_Toc144049406"/>
            <w:r w:rsidR="003E274B" w:rsidRPr="002B6802">
              <w:rPr>
                <w:rFonts w:eastAsia="Calibri"/>
                <w:i/>
                <w:iCs/>
              </w:rPr>
              <w:t>Effectiveness</w:t>
            </w:r>
            <w:r w:rsidR="003E274B" w:rsidRPr="008A5F96">
              <w:rPr>
                <w:rFonts w:eastAsia="Calibri"/>
              </w:rPr>
              <w:t>: Overall there is evidence across the 16 countries in our sample that the Fleming Fund has contributed to improvements in establishing surveillance systems and data use. The headline finding varies slightly when we look at HH, AH, and data use separately. The category of the country (level of surveillance system in place at the start of the grant) does not seem to be related to performance. However</w:t>
            </w:r>
            <w:r w:rsidR="003E274B">
              <w:rPr>
                <w:rFonts w:eastAsia="Calibri"/>
              </w:rPr>
              <w:t>,</w:t>
            </w:r>
            <w:r w:rsidR="003E274B" w:rsidRPr="008A5F96">
              <w:rPr>
                <w:rFonts w:eastAsia="Calibri"/>
              </w:rPr>
              <w:t xml:space="preserve"> there is alignment between the length of grant implementation and performance – i.e. the longer the grant has been running the more change and contribution seen</w:t>
            </w:r>
            <w:bookmarkEnd w:id="376"/>
          </w:p>
          <w:p w14:paraId="386BF04F" w14:textId="248A8173" w:rsidR="00196C53" w:rsidRPr="002B6802" w:rsidRDefault="000F5E14" w:rsidP="002B6802">
            <w:pPr>
              <w:pStyle w:val="FFBoxText"/>
              <w:rPr>
                <w:rFonts w:eastAsia="Calibri" w:cs="Times New Roman"/>
                <w:color w:val="3FB84E"/>
                <w:sz w:val="32"/>
                <w:szCs w:val="32"/>
              </w:rPr>
            </w:pPr>
            <w:bookmarkStart w:id="377" w:name="_Toc144049407"/>
            <w:r w:rsidRPr="000F5E14">
              <w:rPr>
                <w:color w:val="3FB84E"/>
              </w:rPr>
              <w:t>2.3.</w:t>
            </w:r>
            <w:r w:rsidR="00FA536F">
              <w:rPr>
                <w:color w:val="3FB84E"/>
              </w:rPr>
              <w:t>11</w:t>
            </w:r>
            <w:r>
              <w:rPr>
                <w:i/>
                <w:iCs/>
              </w:rPr>
              <w:tab/>
            </w:r>
            <w:r w:rsidR="00196C53" w:rsidRPr="002B6802">
              <w:rPr>
                <w:i/>
                <w:iCs/>
              </w:rPr>
              <w:t>Coherence</w:t>
            </w:r>
            <w:r w:rsidR="003E274B" w:rsidRPr="002B6802">
              <w:rPr>
                <w:i/>
                <w:iCs/>
              </w:rPr>
              <w:t>:</w:t>
            </w:r>
            <w:r w:rsidR="00196C53">
              <w:t xml:space="preserve"> </w:t>
            </w:r>
            <w:r w:rsidR="003E274B" w:rsidRPr="008A5F96">
              <w:rPr>
                <w:rFonts w:eastAsia="Calibri"/>
              </w:rPr>
              <w:t>The model has created challenges in terms of delivering internal coherence between CGs, RGs, and Fellowships.</w:t>
            </w:r>
            <w:r w:rsidR="003E274B" w:rsidRPr="008A5F96" w:rsidDel="007D2E99">
              <w:rPr>
                <w:rFonts w:eastAsia="Calibri"/>
              </w:rPr>
              <w:t xml:space="preserve"> </w:t>
            </w:r>
            <w:r w:rsidR="003E274B" w:rsidRPr="008A5F96">
              <w:rPr>
                <w:rFonts w:eastAsia="Calibri"/>
              </w:rPr>
              <w:t>External coherence between all Fleming Fund grants and other DPs interventions was found to be strong in a majority of the focus countries but does not focus on linkages to wider (non-surveillance) aspects of the AMR response</w:t>
            </w:r>
            <w:bookmarkEnd w:id="377"/>
          </w:p>
          <w:p w14:paraId="32009D6F" w14:textId="31F0B5B1" w:rsidR="00FF2998" w:rsidRPr="008A5F96" w:rsidRDefault="000F5E14" w:rsidP="002B6802">
            <w:pPr>
              <w:pStyle w:val="FFBoxText"/>
              <w:rPr>
                <w:rFonts w:eastAsia="Calibri" w:cs="Times New Roman"/>
              </w:rPr>
            </w:pPr>
            <w:bookmarkStart w:id="378" w:name="_Toc144049408"/>
            <w:r w:rsidRPr="000F5E14">
              <w:rPr>
                <w:color w:val="3FB84E"/>
              </w:rPr>
              <w:t>2.3.</w:t>
            </w:r>
            <w:r w:rsidR="00FA536F">
              <w:rPr>
                <w:color w:val="3FB84E"/>
              </w:rPr>
              <w:t>12</w:t>
            </w:r>
            <w:r>
              <w:tab/>
            </w:r>
            <w:r w:rsidR="00196C53">
              <w:t>The</w:t>
            </w:r>
            <w:r w:rsidR="003E274B" w:rsidRPr="008A5F96">
              <w:rPr>
                <w:rFonts w:eastAsia="Calibri" w:cs="Times New Roman"/>
              </w:rPr>
              <w:t xml:space="preserve"> approach </w:t>
            </w:r>
            <w:r w:rsidR="003E274B" w:rsidRPr="000F5E14">
              <w:rPr>
                <w:rFonts w:eastAsia="Calibri"/>
              </w:rPr>
              <w:t>taken</w:t>
            </w:r>
            <w:r w:rsidR="003E274B" w:rsidRPr="008A5F96">
              <w:rPr>
                <w:rFonts w:eastAsia="Calibri" w:cs="Times New Roman"/>
              </w:rPr>
              <w:t xml:space="preserve"> by DHSC and the MA to VfM generally aligns with FCDO</w:t>
            </w:r>
            <w:r w:rsidR="003E274B" w:rsidRPr="008A5F96">
              <w:rPr>
                <w:rFonts w:eastAsia="Calibri"/>
                <w:vertAlign w:val="superscript"/>
              </w:rPr>
              <w:footnoteReference w:id="155"/>
            </w:r>
            <w:r w:rsidR="003E274B" w:rsidRPr="008A5F96">
              <w:rPr>
                <w:rFonts w:eastAsia="Calibri" w:cs="Times New Roman"/>
              </w:rPr>
              <w:t xml:space="preserve"> and ICAI </w:t>
            </w:r>
            <w:r w:rsidR="003E274B" w:rsidRPr="008A5F96">
              <w:rPr>
                <w:rFonts w:eastAsia="Calibri"/>
                <w:vertAlign w:val="superscript"/>
              </w:rPr>
              <w:footnoteReference w:id="156"/>
            </w:r>
            <w:r w:rsidR="003E274B" w:rsidRPr="008A5F96">
              <w:rPr>
                <w:rFonts w:eastAsia="Calibri" w:cs="Times New Roman"/>
              </w:rPr>
              <w:t>guidance.</w:t>
            </w:r>
            <w:r w:rsidR="003E274B" w:rsidRPr="008A5F96" w:rsidDel="007D2E99">
              <w:rPr>
                <w:rFonts w:eastAsia="Calibri" w:cs="Times New Roman"/>
              </w:rPr>
              <w:t xml:space="preserve"> </w:t>
            </w:r>
            <w:r w:rsidR="003E274B" w:rsidRPr="008A5F96">
              <w:rPr>
                <w:rFonts w:eastAsia="Calibri"/>
              </w:rPr>
              <w:t xml:space="preserve">Overall, there are strong systems in place to manage economy and efficiency. However, the Fleming Fund has been weaker at establishing systems managing for effectiveness. In spite of some existing and planned adaptations to strengthen in this area, and </w:t>
            </w:r>
            <w:r w:rsidR="003E274B" w:rsidRPr="000F5E14">
              <w:rPr>
                <w:rFonts w:eastAsia="Calibri"/>
              </w:rPr>
              <w:t>Fleming</w:t>
            </w:r>
            <w:r w:rsidR="003E274B" w:rsidRPr="008A5F96">
              <w:rPr>
                <w:rFonts w:eastAsia="Calibri"/>
              </w:rPr>
              <w:t xml:space="preserve"> Fund experience is not uncommon compared with other equivalent programmes, this is a key strategic requirement for phase 2.</w:t>
            </w:r>
            <w:bookmarkEnd w:id="378"/>
          </w:p>
        </w:tc>
      </w:tr>
    </w:tbl>
    <w:p w14:paraId="535042D2" w14:textId="77777777" w:rsidR="000F5E14" w:rsidRDefault="000F5E14" w:rsidP="000F5E14">
      <w:pPr>
        <w:pStyle w:val="ItadNormalText"/>
        <w:spacing w:before="0" w:after="0"/>
      </w:pPr>
      <w:bookmarkStart w:id="379" w:name="_Toc144049409"/>
      <w:bookmarkStart w:id="380" w:name="_Hlk129340570"/>
      <w:bookmarkEnd w:id="371"/>
      <w:bookmarkEnd w:id="373"/>
    </w:p>
    <w:p w14:paraId="6488698E" w14:textId="64FCDA51" w:rsidR="00FF2998" w:rsidRPr="008A5F96" w:rsidRDefault="00FF2998" w:rsidP="00C319AF">
      <w:pPr>
        <w:pStyle w:val="ItadH4"/>
      </w:pPr>
      <w:r w:rsidRPr="008A5F96">
        <w:t>Measuring VfM</w:t>
      </w:r>
      <w:bookmarkEnd w:id="379"/>
    </w:p>
    <w:p w14:paraId="60465B2E" w14:textId="46F5DCA6" w:rsidR="00FF2998" w:rsidRPr="008343D7" w:rsidRDefault="00312E41" w:rsidP="00983748">
      <w:pPr>
        <w:pStyle w:val="ItadNormalText"/>
        <w:rPr>
          <w:lang w:eastAsia="en-GB"/>
        </w:rPr>
      </w:pPr>
      <w:r w:rsidRPr="00983748">
        <w:rPr>
          <w:b/>
          <w:bCs/>
          <w:lang w:eastAsia="en-GB"/>
        </w:rPr>
        <w:t xml:space="preserve">Finding 2.3.7: </w:t>
      </w:r>
      <w:r w:rsidR="00FF2998" w:rsidRPr="00983748">
        <w:rPr>
          <w:b/>
          <w:bCs/>
          <w:lang w:eastAsia="en-GB"/>
        </w:rPr>
        <w:t>In narrow terms (economy, efficiency) there is evidence of VfM having been delivered.</w:t>
      </w:r>
      <w:r w:rsidR="00FF2998" w:rsidRPr="00983748" w:rsidDel="007D2E99">
        <w:rPr>
          <w:b/>
          <w:bCs/>
          <w:lang w:eastAsia="en-GB"/>
        </w:rPr>
        <w:t xml:space="preserve"> </w:t>
      </w:r>
      <w:r w:rsidR="00FF2998" w:rsidRPr="00983748">
        <w:rPr>
          <w:b/>
          <w:bCs/>
          <w:lang w:eastAsia="en-GB"/>
        </w:rPr>
        <w:t xml:space="preserve">But in terms of effectiveness (as defined by </w:t>
      </w:r>
      <w:r w:rsidR="00D25EF3" w:rsidRPr="00983748">
        <w:rPr>
          <w:b/>
          <w:bCs/>
          <w:lang w:eastAsia="en-GB"/>
        </w:rPr>
        <w:t xml:space="preserve">the </w:t>
      </w:r>
      <w:r w:rsidR="00FF2998" w:rsidRPr="00983748">
        <w:rPr>
          <w:b/>
          <w:bCs/>
          <w:lang w:eastAsia="en-GB"/>
        </w:rPr>
        <w:t>OECD) the case is less clear.</w:t>
      </w:r>
      <w:r w:rsidR="00FF2998" w:rsidRPr="008343D7" w:rsidDel="007D2E99">
        <w:rPr>
          <w:lang w:eastAsia="en-GB"/>
        </w:rPr>
        <w:t xml:space="preserve"> </w:t>
      </w:r>
      <w:r w:rsidR="00FF2998" w:rsidRPr="008343D7">
        <w:rPr>
          <w:lang w:eastAsia="en-GB"/>
        </w:rPr>
        <w:t>Applying a framework to measure VfM based on the 3Es (Economy, Efficiency and Effectiveness), there is evidence of VfM being achieved at the country level to varying degrees across the grants.</w:t>
      </w:r>
    </w:p>
    <w:p w14:paraId="0624D173" w14:textId="77777777" w:rsidR="00FF2998" w:rsidRPr="00793B7A" w:rsidRDefault="00FF2998" w:rsidP="009B7A04">
      <w:pPr>
        <w:pStyle w:val="Heading5"/>
      </w:pPr>
      <w:r w:rsidRPr="00793B7A">
        <w:t>Economy</w:t>
      </w:r>
    </w:p>
    <w:p w14:paraId="4D83E52B" w14:textId="704D7547" w:rsidR="00FF2998" w:rsidRPr="008343D7" w:rsidRDefault="0B6DDEC9" w:rsidP="00983748">
      <w:pPr>
        <w:pStyle w:val="ItadNormalText"/>
        <w:rPr>
          <w:lang w:eastAsia="en-GB"/>
        </w:rPr>
      </w:pPr>
      <w:r w:rsidRPr="4EF651D4">
        <w:rPr>
          <w:b/>
          <w:bCs/>
          <w:lang w:eastAsia="en-GB"/>
        </w:rPr>
        <w:t xml:space="preserve">Finding 2.3.8: </w:t>
      </w:r>
      <w:r w:rsidRPr="4EF651D4">
        <w:rPr>
          <w:b/>
          <w:bCs/>
          <w:i/>
          <w:iCs/>
          <w:lang w:eastAsia="en-GB"/>
        </w:rPr>
        <w:t>Economy</w:t>
      </w:r>
      <w:r w:rsidRPr="4EF651D4">
        <w:rPr>
          <w:b/>
          <w:bCs/>
          <w:lang w:eastAsia="en-GB"/>
        </w:rPr>
        <w:t xml:space="preserve">: </w:t>
      </w:r>
      <w:r w:rsidR="4BD3A707" w:rsidRPr="4EF651D4">
        <w:rPr>
          <w:b/>
          <w:bCs/>
          <w:lang w:eastAsia="en-GB"/>
        </w:rPr>
        <w:t>There is evidence of significant cost savings delivered by the MA, underpinned by strong systems to manage budgets and expenditure</w:t>
      </w:r>
      <w:r w:rsidR="1D871046" w:rsidRPr="4EF651D4">
        <w:rPr>
          <w:b/>
          <w:bCs/>
          <w:lang w:eastAsia="en-GB"/>
        </w:rPr>
        <w:t>s</w:t>
      </w:r>
      <w:r w:rsidR="4BD3A707" w:rsidRPr="4EF651D4">
        <w:rPr>
          <w:b/>
          <w:bCs/>
          <w:lang w:eastAsia="en-GB"/>
        </w:rPr>
        <w:t>; performance is comparable to similar programmes.</w:t>
      </w:r>
      <w:r w:rsidR="4BD3A707" w:rsidRPr="4EF651D4">
        <w:rPr>
          <w:lang w:eastAsia="en-GB"/>
        </w:rPr>
        <w:t xml:space="preserve"> Savings of around £2.3 million were made on negotiating central procurement. The DHSC and MA reviewed detailed budgets and negotiated savings during </w:t>
      </w:r>
      <w:r w:rsidR="1D871046" w:rsidRPr="4EF651D4">
        <w:rPr>
          <w:lang w:eastAsia="en-GB"/>
        </w:rPr>
        <w:t>the</w:t>
      </w:r>
      <w:r w:rsidR="105992F9" w:rsidRPr="4EF651D4">
        <w:rPr>
          <w:lang w:eastAsia="en-GB"/>
        </w:rPr>
        <w:t xml:space="preserve"> set-up of the</w:t>
      </w:r>
      <w:r w:rsidR="1D871046" w:rsidRPr="4EF651D4">
        <w:rPr>
          <w:lang w:eastAsia="en-GB"/>
        </w:rPr>
        <w:t xml:space="preserve"> </w:t>
      </w:r>
      <w:r w:rsidR="4BD3A707" w:rsidRPr="4EF651D4">
        <w:rPr>
          <w:lang w:eastAsia="en-GB"/>
        </w:rPr>
        <w:t>grants</w:t>
      </w:r>
      <w:r w:rsidR="12EABA28" w:rsidRPr="4EF651D4">
        <w:rPr>
          <w:lang w:eastAsia="en-GB"/>
        </w:rPr>
        <w:t>’</w:t>
      </w:r>
      <w:r w:rsidR="4BD3A707" w:rsidRPr="4EF651D4">
        <w:rPr>
          <w:lang w:eastAsia="en-GB"/>
        </w:rPr>
        <w:t xml:space="preserve"> contracts; during implementation, 19 out of 25 CGs and RGs in our sample reported savings. 11 grants reported savings of between 2% and 10% of</w:t>
      </w:r>
      <w:r w:rsidR="2566BED2" w:rsidRPr="4EF651D4">
        <w:rPr>
          <w:lang w:eastAsia="en-GB"/>
        </w:rPr>
        <w:t xml:space="preserve"> the</w:t>
      </w:r>
      <w:r w:rsidR="4BD3A707" w:rsidRPr="4EF651D4">
        <w:rPr>
          <w:lang w:eastAsia="en-GB"/>
        </w:rPr>
        <w:t xml:space="preserve"> total spend, a level that benchmarks well to similar programmes. </w:t>
      </w:r>
      <w:r w:rsidR="4BD3A707" w:rsidRPr="4EF651D4">
        <w:rPr>
          <w:rFonts w:eastAsia="Yu Mincho"/>
          <w:lang w:eastAsia="en-GB"/>
        </w:rPr>
        <w:t>There is evidence that where higher levels of savings were reported (</w:t>
      </w:r>
      <w:r w:rsidR="1B540DD6" w:rsidRPr="4EF651D4">
        <w:rPr>
          <w:rFonts w:eastAsia="Yu Mincho"/>
          <w:lang w:eastAsia="en-GB"/>
        </w:rPr>
        <w:t>RG</w:t>
      </w:r>
      <w:r w:rsidR="4BD3A707" w:rsidRPr="4EF651D4">
        <w:rPr>
          <w:rFonts w:eastAsia="Yu Mincho"/>
          <w:lang w:eastAsia="en-GB"/>
        </w:rPr>
        <w:t xml:space="preserve"> F55 and Kenya CG savings were over 25%), </w:t>
      </w:r>
      <w:r w:rsidR="68909209" w:rsidRPr="4EF651D4">
        <w:rPr>
          <w:rFonts w:eastAsia="Yu Mincho"/>
          <w:lang w:eastAsia="en-GB"/>
        </w:rPr>
        <w:t xml:space="preserve">which </w:t>
      </w:r>
      <w:r w:rsidR="4BD3A707" w:rsidRPr="4EF651D4">
        <w:rPr>
          <w:rFonts w:eastAsia="Yu Mincho"/>
          <w:lang w:eastAsia="en-GB"/>
        </w:rPr>
        <w:t>may have been due to initial over-budgeting.</w:t>
      </w:r>
    </w:p>
    <w:bookmarkEnd w:id="380"/>
    <w:p w14:paraId="57FB8BE5" w14:textId="77777777" w:rsidR="00FF2998" w:rsidRPr="008343D7" w:rsidRDefault="00FF2998" w:rsidP="009B7A04">
      <w:pPr>
        <w:pStyle w:val="Heading5"/>
      </w:pPr>
      <w:r w:rsidRPr="008343D7">
        <w:t>Efficiency</w:t>
      </w:r>
    </w:p>
    <w:p w14:paraId="3C58EAF4" w14:textId="06541879" w:rsidR="00740056" w:rsidRPr="00740056" w:rsidRDefault="0B6DDEC9" w:rsidP="00983748">
      <w:pPr>
        <w:pStyle w:val="ItadNormalTextBold"/>
        <w:rPr>
          <w:lang w:eastAsia="en-GB"/>
        </w:rPr>
      </w:pPr>
      <w:bookmarkStart w:id="381" w:name="_Hlk136504278"/>
      <w:bookmarkStart w:id="382" w:name="_Hlk129341026"/>
      <w:r w:rsidRPr="4EF651D4">
        <w:rPr>
          <w:lang w:eastAsia="en-GB"/>
        </w:rPr>
        <w:t xml:space="preserve">Finding 2.3.9: </w:t>
      </w:r>
      <w:r w:rsidRPr="4EF651D4">
        <w:rPr>
          <w:i/>
          <w:iCs/>
          <w:lang w:eastAsia="en-GB"/>
        </w:rPr>
        <w:t>Efficiency</w:t>
      </w:r>
      <w:r w:rsidRPr="4EF651D4">
        <w:rPr>
          <w:lang w:eastAsia="en-GB"/>
        </w:rPr>
        <w:t xml:space="preserve">: </w:t>
      </w:r>
      <w:r w:rsidR="07628A58" w:rsidRPr="4EF651D4">
        <w:rPr>
          <w:lang w:eastAsia="en-GB"/>
        </w:rPr>
        <w:t>Delivering efficiently has been challenging in the context, and with the operational model that has been chosen, which affects VfM in terms of internal and external coherence, as well as management overheads.</w:t>
      </w:r>
      <w:r w:rsidR="07628A58" w:rsidRPr="4EF651D4">
        <w:rPr>
          <w:rFonts w:eastAsia="Calibri"/>
        </w:rPr>
        <w:t xml:space="preserve"> </w:t>
      </w:r>
      <w:r w:rsidR="07628A58" w:rsidRPr="4EF651D4">
        <w:rPr>
          <w:lang w:eastAsia="en-GB"/>
        </w:rPr>
        <w:t xml:space="preserve">Efficiency has also been challenging to track given the focus on reporting implementation rates and the lack of a link between financial reporting and outputs; this seems to be driven by systems and cultures within DHSC. </w:t>
      </w:r>
      <w:r w:rsidR="07628A58" w:rsidRPr="4EF651D4">
        <w:rPr>
          <w:rFonts w:eastAsia="Calibri" w:cs="Calibri"/>
        </w:rPr>
        <w:t>There is some evidence that the value of leveraged resources is reasonably significant in some grants . However, this indicator has not been reported or consistently tracked across all grants. The alignment between Fleming Fund expenditure, contribution and progress in generating quality AMR data was found to be high, suggesting a positive outcome in terms of VfM.</w:t>
      </w:r>
    </w:p>
    <w:p w14:paraId="6832B1E5" w14:textId="633B9680" w:rsidR="00FF2998" w:rsidRPr="008A5F96" w:rsidRDefault="4BD3A707" w:rsidP="00FF2998">
      <w:pPr>
        <w:spacing w:after="120"/>
        <w:rPr>
          <w:rStyle w:val="ItadNormalTextChar"/>
        </w:rPr>
      </w:pPr>
      <w:r w:rsidRPr="008343D7">
        <w:rPr>
          <w:rFonts w:eastAsia="Times New Roman"/>
          <w:b/>
          <w:bCs/>
          <w:color w:val="3B3B3C"/>
          <w:lang w:eastAsia="en-GB"/>
        </w:rPr>
        <w:t xml:space="preserve">Delivering efficiently has been challenging in this context, and with the operational model that has been chosen, which affects VfM in terms of internal and external coherence, as well as management overheads. </w:t>
      </w:r>
      <w:r w:rsidRPr="008A5F96">
        <w:rPr>
          <w:rStyle w:val="ItadNormalTextChar"/>
        </w:rPr>
        <w:t>The Fleming Fund</w:t>
      </w:r>
      <w:r w:rsidR="12EABA28">
        <w:rPr>
          <w:rStyle w:val="ItadNormalTextChar"/>
        </w:rPr>
        <w:t>’</w:t>
      </w:r>
      <w:r w:rsidRPr="008A5F96">
        <w:rPr>
          <w:rStyle w:val="ItadNormalTextChar"/>
        </w:rPr>
        <w:t>s operational model and ecosystem are complex. The Fleming Fund is by design a complex multi-country, multi-partners grant-based programme with an extensive network of grantees at global, regional and country levels. On top of the three streams managed by the MA and directly in the scope of this evaluation, DHSC has directly funded a multitude of other organisations/</w:t>
      </w:r>
      <w:r w:rsidR="5D9F52B6">
        <w:rPr>
          <w:rStyle w:val="ItadNormalTextChar"/>
        </w:rPr>
        <w:t xml:space="preserve"> </w:t>
      </w:r>
      <w:r w:rsidRPr="008A5F96">
        <w:rPr>
          <w:rStyle w:val="ItadNormalTextChar"/>
        </w:rPr>
        <w:t xml:space="preserve">projects such as WHO, FAO, WOAH, ODI, South Centre, FIND, </w:t>
      </w:r>
      <w:r w:rsidR="46C045AE" w:rsidRPr="007926BD">
        <w:rPr>
          <w:rStyle w:val="ItadNormalTextChar"/>
        </w:rPr>
        <w:t>Global Research on Antimicrobial Resistance</w:t>
      </w:r>
      <w:r w:rsidR="46C045AE" w:rsidRPr="007926BD" w:rsidDel="007926BD">
        <w:rPr>
          <w:rStyle w:val="ItadNormalTextChar"/>
        </w:rPr>
        <w:t xml:space="preserve"> </w:t>
      </w:r>
      <w:r w:rsidRPr="008A5F96">
        <w:rPr>
          <w:rStyle w:val="ItadNormalTextChar"/>
        </w:rPr>
        <w:t>and CWPAMS among others. Virtually all these grantees have sought to establish relationships at the country level, increasing the risk of high transaction costs for national stakeholders as well as potential fragmentation and duplication. The MA has recognised that</w:t>
      </w:r>
      <w:r w:rsidR="0CF4BDBF">
        <w:rPr>
          <w:rStyle w:val="ItadNormalTextChar"/>
        </w:rPr>
        <w:t>,</w:t>
      </w:r>
      <w:r w:rsidRPr="008A5F96">
        <w:rPr>
          <w:rStyle w:val="ItadNormalTextChar"/>
        </w:rPr>
        <w:t xml:space="preserve"> </w:t>
      </w:r>
      <w:r w:rsidR="4C883F52">
        <w:rPr>
          <w:rStyle w:val="ItadNormalTextChar"/>
        </w:rPr>
        <w:t>‘</w:t>
      </w:r>
      <w:r w:rsidRPr="008A5F96">
        <w:rPr>
          <w:rStyle w:val="ItadNormalTextChar"/>
        </w:rPr>
        <w:t>In some instances, there were five or more Fleming-funded projects working in any given country, which led to confusion on the part of government and recipient counterparts and had the potential for duplication of effort</w:t>
      </w:r>
      <w:r w:rsidR="4C883F52">
        <w:rPr>
          <w:rStyle w:val="ItadNormalTextChar"/>
        </w:rPr>
        <w:t>’</w:t>
      </w:r>
      <w:r w:rsidRPr="008A5F96">
        <w:rPr>
          <w:rStyle w:val="ItadNormalTextChar"/>
        </w:rPr>
        <w:t>.</w:t>
      </w:r>
      <w:r w:rsidR="00FF2998" w:rsidRPr="0021333A">
        <w:rPr>
          <w:rFonts w:eastAsia="Calibri"/>
          <w:sz w:val="20"/>
          <w:szCs w:val="20"/>
          <w:vertAlign w:val="superscript"/>
        </w:rPr>
        <w:footnoteReference w:id="157"/>
      </w:r>
      <w:r w:rsidRPr="008A5F96">
        <w:rPr>
          <w:rStyle w:val="ItadNormalTextChar"/>
        </w:rPr>
        <w:t xml:space="preserve"> This model results in overheads (budget and actual) that are higher than in similar grant programmes. This may be due to the way overheads are being defined which includes both indirect costs,</w:t>
      </w:r>
      <w:r w:rsidR="00FF2998" w:rsidRPr="0021333A">
        <w:rPr>
          <w:rFonts w:eastAsia="Calibri" w:cs="Calibri"/>
          <w:sz w:val="20"/>
          <w:szCs w:val="20"/>
          <w:vertAlign w:val="superscript"/>
        </w:rPr>
        <w:footnoteReference w:id="158"/>
      </w:r>
      <w:r w:rsidRPr="008A5F96">
        <w:rPr>
          <w:rStyle w:val="ItadNormalTextChar"/>
        </w:rPr>
        <w:t xml:space="preserve"> and management and overheads.</w:t>
      </w:r>
      <w:r w:rsidR="00FF2998" w:rsidRPr="0021333A">
        <w:rPr>
          <w:rFonts w:eastAsia="Calibri" w:cs="Calibri"/>
          <w:sz w:val="20"/>
          <w:szCs w:val="20"/>
          <w:vertAlign w:val="superscript"/>
        </w:rPr>
        <w:footnoteReference w:id="159"/>
      </w:r>
      <w:r w:rsidRPr="008A5F96">
        <w:rPr>
          <w:rStyle w:val="ItadNormalTextChar"/>
        </w:rPr>
        <w:t xml:space="preserve"> In terms of actual overheads, these can be higher than expected due to implementation delays (as discussed in section </w:t>
      </w:r>
      <w:r w:rsidR="00FF2998" w:rsidRPr="008A5F96">
        <w:rPr>
          <w:rStyle w:val="ItadNormalTextChar"/>
        </w:rPr>
        <w:fldChar w:fldCharType="begin"/>
      </w:r>
      <w:r w:rsidR="00FF2998" w:rsidRPr="008A5F96">
        <w:rPr>
          <w:rStyle w:val="ItadNormalTextChar"/>
        </w:rPr>
        <w:instrText xml:space="preserve"> REF _Ref118235496 \r \h  \* MERGEFORMAT </w:instrText>
      </w:r>
      <w:r w:rsidR="00FF2998" w:rsidRPr="008A5F96">
        <w:rPr>
          <w:rStyle w:val="ItadNormalTextChar"/>
        </w:rPr>
      </w:r>
      <w:r w:rsidR="00FF2998" w:rsidRPr="008A5F96">
        <w:rPr>
          <w:rStyle w:val="ItadNormalTextChar"/>
        </w:rPr>
        <w:fldChar w:fldCharType="separate"/>
      </w:r>
      <w:r w:rsidR="0CF4BDBF" w:rsidRPr="008A5F96">
        <w:rPr>
          <w:rStyle w:val="ItadNormalTextChar"/>
        </w:rPr>
        <w:t>1.4</w:t>
      </w:r>
      <w:r w:rsidR="00FF2998" w:rsidRPr="008A5F96">
        <w:rPr>
          <w:rStyle w:val="ItadNormalTextChar"/>
        </w:rPr>
        <w:fldChar w:fldCharType="end"/>
      </w:r>
      <w:r w:rsidRPr="008A5F96">
        <w:rPr>
          <w:rStyle w:val="ItadNormalTextChar"/>
        </w:rPr>
        <w:t>). However, there is also evidence that even budgeted overhead costs are high in some countries . Across CGs and RGs, average overheads were 27% during the implementation phase, which is higher than similar grant programmes,</w:t>
      </w:r>
      <w:r w:rsidR="00FF2998" w:rsidRPr="0021333A">
        <w:rPr>
          <w:rFonts w:eastAsia="Calibri"/>
          <w:sz w:val="20"/>
          <w:szCs w:val="20"/>
          <w:vertAlign w:val="superscript"/>
        </w:rPr>
        <w:footnoteReference w:id="160"/>
      </w:r>
      <w:r w:rsidRPr="008A5F96">
        <w:rPr>
          <w:rStyle w:val="ItadNormalTextChar"/>
        </w:rPr>
        <w:t xml:space="preserve"> but within the 30% threshold agreed upon for the programme.</w:t>
      </w:r>
    </w:p>
    <w:p w14:paraId="7BDF98FF" w14:textId="77E028F1" w:rsidR="00FF2998" w:rsidRPr="008343D7" w:rsidRDefault="00FF2998" w:rsidP="00983748">
      <w:pPr>
        <w:pStyle w:val="ItadNormalText"/>
        <w:rPr>
          <w:rFonts w:ascii="Segoe UI" w:eastAsia="Calibri" w:hAnsi="Segoe UI" w:cs="Segoe UI"/>
        </w:rPr>
      </w:pPr>
      <w:bookmarkStart w:id="383" w:name="_Hlk136504409"/>
      <w:bookmarkEnd w:id="381"/>
      <w:r w:rsidRPr="00983748">
        <w:rPr>
          <w:b/>
          <w:bCs/>
          <w:lang w:eastAsia="en-GB"/>
        </w:rPr>
        <w:t>Efficiency has also been challenging to track given the focus on reporting implementation rates and the lack of a link between financial reporting and outputs; this seems to be driven by systems and cultures within the DHSC. Grant reporting is set up to track budget and activity implementation rates.</w:t>
      </w:r>
      <w:r w:rsidRPr="008343D7">
        <w:rPr>
          <w:lang w:eastAsia="en-GB"/>
        </w:rPr>
        <w:t xml:space="preserve"> Monitoring grant performance </w:t>
      </w:r>
      <w:r>
        <w:rPr>
          <w:lang w:eastAsia="en-GB"/>
        </w:rPr>
        <w:t>of</w:t>
      </w:r>
      <w:r w:rsidRPr="008343D7">
        <w:rPr>
          <w:lang w:eastAsia="en-GB"/>
        </w:rPr>
        <w:t xml:space="preserve"> activity and budget implementation rates does not facilitate tracking efficiency at the output level. Financial reporting has been set up to record expenditure by investment area</w:t>
      </w:r>
      <w:r w:rsidR="00945410">
        <w:rPr>
          <w:lang w:eastAsia="en-GB"/>
        </w:rPr>
        <w:t>;</w:t>
      </w:r>
      <w:r w:rsidRPr="008343D7">
        <w:rPr>
          <w:lang w:eastAsia="en-GB"/>
        </w:rPr>
        <w:t xml:space="preserve"> however, this has not been used routinely to track progress. Placing performance measures at the activity level</w:t>
      </w:r>
      <w:r>
        <w:rPr>
          <w:lang w:eastAsia="en-GB"/>
        </w:rPr>
        <w:t>, some of which are linked to payment by DHSC,</w:t>
      </w:r>
      <w:r w:rsidRPr="008343D7">
        <w:rPr>
          <w:lang w:eastAsia="en-GB"/>
        </w:rPr>
        <w:t xml:space="preserve"> also risks prioritising the implementation of activities rather than the achievement of results. It may also explain why the MA adaptive management approaches tend to focus on work</w:t>
      </w:r>
      <w:r w:rsidR="00C40B3E">
        <w:rPr>
          <w:lang w:eastAsia="en-GB"/>
        </w:rPr>
        <w:t>plan</w:t>
      </w:r>
      <w:r w:rsidRPr="008343D7">
        <w:rPr>
          <w:lang w:eastAsia="en-GB"/>
        </w:rPr>
        <w:t xml:space="preserve"> adaptations to improve budget absorption rather than adapting activities and outputs to lead to improved outcomes. </w:t>
      </w:r>
      <w:r w:rsidRPr="00983748">
        <w:t xml:space="preserve">As discussed in </w:t>
      </w:r>
      <w:r w:rsidR="0021333A" w:rsidRPr="008A5F96">
        <w:rPr>
          <w:rStyle w:val="ItadNormalTextChar"/>
        </w:rPr>
        <w:fldChar w:fldCharType="begin"/>
      </w:r>
      <w:r w:rsidR="0021333A" w:rsidRPr="008A5F96">
        <w:rPr>
          <w:rStyle w:val="ItadNormalTextChar"/>
        </w:rPr>
        <w:instrText xml:space="preserve"> REF _Ref129340950 \h </w:instrText>
      </w:r>
      <w:r w:rsidR="0021333A">
        <w:rPr>
          <w:rStyle w:val="ItadNormalTextChar"/>
        </w:rPr>
        <w:instrText xml:space="preserve"> \* MERGEFORMAT </w:instrText>
      </w:r>
      <w:r w:rsidR="0021333A" w:rsidRPr="008A5F96">
        <w:rPr>
          <w:rStyle w:val="ItadNormalTextChar"/>
        </w:rPr>
      </w:r>
      <w:r w:rsidR="00B33BBD">
        <w:rPr>
          <w:rStyle w:val="ItadNormalTextChar"/>
        </w:rPr>
        <w:fldChar w:fldCharType="separate"/>
      </w:r>
      <w:r w:rsidR="0021333A" w:rsidRPr="008A5F96">
        <w:rPr>
          <w:rStyle w:val="ItadNormalTextChar"/>
        </w:rPr>
        <w:fldChar w:fldCharType="end"/>
      </w:r>
      <w:r w:rsidRPr="00983748">
        <w:t xml:space="preserve">, a </w:t>
      </w:r>
      <w:r w:rsidRPr="008343D7">
        <w:rPr>
          <w:lang w:eastAsia="en-GB"/>
        </w:rPr>
        <w:t>combination of systems-related and contextual factors appear to have driven the DHSC</w:t>
      </w:r>
      <w:r w:rsidR="00AA6A7B">
        <w:rPr>
          <w:lang w:eastAsia="en-GB"/>
        </w:rPr>
        <w:t>’</w:t>
      </w:r>
      <w:r w:rsidRPr="008343D7">
        <w:rPr>
          <w:lang w:eastAsia="en-GB"/>
        </w:rPr>
        <w:t>s focus at this level.</w:t>
      </w:r>
    </w:p>
    <w:p w14:paraId="4BFD63AD" w14:textId="530BBA8D" w:rsidR="00FF2998" w:rsidRPr="008343D7" w:rsidRDefault="4BD3A707" w:rsidP="00983748">
      <w:pPr>
        <w:pStyle w:val="ItadNormalText"/>
      </w:pPr>
      <w:bookmarkStart w:id="384" w:name="_Hlk136504466"/>
      <w:bookmarkEnd w:id="383"/>
      <w:r w:rsidRPr="00983748">
        <w:rPr>
          <w:b/>
          <w:bCs/>
        </w:rPr>
        <w:t>There is evidence that the value of leveraged resources</w:t>
      </w:r>
      <w:r w:rsidR="00FF2998" w:rsidRPr="00983748">
        <w:rPr>
          <w:b/>
          <w:bCs/>
          <w:sz w:val="20"/>
          <w:szCs w:val="20"/>
          <w:vertAlign w:val="superscript"/>
        </w:rPr>
        <w:footnoteReference w:id="161"/>
      </w:r>
      <w:r w:rsidRPr="00983748">
        <w:rPr>
          <w:b/>
          <w:bCs/>
        </w:rPr>
        <w:t xml:space="preserve"> is reasonably significant in some grants . However, this indicator has not been reported or consistently tracked across all grants in the MA</w:t>
      </w:r>
      <w:r w:rsidR="12EABA28" w:rsidRPr="00983748">
        <w:rPr>
          <w:b/>
          <w:bCs/>
        </w:rPr>
        <w:t>’</w:t>
      </w:r>
      <w:r w:rsidRPr="00983748">
        <w:rPr>
          <w:b/>
          <w:bCs/>
        </w:rPr>
        <w:t>s VfM grant reviews.</w:t>
      </w:r>
      <w:r w:rsidRPr="008343D7">
        <w:t xml:space="preserve"> This indicator helps to demonstrate alignment with existing resources and whether </w:t>
      </w:r>
      <w:r w:rsidR="5D9F52B6">
        <w:t xml:space="preserve">the </w:t>
      </w:r>
      <w:r w:rsidRPr="008343D7">
        <w:t>grants set</w:t>
      </w:r>
      <w:r w:rsidR="5D9F52B6">
        <w:t>-</w:t>
      </w:r>
      <w:r w:rsidRPr="008343D7">
        <w:t>up take into account other programmes operating in the same area. It may also indicate sustainability if the resources leveraged are from the country</w:t>
      </w:r>
      <w:r w:rsidR="12EABA28">
        <w:t>’</w:t>
      </w:r>
      <w:r w:rsidRPr="008343D7">
        <w:t xml:space="preserve">s existing health budgets. Designed well, this indicator could </w:t>
      </w:r>
      <w:r>
        <w:t>have been</w:t>
      </w:r>
      <w:r w:rsidRPr="008343D7">
        <w:t xml:space="preserve"> a good measure of coherence and sustainability.</w:t>
      </w:r>
    </w:p>
    <w:p w14:paraId="51186CB7" w14:textId="66876FE6" w:rsidR="00FF2998" w:rsidRPr="00226E0E" w:rsidRDefault="00FF2998" w:rsidP="00226E0E">
      <w:pPr>
        <w:pStyle w:val="ItadNormalText"/>
        <w:rPr>
          <w:lang w:eastAsia="en-GB"/>
        </w:rPr>
      </w:pPr>
      <w:r w:rsidRPr="00983748">
        <w:rPr>
          <w:b/>
          <w:bCs/>
          <w:lang w:eastAsia="en-GB"/>
        </w:rPr>
        <w:t>In general, we found there was a high degree of alignment between the profile of Fleming Fund investments and the strength of drivers, i.e. that the Fleming Fund had invested in areas that evidence suggests were important drivers of the progress reported in section</w:t>
      </w:r>
      <w:r w:rsidR="00DA1EF3" w:rsidRPr="00983748">
        <w:rPr>
          <w:b/>
          <w:bCs/>
          <w:lang w:eastAsia="en-GB"/>
        </w:rPr>
        <w:t>s</w:t>
      </w:r>
      <w:r w:rsidRPr="00983748">
        <w:rPr>
          <w:b/>
          <w:bCs/>
          <w:lang w:eastAsia="en-GB"/>
        </w:rPr>
        <w:t xml:space="preserve"> </w:t>
      </w:r>
      <w:r w:rsidR="00DA1EF3" w:rsidRPr="00983748">
        <w:rPr>
          <w:b/>
          <w:bCs/>
          <w:lang w:eastAsia="en-GB"/>
        </w:rPr>
        <w:fldChar w:fldCharType="begin"/>
      </w:r>
      <w:r w:rsidR="00DA1EF3" w:rsidRPr="00983748">
        <w:rPr>
          <w:b/>
          <w:bCs/>
          <w:lang w:eastAsia="en-GB"/>
        </w:rPr>
        <w:instrText xml:space="preserve"> REF _Ref129083393 \r \h </w:instrText>
      </w:r>
      <w:r w:rsidR="00983748">
        <w:rPr>
          <w:b/>
          <w:bCs/>
          <w:lang w:eastAsia="en-GB"/>
        </w:rPr>
        <w:instrText xml:space="preserve"> \* MERGEFORMAT </w:instrText>
      </w:r>
      <w:r w:rsidR="00DA1EF3" w:rsidRPr="00983748">
        <w:rPr>
          <w:b/>
          <w:bCs/>
          <w:lang w:eastAsia="en-GB"/>
        </w:rPr>
      </w:r>
      <w:r w:rsidR="00DA1EF3" w:rsidRPr="00983748">
        <w:rPr>
          <w:b/>
          <w:bCs/>
          <w:lang w:eastAsia="en-GB"/>
        </w:rPr>
        <w:fldChar w:fldCharType="separate"/>
      </w:r>
      <w:r w:rsidR="00DA1EF3" w:rsidRPr="00983748">
        <w:rPr>
          <w:b/>
          <w:bCs/>
          <w:lang w:eastAsia="en-GB"/>
        </w:rPr>
        <w:t>2.1</w:t>
      </w:r>
      <w:r w:rsidR="00DA1EF3" w:rsidRPr="00983748">
        <w:rPr>
          <w:b/>
          <w:bCs/>
          <w:lang w:eastAsia="en-GB"/>
        </w:rPr>
        <w:fldChar w:fldCharType="end"/>
      </w:r>
      <w:r w:rsidRPr="00983748">
        <w:rPr>
          <w:b/>
          <w:bCs/>
          <w:lang w:eastAsia="en-GB"/>
        </w:rPr>
        <w:t xml:space="preserve"> and </w:t>
      </w:r>
      <w:r w:rsidR="00DA1EF3" w:rsidRPr="00983748">
        <w:rPr>
          <w:b/>
          <w:bCs/>
          <w:lang w:eastAsia="en-GB"/>
        </w:rPr>
        <w:fldChar w:fldCharType="begin"/>
      </w:r>
      <w:r w:rsidR="00DA1EF3" w:rsidRPr="00983748">
        <w:rPr>
          <w:b/>
          <w:bCs/>
          <w:lang w:eastAsia="en-GB"/>
        </w:rPr>
        <w:instrText xml:space="preserve"> REF _Ref129083432 \r \h </w:instrText>
      </w:r>
      <w:r w:rsidR="00983748">
        <w:rPr>
          <w:b/>
          <w:bCs/>
          <w:lang w:eastAsia="en-GB"/>
        </w:rPr>
        <w:instrText xml:space="preserve"> \* MERGEFORMAT </w:instrText>
      </w:r>
      <w:r w:rsidR="00DA1EF3" w:rsidRPr="00983748">
        <w:rPr>
          <w:b/>
          <w:bCs/>
          <w:lang w:eastAsia="en-GB"/>
        </w:rPr>
      </w:r>
      <w:r w:rsidR="00DA1EF3" w:rsidRPr="00983748">
        <w:rPr>
          <w:b/>
          <w:bCs/>
          <w:lang w:eastAsia="en-GB"/>
        </w:rPr>
        <w:fldChar w:fldCharType="separate"/>
      </w:r>
      <w:r w:rsidR="00DA1EF3" w:rsidRPr="00983748">
        <w:rPr>
          <w:b/>
          <w:bCs/>
          <w:lang w:eastAsia="en-GB"/>
        </w:rPr>
        <w:t>2.2</w:t>
      </w:r>
      <w:r w:rsidR="00DA1EF3" w:rsidRPr="00983748">
        <w:rPr>
          <w:b/>
          <w:bCs/>
          <w:lang w:eastAsia="en-GB"/>
        </w:rPr>
        <w:fldChar w:fldCharType="end"/>
      </w:r>
      <w:r w:rsidRPr="00983748" w:rsidDel="00B40603">
        <w:rPr>
          <w:b/>
          <w:bCs/>
          <w:lang w:eastAsia="en-GB"/>
        </w:rPr>
        <w:t>.</w:t>
      </w:r>
      <w:r w:rsidRPr="008343D7">
        <w:rPr>
          <w:rFonts w:eastAsia="Calibri"/>
        </w:rPr>
        <w:t xml:space="preserve"> We looked at investments compared with changes presented in sections </w:t>
      </w:r>
      <w:r w:rsidR="00DA1EF3">
        <w:rPr>
          <w:rFonts w:eastAsia="Calibri"/>
        </w:rPr>
        <w:fldChar w:fldCharType="begin"/>
      </w:r>
      <w:r w:rsidR="00DA1EF3">
        <w:rPr>
          <w:rFonts w:eastAsia="Calibri"/>
        </w:rPr>
        <w:instrText xml:space="preserve"> REF _Ref129083393 \r \h </w:instrText>
      </w:r>
      <w:r w:rsidR="00DA1EF3">
        <w:rPr>
          <w:rFonts w:eastAsia="Calibri"/>
        </w:rPr>
      </w:r>
      <w:r w:rsidR="00DA1EF3">
        <w:rPr>
          <w:rFonts w:eastAsia="Calibri"/>
        </w:rPr>
        <w:fldChar w:fldCharType="separate"/>
      </w:r>
      <w:r w:rsidR="00DA1EF3">
        <w:rPr>
          <w:rFonts w:eastAsia="Calibri"/>
        </w:rPr>
        <w:t>2.1</w:t>
      </w:r>
      <w:r w:rsidR="00DA1EF3">
        <w:rPr>
          <w:rFonts w:eastAsia="Calibri"/>
        </w:rPr>
        <w:fldChar w:fldCharType="end"/>
      </w:r>
      <w:r w:rsidRPr="008343D7">
        <w:rPr>
          <w:rFonts w:eastAsia="Calibri"/>
        </w:rPr>
        <w:t xml:space="preserve"> and </w:t>
      </w:r>
      <w:r w:rsidR="00DA1EF3">
        <w:rPr>
          <w:rFonts w:eastAsia="Calibri"/>
        </w:rPr>
        <w:fldChar w:fldCharType="begin"/>
      </w:r>
      <w:r w:rsidR="00DA1EF3">
        <w:rPr>
          <w:rFonts w:eastAsia="Calibri"/>
        </w:rPr>
        <w:instrText xml:space="preserve"> REF _Ref129083432 \r \h </w:instrText>
      </w:r>
      <w:r w:rsidR="00DA1EF3">
        <w:rPr>
          <w:rFonts w:eastAsia="Calibri"/>
        </w:rPr>
      </w:r>
      <w:r w:rsidR="00DA1EF3">
        <w:rPr>
          <w:rFonts w:eastAsia="Calibri"/>
        </w:rPr>
        <w:fldChar w:fldCharType="separate"/>
      </w:r>
      <w:r w:rsidR="00DA1EF3">
        <w:rPr>
          <w:rFonts w:eastAsia="Calibri"/>
        </w:rPr>
        <w:t>2.2</w:t>
      </w:r>
      <w:r w:rsidR="00DA1EF3">
        <w:rPr>
          <w:rFonts w:eastAsia="Calibri"/>
        </w:rPr>
        <w:fldChar w:fldCharType="end"/>
      </w:r>
      <w:r w:rsidRPr="008343D7">
        <w:rPr>
          <w:rFonts w:eastAsia="Calibri"/>
        </w:rPr>
        <w:t>. In practice, there are some limitations to this analysis</w:t>
      </w:r>
      <w:r w:rsidR="00945410">
        <w:rPr>
          <w:rFonts w:eastAsia="Calibri"/>
        </w:rPr>
        <w:t>:</w:t>
      </w:r>
      <w:r w:rsidRPr="008343D7">
        <w:rPr>
          <w:rFonts w:eastAsia="Calibri"/>
        </w:rPr>
        <w:t xml:space="preserve"> </w:t>
      </w:r>
      <w:r w:rsidR="00945410">
        <w:rPr>
          <w:rFonts w:eastAsia="Calibri"/>
        </w:rPr>
        <w:t>(</w:t>
      </w:r>
      <w:r w:rsidRPr="008343D7">
        <w:rPr>
          <w:rFonts w:eastAsia="Calibri"/>
        </w:rPr>
        <w:t xml:space="preserve">1) a high proportion (45%) of CG investments recorded as cross-cutting and not assigned to a specific investment area (ranges from 10% to 70% across CGs); 2) not all contribution drivers can be mapped to the investment area, so we look only at the main drivers, i.e. Human capacity; Renovation and Equipment; and Governance which can be mapped to investment areas; </w:t>
      </w:r>
      <w:r w:rsidR="00DA1EF3">
        <w:rPr>
          <w:rFonts w:eastAsia="Calibri"/>
        </w:rPr>
        <w:t xml:space="preserve">and </w:t>
      </w:r>
      <w:r w:rsidRPr="008343D7">
        <w:rPr>
          <w:rFonts w:eastAsia="Calibri"/>
        </w:rPr>
        <w:t xml:space="preserve">3) </w:t>
      </w:r>
      <w:r w:rsidRPr="008343D7">
        <w:rPr>
          <w:lang w:eastAsia="en-GB"/>
        </w:rPr>
        <w:t xml:space="preserve">there is no expectation of a linear relationship between </w:t>
      </w:r>
      <w:r w:rsidR="00DA1EF3">
        <w:rPr>
          <w:lang w:eastAsia="en-GB"/>
        </w:rPr>
        <w:t xml:space="preserve">the </w:t>
      </w:r>
      <w:r w:rsidRPr="008343D7">
        <w:rPr>
          <w:lang w:eastAsia="en-GB"/>
        </w:rPr>
        <w:t>level of investment and observed changes</w:t>
      </w:r>
      <w:r w:rsidRPr="008343D7" w:rsidDel="00EC4B1B">
        <w:rPr>
          <w:lang w:eastAsia="en-GB"/>
        </w:rPr>
        <w:t>.</w:t>
      </w:r>
      <w:bookmarkEnd w:id="384"/>
    </w:p>
    <w:p w14:paraId="310F835F" w14:textId="65D7FABA" w:rsidR="00FF2998" w:rsidRPr="008343D7" w:rsidRDefault="00FF2998" w:rsidP="00226E0E">
      <w:pPr>
        <w:pStyle w:val="ItadBullets"/>
      </w:pPr>
      <w:r w:rsidRPr="008343D7">
        <w:t>In general, this analysis showed a high degree of alignment between the level of investments and the strength of drivers, as shown in Vol. II, Annex 6.</w:t>
      </w:r>
      <w:r w:rsidRPr="008343D7">
        <w:rPr>
          <w:b/>
          <w:bCs/>
        </w:rPr>
        <w:t xml:space="preserve"> </w:t>
      </w:r>
      <w:r w:rsidRPr="008343D7">
        <w:t xml:space="preserve">For example, in countries where there was a higher level of investment in </w:t>
      </w:r>
      <w:r w:rsidRPr="008343D7">
        <w:rPr>
          <w:b/>
          <w:bCs/>
        </w:rPr>
        <w:t>Laboratory infrastructure</w:t>
      </w:r>
      <w:r w:rsidRPr="008343D7">
        <w:t>, renovation was one of the stronger drivers.</w:t>
      </w:r>
    </w:p>
    <w:p w14:paraId="3B2F93A7" w14:textId="60615275" w:rsidR="00FF2998" w:rsidRPr="007D1B55" w:rsidRDefault="00FF2998" w:rsidP="00226E0E">
      <w:pPr>
        <w:pStyle w:val="ItadBullets"/>
        <w:rPr>
          <w:rFonts w:eastAsia="Calibri"/>
        </w:rPr>
      </w:pPr>
      <w:r w:rsidRPr="008343D7">
        <w:t xml:space="preserve">In general, investments in </w:t>
      </w:r>
      <w:r w:rsidRPr="008343D7">
        <w:rPr>
          <w:b/>
          <w:bCs/>
        </w:rPr>
        <w:t>building foundations for the use</w:t>
      </w:r>
      <w:r w:rsidRPr="008343D7">
        <w:t xml:space="preserve"> of data are aligned with performance i.e. there was a lower investment in countries reporting a lower level of progress and Fleming Fund</w:t>
      </w:r>
      <w:r w:rsidR="00AA6A7B">
        <w:t>’</w:t>
      </w:r>
      <w:r w:rsidRPr="008343D7">
        <w:t>s contribution</w:t>
      </w:r>
      <w:r w:rsidR="00DA1EF3">
        <w:t>,</w:t>
      </w:r>
      <w:r w:rsidRPr="008343D7">
        <w:t xml:space="preserve"> and higher performing countries had a relatively higher investment in this area.</w:t>
      </w:r>
    </w:p>
    <w:p w14:paraId="1D027C7C" w14:textId="49F9C640" w:rsidR="004B0DBF" w:rsidRDefault="004B0DBF" w:rsidP="004B0DBF">
      <w:pPr>
        <w:pStyle w:val="Caption"/>
        <w:keepNext/>
      </w:pPr>
      <w:bookmarkStart w:id="385" w:name="_Ref144720801"/>
      <w:bookmarkStart w:id="386" w:name="_Toc144721406"/>
      <w:r>
        <w:t xml:space="preserve">Box </w:t>
      </w:r>
      <w:r>
        <w:fldChar w:fldCharType="begin"/>
      </w:r>
      <w:r>
        <w:instrText>SEQ Box \* ARABIC</w:instrText>
      </w:r>
      <w:r>
        <w:fldChar w:fldCharType="separate"/>
      </w:r>
      <w:r w:rsidR="009A7BD2">
        <w:rPr>
          <w:noProof/>
        </w:rPr>
        <w:t>11</w:t>
      </w:r>
      <w:r>
        <w:fldChar w:fldCharType="end"/>
      </w:r>
      <w:bookmarkEnd w:id="385"/>
      <w:r>
        <w:t>: DHSC systems</w:t>
      </w:r>
      <w:r w:rsidRPr="00B531AB">
        <w:t xml:space="preserve"> </w:t>
      </w:r>
      <w:r>
        <w:t xml:space="preserve">for managing </w:t>
      </w:r>
      <w:r w:rsidRPr="00FA536F">
        <w:t>international</w:t>
      </w:r>
      <w:r>
        <w:t xml:space="preserve"> ODA programmes</w:t>
      </w:r>
      <w:bookmarkEnd w:id="386"/>
    </w:p>
    <w:tbl>
      <w:tblPr>
        <w:tblStyle w:val="Itadpulloutboxorange"/>
        <w:tblpPr w:leftFromText="180" w:rightFromText="180" w:vertAnchor="text" w:horzAnchor="margin" w:tblpY="126"/>
        <w:tblW w:w="0" w:type="auto"/>
        <w:tblInd w:w="0" w:type="dxa"/>
        <w:tblLook w:val="04A0" w:firstRow="1" w:lastRow="0" w:firstColumn="1" w:lastColumn="0" w:noHBand="0" w:noVBand="1"/>
      </w:tblPr>
      <w:tblGrid>
        <w:gridCol w:w="9170"/>
      </w:tblGrid>
      <w:tr w:rsidR="001C1B63" w14:paraId="562AA79D" w14:textId="77777777" w:rsidTr="001C1B63">
        <w:trPr>
          <w:trHeight w:val="672"/>
        </w:trPr>
        <w:tc>
          <w:tcPr>
            <w:tcW w:w="9170" w:type="dxa"/>
          </w:tcPr>
          <w:bookmarkEnd w:id="382"/>
          <w:p w14:paraId="0AE6DD26" w14:textId="77777777" w:rsidR="001C1B63" w:rsidRPr="008A5F96" w:rsidRDefault="001C1B63" w:rsidP="00945410">
            <w:pPr>
              <w:pStyle w:val="FFBoxText"/>
              <w:rPr>
                <w:rFonts w:eastAsiaTheme="minorEastAsia"/>
              </w:rPr>
            </w:pPr>
            <w:r w:rsidRPr="008A5F96">
              <w:rPr>
                <w:rFonts w:eastAsiaTheme="minorEastAsia"/>
              </w:rPr>
              <w:t>Government departments have different cultures and systems that have evolved to work in specific contexts and meet specific objectives.</w:t>
            </w:r>
            <w:r w:rsidRPr="008A5F96" w:rsidDel="007D2E99">
              <w:rPr>
                <w:rFonts w:eastAsiaTheme="minorEastAsia"/>
              </w:rPr>
              <w:t xml:space="preserve"> </w:t>
            </w:r>
            <w:r w:rsidRPr="008A5F96">
              <w:rPr>
                <w:rFonts w:eastAsiaTheme="minorEastAsia"/>
              </w:rPr>
              <w:t>The DHSC systems are primarily designed to ensure the effective design and implementation of UK domestic health policy.</w:t>
            </w:r>
            <w:r w:rsidRPr="008A5F96" w:rsidDel="007D2E99">
              <w:rPr>
                <w:rFonts w:eastAsiaTheme="minorEastAsia"/>
              </w:rPr>
              <w:t xml:space="preserve"> </w:t>
            </w:r>
            <w:r w:rsidRPr="008A5F96">
              <w:rPr>
                <w:rFonts w:eastAsiaTheme="minorEastAsia"/>
              </w:rPr>
              <w:t>Since 2015, the DHSC has also managed ODA which has introduced new DHSC requirements in terms of working internationally and managing associated risks.</w:t>
            </w:r>
            <w:r w:rsidRPr="008A5F96" w:rsidDel="007D2E99">
              <w:rPr>
                <w:rFonts w:eastAsiaTheme="minorEastAsia"/>
              </w:rPr>
              <w:t xml:space="preserve"> </w:t>
            </w:r>
            <w:r w:rsidRPr="008A5F96">
              <w:rPr>
                <w:rFonts w:eastAsiaTheme="minorEastAsia"/>
              </w:rPr>
              <w:t>Key challenges that come from the application of domestically focused systems include:</w:t>
            </w:r>
          </w:p>
          <w:p w14:paraId="55BEB4B9" w14:textId="77777777" w:rsidR="001C1B63" w:rsidRPr="008A5F96" w:rsidRDefault="001C1B63" w:rsidP="00F30820">
            <w:pPr>
              <w:pStyle w:val="Textboxbullet"/>
              <w:framePr w:hSpace="0" w:wrap="auto" w:vAnchor="margin" w:hAnchor="text" w:yAlign="inline"/>
            </w:pPr>
            <w:r w:rsidRPr="008A5F96">
              <w:rPr>
                <w:b/>
                <w:bCs/>
              </w:rPr>
              <w:t>Budgeting</w:t>
            </w:r>
            <w:r w:rsidRPr="008A5F96">
              <w:t>: DHSC budgeting is done on a three-year rather than a longer-term basis. This limits the extent to which long-term plans can be made.</w:t>
            </w:r>
          </w:p>
          <w:p w14:paraId="102806B6" w14:textId="77777777" w:rsidR="001C1B63" w:rsidRPr="008A5F96" w:rsidRDefault="001C1B63" w:rsidP="00F30820">
            <w:pPr>
              <w:pStyle w:val="Textboxbullet"/>
              <w:framePr w:hSpace="0" w:wrap="auto" w:vAnchor="margin" w:hAnchor="text" w:yAlign="inline"/>
            </w:pPr>
            <w:r w:rsidRPr="008A5F96">
              <w:rPr>
                <w:b/>
                <w:bCs/>
              </w:rPr>
              <w:t>Financial expenditure</w:t>
            </w:r>
            <w:r w:rsidRPr="008A5F96">
              <w:t xml:space="preserve">: DHSC budgets for each financial year need to be spent as fully as possible or funds are </w:t>
            </w:r>
            <w:r>
              <w:t>‘</w:t>
            </w:r>
            <w:r w:rsidRPr="008A5F96">
              <w:t>lost</w:t>
            </w:r>
            <w:r>
              <w:t>’</w:t>
            </w:r>
            <w:r w:rsidRPr="008A5F96">
              <w:t xml:space="preserve"> – i.e. they cannot be rolled over into subsequent years. Incentives are for the DHSC to be a good </w:t>
            </w:r>
            <w:r>
              <w:t>‘</w:t>
            </w:r>
            <w:r w:rsidRPr="008A5F96">
              <w:t>spender</w:t>
            </w:r>
            <w:r>
              <w:t>’</w:t>
            </w:r>
            <w:r w:rsidRPr="008A5F96">
              <w:t xml:space="preserve"> which means </w:t>
            </w:r>
            <w:r>
              <w:t>‘</w:t>
            </w:r>
            <w:r w:rsidRPr="008A5F96">
              <w:t>savings</w:t>
            </w:r>
            <w:r>
              <w:t>’</w:t>
            </w:r>
            <w:r w:rsidRPr="008A5F96">
              <w:t xml:space="preserve"> have to be reprogrammed.</w:t>
            </w:r>
            <w:r w:rsidRPr="008A5F96" w:rsidDel="007D2E99">
              <w:t xml:space="preserve"> </w:t>
            </w:r>
            <w:r w:rsidRPr="008A5F96">
              <w:t>This is distinct from FCDO which has derogation to carry over expenditure from year to year.</w:t>
            </w:r>
          </w:p>
          <w:p w14:paraId="6A961E00" w14:textId="77777777" w:rsidR="001C1B63" w:rsidRPr="008A5F96" w:rsidRDefault="001C1B63" w:rsidP="00F30820">
            <w:pPr>
              <w:pStyle w:val="Textboxbullet"/>
              <w:framePr w:hSpace="0" w:wrap="auto" w:vAnchor="margin" w:hAnchor="text" w:yAlign="inline"/>
            </w:pPr>
            <w:r w:rsidRPr="008A5F96">
              <w:rPr>
                <w:b/>
                <w:bCs/>
              </w:rPr>
              <w:t>Risk appetite</w:t>
            </w:r>
            <w:r w:rsidRPr="008A5F96">
              <w:t xml:space="preserve">: DHSC systems are set up to work in the UK domestic context where risks are different and, on the whole, lower than in international contexts. This has implications for contracting and limits the scope for strategic adaptive management that is needed for novel programmes like the </w:t>
            </w:r>
            <w:r w:rsidRPr="00F30820">
              <w:t>Fleming</w:t>
            </w:r>
            <w:r w:rsidRPr="008A5F96">
              <w:t xml:space="preserve"> Fund, and in particular when working in uncertain environments.</w:t>
            </w:r>
          </w:p>
          <w:p w14:paraId="1C09D472" w14:textId="77777777" w:rsidR="001C1B63" w:rsidRPr="008A5F96" w:rsidRDefault="001C1B63" w:rsidP="00F30820">
            <w:pPr>
              <w:pStyle w:val="Textboxbullet"/>
              <w:framePr w:hSpace="0" w:wrap="auto" w:vAnchor="margin" w:hAnchor="text" w:yAlign="inline"/>
            </w:pPr>
            <w:r w:rsidRPr="008A5F96">
              <w:rPr>
                <w:b/>
                <w:bCs/>
              </w:rPr>
              <w:t>Contracting</w:t>
            </w:r>
            <w:r w:rsidRPr="008A5F96">
              <w:t>: DHSC contracting is more used to procuring the supply of specific services or outputs which can be easily defined and less likely to change during implementation. Systems do not appear sufficiently agile to facilitate strategic adaptive management, e.g. changes to contracted outputs or targets revised to meet changing circumstances.</w:t>
            </w:r>
          </w:p>
          <w:p w14:paraId="4027E937" w14:textId="77777777" w:rsidR="001C1B63" w:rsidRPr="00855AAA" w:rsidRDefault="001C1B63" w:rsidP="00F30820">
            <w:pPr>
              <w:pStyle w:val="Textboxbullet"/>
              <w:framePr w:hSpace="0" w:wrap="auto" w:vAnchor="margin" w:hAnchor="text" w:yAlign="inline"/>
            </w:pPr>
            <w:r w:rsidRPr="00504E64">
              <w:rPr>
                <w:b/>
                <w:bCs/>
              </w:rPr>
              <w:t>Culture and ambition</w:t>
            </w:r>
            <w:r w:rsidRPr="00504E64">
              <w:t xml:space="preserve">: </w:t>
            </w:r>
            <w:r>
              <w:t xml:space="preserve">The </w:t>
            </w:r>
            <w:r w:rsidRPr="00504E64">
              <w:t>DHSC</w:t>
            </w:r>
            <w:r w:rsidRPr="00504E64">
              <w:rPr>
                <w:b/>
                <w:bCs/>
              </w:rPr>
              <w:t xml:space="preserve"> </w:t>
            </w:r>
            <w:r w:rsidRPr="00504E64">
              <w:t>recognises that tackling AMR is a long-term project and that its stated objectives are unlikely to be achieved even by the end of phase 2. Further support, either extending phase 2 or through a new Phase 3 is anticipated. Future funding will in part require the DHSC to show that funding has been used effectively and that the DHSC is a reliable spender. This imperative is more acute in the context of cross-Whitehall spending pressures including on ODA budgets in the context of the Ukraine war.</w:t>
            </w:r>
          </w:p>
        </w:tc>
      </w:tr>
    </w:tbl>
    <w:p w14:paraId="2B4033BA" w14:textId="77777777" w:rsidR="00FF2998" w:rsidRPr="008343D7" w:rsidRDefault="00FF2998" w:rsidP="00FA536F">
      <w:pPr>
        <w:pStyle w:val="Heading5"/>
      </w:pPr>
      <w:r w:rsidRPr="008343D7">
        <w:t>Effectiveness</w:t>
      </w:r>
    </w:p>
    <w:p w14:paraId="57EB0AFA" w14:textId="7E4FE914" w:rsidR="00810867" w:rsidRDefault="00810867" w:rsidP="001C1B63">
      <w:pPr>
        <w:pStyle w:val="ItadNormalTextBold"/>
        <w:rPr>
          <w:lang w:eastAsia="en-GB"/>
        </w:rPr>
      </w:pPr>
      <w:r>
        <w:rPr>
          <w:lang w:eastAsia="en-GB"/>
        </w:rPr>
        <w:t xml:space="preserve">Finding 2.3.10: </w:t>
      </w:r>
      <w:r w:rsidRPr="00D921B4">
        <w:rPr>
          <w:i/>
          <w:iCs/>
          <w:lang w:eastAsia="en-GB"/>
        </w:rPr>
        <w:t>Effectiveness:</w:t>
      </w:r>
      <w:r w:rsidRPr="00810867">
        <w:rPr>
          <w:lang w:eastAsia="en-GB"/>
        </w:rPr>
        <w:t xml:space="preserve"> Overall there is evidence across the 16 countries in our sample that the Fleming Fund has contributed to improvements in establishing surveillance systems and data use. The headline finding varies slightly when we look at HH, AH, and data use separately. The category of the country (level of surveillance system in place at the start of the grant) does not seem to be related to performance. However, there is alignment between the length of grant implementation and performance – i.e. the longer the grant has been running the more change and contribution seen</w:t>
      </w:r>
      <w:r w:rsidR="001C1B63">
        <w:rPr>
          <w:lang w:eastAsia="en-GB"/>
        </w:rPr>
        <w:t>.</w:t>
      </w:r>
    </w:p>
    <w:p w14:paraId="590D3A0A" w14:textId="0A44A273" w:rsidR="00FF2998" w:rsidRPr="008343D7" w:rsidRDefault="4BD3A707" w:rsidP="001C1B63">
      <w:pPr>
        <w:pStyle w:val="ItadNormalText"/>
        <w:rPr>
          <w:rFonts w:eastAsia="Times New Roman"/>
          <w:lang w:eastAsia="en-GB"/>
        </w:rPr>
      </w:pPr>
      <w:r w:rsidRPr="001C1B63">
        <w:rPr>
          <w:b/>
          <w:bCs/>
          <w:lang w:eastAsia="en-GB"/>
        </w:rPr>
        <w:t>Overall, there is evidence, across the 16 countries in our sample, that the Fleming Fund has contributed to improvements in establishing surveillance systems and data use.</w:t>
      </w:r>
      <w:r w:rsidRPr="008343D7">
        <w:rPr>
          <w:rFonts w:eastAsia="Times New Roman"/>
          <w:lang w:eastAsia="en-GB"/>
        </w:rPr>
        <w:t xml:space="preserve"> </w:t>
      </w:r>
      <w:bookmarkStart w:id="387" w:name="_Hlk136504661"/>
      <w:bookmarkStart w:id="388" w:name="_Hlk136505022"/>
      <w:r w:rsidRPr="008343D7">
        <w:rPr>
          <w:rFonts w:eastAsia="Calibri"/>
        </w:rPr>
        <w:t>KPI data show steady progress in the number of Fleming Fund</w:t>
      </w:r>
      <w:r w:rsidR="0A0365C3">
        <w:rPr>
          <w:rFonts w:eastAsia="Calibri"/>
        </w:rPr>
        <w:t>-</w:t>
      </w:r>
      <w:r w:rsidRPr="008343D7">
        <w:rPr>
          <w:rFonts w:eastAsia="Calibri"/>
        </w:rPr>
        <w:t xml:space="preserve">supported HH and AH surveillance sites showing progress </w:t>
      </w:r>
      <w:r w:rsidRPr="00793B7A">
        <w:rPr>
          <w:rFonts w:eastAsia="Calibri"/>
        </w:rPr>
        <w:t>through the LSHTM roadmap functions/stage</w:t>
      </w:r>
      <w:r w:rsidR="24001B8A" w:rsidRPr="00793B7A">
        <w:rPr>
          <w:rFonts w:eastAsia="Calibri"/>
        </w:rPr>
        <w:t xml:space="preserve">s. </w:t>
      </w:r>
      <w:bookmarkEnd w:id="387"/>
      <w:r w:rsidR="24001B8A" w:rsidRPr="00793B7A">
        <w:rPr>
          <w:rFonts w:eastAsia="Calibri"/>
        </w:rPr>
        <w:t xml:space="preserve">In </w:t>
      </w:r>
      <w:r w:rsidRPr="00793B7A">
        <w:rPr>
          <w:rFonts w:eastAsia="Calibri"/>
        </w:rPr>
        <w:t xml:space="preserve">2019, 23 </w:t>
      </w:r>
      <w:r w:rsidR="0FF0E0D9" w:rsidRPr="00793B7A">
        <w:rPr>
          <w:rFonts w:eastAsia="Calibri"/>
        </w:rPr>
        <w:t>HH</w:t>
      </w:r>
      <w:r w:rsidRPr="00793B7A">
        <w:rPr>
          <w:rFonts w:eastAsia="Calibri"/>
        </w:rPr>
        <w:t xml:space="preserve"> sites were making progress, which had increased to 118 by mid-2022; equivalent figures for </w:t>
      </w:r>
      <w:r w:rsidR="08DB6808" w:rsidRPr="00793B7A">
        <w:rPr>
          <w:rFonts w:eastAsia="Calibri"/>
        </w:rPr>
        <w:t>AH</w:t>
      </w:r>
      <w:r w:rsidRPr="00793B7A">
        <w:rPr>
          <w:rFonts w:eastAsia="Calibri"/>
        </w:rPr>
        <w:t xml:space="preserve"> sites were 47 in 2020</w:t>
      </w:r>
      <w:r w:rsidR="00FF2998" w:rsidRPr="00793B7A">
        <w:rPr>
          <w:rFonts w:eastAsia="Calibri"/>
          <w:sz w:val="20"/>
          <w:szCs w:val="20"/>
          <w:vertAlign w:val="superscript"/>
        </w:rPr>
        <w:footnoteReference w:id="162"/>
      </w:r>
      <w:r w:rsidRPr="00793B7A">
        <w:rPr>
          <w:rFonts w:eastAsia="Calibri"/>
        </w:rPr>
        <w:t xml:space="preserve"> up to 51 by mid-2022 (see </w:t>
      </w:r>
      <w:r w:rsidR="00793B7A">
        <w:fldChar w:fldCharType="begin"/>
      </w:r>
      <w:r w:rsidR="00793B7A">
        <w:instrText xml:space="preserve"> REF _Ref144054746 \h </w:instrText>
      </w:r>
      <w:r w:rsidR="00793B7A">
        <w:fldChar w:fldCharType="separate"/>
      </w:r>
      <w:r w:rsidR="3B3019BC">
        <w:t xml:space="preserve">Figure </w:t>
      </w:r>
      <w:r w:rsidR="3B3019BC">
        <w:rPr>
          <w:noProof/>
        </w:rPr>
        <w:t>12</w:t>
      </w:r>
      <w:r w:rsidR="00793B7A">
        <w:fldChar w:fldCharType="end"/>
      </w:r>
      <w:r w:rsidR="655F0742">
        <w:t xml:space="preserve"> </w:t>
      </w:r>
      <w:r w:rsidRPr="00793B7A">
        <w:t xml:space="preserve">and </w:t>
      </w:r>
      <w:r w:rsidR="00793B7A">
        <w:rPr>
          <w:rFonts w:eastAsia="Calibri"/>
        </w:rPr>
        <w:fldChar w:fldCharType="begin"/>
      </w:r>
      <w:r w:rsidR="00793B7A">
        <w:rPr>
          <w:rFonts w:eastAsia="Calibri"/>
        </w:rPr>
        <w:instrText xml:space="preserve"> REF _Ref144054758 \h </w:instrText>
      </w:r>
      <w:r w:rsidR="00793B7A">
        <w:rPr>
          <w:rFonts w:eastAsia="Calibri"/>
        </w:rPr>
      </w:r>
      <w:r w:rsidR="00793B7A">
        <w:rPr>
          <w:rFonts w:eastAsia="Calibri"/>
        </w:rPr>
        <w:fldChar w:fldCharType="separate"/>
      </w:r>
      <w:r w:rsidR="3B3019BC">
        <w:t xml:space="preserve">Figure </w:t>
      </w:r>
      <w:r w:rsidR="3B3019BC">
        <w:rPr>
          <w:noProof/>
        </w:rPr>
        <w:t>13</w:t>
      </w:r>
      <w:r w:rsidR="00793B7A">
        <w:rPr>
          <w:rFonts w:eastAsia="Calibri"/>
        </w:rPr>
        <w:fldChar w:fldCharType="end"/>
      </w:r>
      <w:r w:rsidR="655F0742">
        <w:rPr>
          <w:rFonts w:eastAsia="Calibri"/>
        </w:rPr>
        <w:t xml:space="preserve"> </w:t>
      </w:r>
      <w:r w:rsidRPr="00793B7A">
        <w:rPr>
          <w:rFonts w:eastAsia="Calibri"/>
        </w:rPr>
        <w:t xml:space="preserve">for details). </w:t>
      </w:r>
      <w:r w:rsidRPr="00793B7A">
        <w:rPr>
          <w:rFonts w:eastAsia="Times New Roman"/>
          <w:lang w:eastAsia="en-GB"/>
        </w:rPr>
        <w:t xml:space="preserve">There is evidence that the Fleming Fund has been particularly effective in five countries ; and </w:t>
      </w:r>
      <w:r w:rsidR="02159C79" w:rsidRPr="00793B7A">
        <w:rPr>
          <w:rFonts w:eastAsia="Times New Roman"/>
          <w:lang w:eastAsia="en-GB"/>
        </w:rPr>
        <w:t xml:space="preserve">in </w:t>
      </w:r>
      <w:r w:rsidRPr="00793B7A">
        <w:rPr>
          <w:rFonts w:eastAsia="Times New Roman"/>
          <w:lang w:eastAsia="en-GB"/>
        </w:rPr>
        <w:t>its contribution to improvements</w:t>
      </w:r>
      <w:r w:rsidRPr="008343D7">
        <w:rPr>
          <w:rFonts w:eastAsia="Times New Roman"/>
          <w:lang w:eastAsia="en-GB"/>
        </w:rPr>
        <w:t xml:space="preserve"> in seven countries . However, there is evidence of fewer contributions and improvements in four countries ; although we note findings in section </w:t>
      </w:r>
      <w:r w:rsidR="00D47F5A">
        <w:rPr>
          <w:rFonts w:eastAsia="Times New Roman"/>
          <w:lang w:eastAsia="en-GB"/>
        </w:rPr>
        <w:fldChar w:fldCharType="begin"/>
      </w:r>
      <w:r w:rsidR="00D47F5A">
        <w:rPr>
          <w:rFonts w:eastAsia="Times New Roman"/>
          <w:lang w:eastAsia="en-GB"/>
        </w:rPr>
        <w:instrText xml:space="preserve"> REF _Ref129083393 \r \h </w:instrText>
      </w:r>
      <w:r w:rsidR="00D47F5A">
        <w:rPr>
          <w:rFonts w:eastAsia="Times New Roman"/>
          <w:lang w:eastAsia="en-GB"/>
        </w:rPr>
      </w:r>
      <w:r w:rsidR="00D47F5A">
        <w:rPr>
          <w:rFonts w:eastAsia="Times New Roman"/>
          <w:lang w:eastAsia="en-GB"/>
        </w:rPr>
        <w:fldChar w:fldCharType="separate"/>
      </w:r>
      <w:r w:rsidR="02159C79">
        <w:rPr>
          <w:rFonts w:eastAsia="Times New Roman"/>
          <w:lang w:eastAsia="en-GB"/>
        </w:rPr>
        <w:t>2.1</w:t>
      </w:r>
      <w:r w:rsidR="00D47F5A">
        <w:rPr>
          <w:rFonts w:eastAsia="Times New Roman"/>
          <w:lang w:eastAsia="en-GB"/>
        </w:rPr>
        <w:fldChar w:fldCharType="end"/>
      </w:r>
      <w:r w:rsidRPr="008343D7">
        <w:rPr>
          <w:rFonts w:eastAsia="Times New Roman"/>
          <w:lang w:eastAsia="en-GB"/>
        </w:rPr>
        <w:t xml:space="preserve"> that </w:t>
      </w:r>
      <w:r w:rsidR="4514AE58">
        <w:rPr>
          <w:rFonts w:eastAsia="Times New Roman"/>
          <w:lang w:eastAsia="en-GB"/>
        </w:rPr>
        <w:t xml:space="preserve">show that </w:t>
      </w:r>
      <w:r w:rsidRPr="008343D7">
        <w:rPr>
          <w:rFonts w:eastAsia="Times New Roman"/>
          <w:lang w:eastAsia="en-GB"/>
        </w:rPr>
        <w:t xml:space="preserve">progress was expected to have continued in the remainder of phase 1 and </w:t>
      </w:r>
      <w:r w:rsidR="4514AE58">
        <w:rPr>
          <w:rFonts w:eastAsia="Times New Roman"/>
          <w:lang w:eastAsia="en-GB"/>
        </w:rPr>
        <w:t xml:space="preserve">the </w:t>
      </w:r>
      <w:r w:rsidR="4514AE58" w:rsidRPr="008343D7">
        <w:rPr>
          <w:rFonts w:eastAsia="Times New Roman"/>
          <w:lang w:eastAsia="en-GB"/>
        </w:rPr>
        <w:t>availab</w:t>
      </w:r>
      <w:r w:rsidR="4514AE58">
        <w:rPr>
          <w:rFonts w:eastAsia="Times New Roman"/>
          <w:lang w:eastAsia="en-GB"/>
        </w:rPr>
        <w:t>ility of</w:t>
      </w:r>
      <w:r w:rsidR="4514AE58" w:rsidRPr="008343D7">
        <w:rPr>
          <w:rFonts w:eastAsia="Times New Roman"/>
          <w:lang w:eastAsia="en-GB"/>
        </w:rPr>
        <w:t xml:space="preserve"> </w:t>
      </w:r>
      <w:r w:rsidRPr="008343D7">
        <w:rPr>
          <w:rFonts w:eastAsia="Times New Roman"/>
          <w:lang w:eastAsia="en-GB"/>
        </w:rPr>
        <w:t>evidence was influenced by the specific timing of our data collection efforts in each country.</w:t>
      </w:r>
      <w:bookmarkEnd w:id="388"/>
    </w:p>
    <w:p w14:paraId="6B7878CF" w14:textId="35B328CB" w:rsidR="00FF2998" w:rsidRPr="008343D7" w:rsidRDefault="00FF2998" w:rsidP="001C1B63">
      <w:pPr>
        <w:pStyle w:val="ItadNormalText"/>
      </w:pPr>
      <w:r w:rsidRPr="008343D7">
        <w:rPr>
          <w:b/>
          <w:bCs/>
        </w:rPr>
        <w:t>The headline finding varies slightly when we look at HH, AH</w:t>
      </w:r>
      <w:r w:rsidR="00D47F5A">
        <w:rPr>
          <w:b/>
          <w:bCs/>
        </w:rPr>
        <w:t>,</w:t>
      </w:r>
      <w:r w:rsidRPr="008343D7">
        <w:rPr>
          <w:b/>
          <w:bCs/>
        </w:rPr>
        <w:t xml:space="preserve"> and Use separately</w:t>
      </w:r>
      <w:r w:rsidRPr="008343D7">
        <w:rPr>
          <w:rFonts w:eastAsia="Times New Roman"/>
          <w:lang w:eastAsia="en-GB"/>
        </w:rPr>
        <w:t>. For example, some countries performed better in HH and Use than in AH. This</w:t>
      </w:r>
      <w:r w:rsidRPr="008343D7">
        <w:t xml:space="preserve"> is as expected as the AH data used is specifically AMC/U data, which was less of a focus in t</w:t>
      </w:r>
      <w:r w:rsidR="00793B7A">
        <w:t>he</w:t>
      </w:r>
      <w:r w:rsidRPr="008343D7">
        <w:t xml:space="preserve"> current phase.</w:t>
      </w:r>
    </w:p>
    <w:p w14:paraId="07BF7B9D" w14:textId="596A97EF" w:rsidR="00FF2998" w:rsidRPr="008343D7" w:rsidRDefault="4BD3A707" w:rsidP="001C1B63">
      <w:pPr>
        <w:pStyle w:val="ItadNormalText"/>
      </w:pPr>
      <w:bookmarkStart w:id="389" w:name="_Hlk136505138"/>
      <w:r w:rsidRPr="4EF651D4">
        <w:rPr>
          <w:b/>
          <w:bCs/>
        </w:rPr>
        <w:t>The category of the country (level of surveillance system in place at the start of the grant) does not seem to be related to performance.</w:t>
      </w:r>
      <w:r>
        <w:t xml:space="preserve"> For example, countries with systems established (</w:t>
      </w:r>
      <w:r w:rsidR="12EABA28">
        <w:t>c</w:t>
      </w:r>
      <w:r>
        <w:t xml:space="preserve">ategory C: </w:t>
      </w:r>
      <w:r w:rsidRPr="4EF651D4">
        <w:rPr>
          <w:i/>
          <w:iCs/>
        </w:rPr>
        <w:t xml:space="preserve">Countries where modest surveillance system is established, gaps need to be filled and activities need to be connected) </w:t>
      </w:r>
      <w:r>
        <w:t xml:space="preserve">appear at higher  and lower  ends of performance ranking. However, Sierra Leone was rated </w:t>
      </w:r>
      <w:r w:rsidR="12EABA28">
        <w:t>c</w:t>
      </w:r>
      <w:r>
        <w:t>ategory A (</w:t>
      </w:r>
      <w:r w:rsidRPr="4EF651D4">
        <w:rPr>
          <w:i/>
          <w:iCs/>
        </w:rPr>
        <w:t xml:space="preserve">Countries with the least capacity to conduct surveillance, typically have no NAPs in place and little evidence of political will) </w:t>
      </w:r>
      <w:r>
        <w:t>and performed least well.</w:t>
      </w:r>
    </w:p>
    <w:bookmarkEnd w:id="389"/>
    <w:p w14:paraId="57F5E46A" w14:textId="7F64021E" w:rsidR="00FF2998" w:rsidRPr="008343D7" w:rsidRDefault="00FF2998" w:rsidP="001C1B63">
      <w:pPr>
        <w:pStyle w:val="ItadNormalText"/>
      </w:pPr>
      <w:r w:rsidRPr="008343D7">
        <w:rPr>
          <w:b/>
          <w:bCs/>
        </w:rPr>
        <w:t>There is a general alignment between the length of grant implementation and performance</w:t>
      </w:r>
      <w:r w:rsidRPr="008343D7">
        <w:t xml:space="preserve">. Where alignment is not strong, the explanations are clear. However, there are likely to be other factors </w:t>
      </w:r>
      <w:r w:rsidR="00D47F5A">
        <w:t>that</w:t>
      </w:r>
      <w:r w:rsidR="00D47F5A" w:rsidRPr="008343D7">
        <w:t xml:space="preserve"> </w:t>
      </w:r>
      <w:r w:rsidRPr="008343D7">
        <w:t>explain differences in performance between the CGs.</w:t>
      </w:r>
    </w:p>
    <w:p w14:paraId="633E1E43" w14:textId="0D385A08" w:rsidR="007A781C" w:rsidRPr="00A86DE4" w:rsidRDefault="00FF2998" w:rsidP="006246E0">
      <w:pPr>
        <w:pStyle w:val="Heading5"/>
        <w:rPr>
          <w:rFonts w:eastAsiaTheme="minorHAnsi"/>
          <w:color w:val="auto"/>
          <w:szCs w:val="22"/>
          <w:lang w:eastAsia="en-US"/>
        </w:rPr>
      </w:pPr>
      <w:r w:rsidRPr="008343D7">
        <w:t>Coherence</w:t>
      </w:r>
    </w:p>
    <w:p w14:paraId="39D9F653" w14:textId="53053E84" w:rsidR="00810867" w:rsidRPr="001C1B63" w:rsidRDefault="007A781C" w:rsidP="001C1B63">
      <w:pPr>
        <w:pStyle w:val="ItadNormalTextBold"/>
      </w:pPr>
      <w:r w:rsidRPr="001C1B63">
        <w:t>Finding 2.3.1</w:t>
      </w:r>
      <w:r w:rsidR="00FA536F">
        <w:t>1</w:t>
      </w:r>
      <w:r w:rsidRPr="001C1B63">
        <w:t>: Coherence: The model has created challenges in terms of delivering internal coherence between CGs, RGs, and Fellowships. External coherence between all Fleming Fund grants and other DPs interventions was found to be strong in a majority of the focus countries but does not focus on linkages to wider (non-surveillance) aspects of the AMR response</w:t>
      </w:r>
    </w:p>
    <w:p w14:paraId="70577B29" w14:textId="75FB041E" w:rsidR="00FF2998" w:rsidRPr="008A5F96" w:rsidRDefault="00FF2998" w:rsidP="00A86DE4">
      <w:pPr>
        <w:pStyle w:val="ItadNormalTextBold"/>
        <w:rPr>
          <w:lang w:eastAsia="en-GB"/>
        </w:rPr>
      </w:pPr>
      <w:r w:rsidRPr="008A5F96">
        <w:rPr>
          <w:lang w:eastAsia="en-GB"/>
        </w:rPr>
        <w:t>Internal coherence</w:t>
      </w:r>
    </w:p>
    <w:p w14:paraId="671CD55E" w14:textId="0B2272D2" w:rsidR="00FF2998" w:rsidRPr="008343D7" w:rsidRDefault="1065C9FF" w:rsidP="001C1B63">
      <w:pPr>
        <w:pStyle w:val="ItadNormalText"/>
        <w:rPr>
          <w:rFonts w:cs="Calibri"/>
        </w:rPr>
      </w:pPr>
      <w:bookmarkStart w:id="390" w:name="_Hlk136505864"/>
      <w:bookmarkStart w:id="391" w:name="_Hlk129344248"/>
      <w:r w:rsidRPr="4EF651D4">
        <w:rPr>
          <w:rFonts w:eastAsia="Calibri"/>
          <w:b/>
          <w:bCs/>
        </w:rPr>
        <w:t xml:space="preserve">The model also </w:t>
      </w:r>
      <w:r w:rsidR="4BD3A707" w:rsidRPr="4EF651D4">
        <w:rPr>
          <w:rFonts w:eastAsia="Calibri"/>
          <w:b/>
          <w:bCs/>
        </w:rPr>
        <w:t>create</w:t>
      </w:r>
      <w:r w:rsidR="4069036F" w:rsidRPr="4EF651D4">
        <w:rPr>
          <w:rFonts w:eastAsia="Calibri"/>
          <w:b/>
          <w:bCs/>
        </w:rPr>
        <w:t>d</w:t>
      </w:r>
      <w:r w:rsidR="4BD3A707" w:rsidRPr="4EF651D4">
        <w:rPr>
          <w:rFonts w:eastAsia="Calibri"/>
          <w:b/>
          <w:bCs/>
        </w:rPr>
        <w:t xml:space="preserve"> challenges in terms of delivering internal coherence between CGs, RGs and Fellowships, with internal coherence found to be strong in </w:t>
      </w:r>
      <w:r w:rsidR="43D53B93" w:rsidRPr="4EF651D4">
        <w:rPr>
          <w:rFonts w:eastAsia="Calibri"/>
          <w:b/>
          <w:bCs/>
        </w:rPr>
        <w:t>seven</w:t>
      </w:r>
      <w:r w:rsidR="4BD3A707" w:rsidRPr="4EF651D4">
        <w:rPr>
          <w:rFonts w:eastAsia="Calibri"/>
          <w:b/>
          <w:bCs/>
        </w:rPr>
        <w:t xml:space="preserve"> countries, medium in </w:t>
      </w:r>
      <w:r w:rsidR="43D53B93" w:rsidRPr="4EF651D4">
        <w:rPr>
          <w:rFonts w:eastAsia="Calibri"/>
          <w:b/>
          <w:bCs/>
        </w:rPr>
        <w:t xml:space="preserve">seven </w:t>
      </w:r>
      <w:r w:rsidR="4BD3A707" w:rsidRPr="4EF651D4">
        <w:rPr>
          <w:rFonts w:eastAsia="Calibri"/>
          <w:b/>
          <w:bCs/>
        </w:rPr>
        <w:t>others</w:t>
      </w:r>
      <w:r w:rsidR="09AF7FDF" w:rsidRPr="4EF651D4">
        <w:rPr>
          <w:rFonts w:eastAsia="Calibri"/>
          <w:b/>
          <w:bCs/>
        </w:rPr>
        <w:t>,</w:t>
      </w:r>
      <w:r w:rsidR="4BD3A707" w:rsidRPr="4EF651D4">
        <w:rPr>
          <w:rFonts w:eastAsia="Calibri"/>
          <w:b/>
          <w:bCs/>
        </w:rPr>
        <w:t xml:space="preserve"> and poor in the remaining two. </w:t>
      </w:r>
      <w:r w:rsidR="30824B2B" w:rsidRPr="4EF651D4">
        <w:rPr>
          <w:rFonts w:eastAsia="Calibri"/>
        </w:rPr>
        <w:t xml:space="preserve">As </w:t>
      </w:r>
      <w:r w:rsidR="3768BC21" w:rsidRPr="4EF651D4">
        <w:rPr>
          <w:rFonts w:eastAsia="Calibri"/>
        </w:rPr>
        <w:t xml:space="preserve">already </w:t>
      </w:r>
      <w:r w:rsidR="30824B2B" w:rsidRPr="4EF651D4">
        <w:rPr>
          <w:rFonts w:eastAsia="Calibri"/>
        </w:rPr>
        <w:t>highlighted under efficiency</w:t>
      </w:r>
      <w:r w:rsidR="3768BC21" w:rsidRPr="4EF651D4">
        <w:rPr>
          <w:rFonts w:eastAsia="Calibri"/>
        </w:rPr>
        <w:t>,</w:t>
      </w:r>
      <w:r w:rsidR="1CCEB174" w:rsidRPr="4EF651D4">
        <w:rPr>
          <w:rFonts w:eastAsia="Calibri"/>
        </w:rPr>
        <w:t xml:space="preserve"> t</w:t>
      </w:r>
      <w:r w:rsidR="2D9F8495" w:rsidRPr="4EF651D4">
        <w:rPr>
          <w:rFonts w:eastAsia="Calibri"/>
        </w:rPr>
        <w:t xml:space="preserve">he Fleming Fund operational model and ecosystem are complex and </w:t>
      </w:r>
      <w:r w:rsidR="3768BC21" w:rsidRPr="4EF651D4">
        <w:rPr>
          <w:rFonts w:eastAsia="Calibri"/>
        </w:rPr>
        <w:t xml:space="preserve">achieving internal coherence in </w:t>
      </w:r>
      <w:r w:rsidR="2D9F8495" w:rsidRPr="4EF651D4">
        <w:rPr>
          <w:rFonts w:eastAsia="Calibri"/>
        </w:rPr>
        <w:t xml:space="preserve">this </w:t>
      </w:r>
      <w:r w:rsidR="3768BC21" w:rsidRPr="4EF651D4">
        <w:rPr>
          <w:rFonts w:eastAsia="Calibri"/>
        </w:rPr>
        <w:t xml:space="preserve">context has proved challenging. </w:t>
      </w:r>
      <w:r w:rsidR="3A22C28C" w:rsidRPr="4EF651D4">
        <w:rPr>
          <w:rFonts w:eastAsia="Calibri"/>
        </w:rPr>
        <w:t xml:space="preserve">Based on our cross-country analysis </w:t>
      </w:r>
      <w:r w:rsidR="279FA2D1" w:rsidRPr="4EF651D4">
        <w:rPr>
          <w:rFonts w:eastAsia="Calibri"/>
        </w:rPr>
        <w:t xml:space="preserve">of findings generated through our </w:t>
      </w:r>
      <w:r w:rsidR="1A9222EC" w:rsidRPr="4EF651D4">
        <w:rPr>
          <w:rFonts w:eastAsia="Calibri"/>
        </w:rPr>
        <w:t>third round of country</w:t>
      </w:r>
      <w:r w:rsidR="279FA2D1" w:rsidRPr="4EF651D4">
        <w:rPr>
          <w:rFonts w:eastAsia="Calibri"/>
        </w:rPr>
        <w:t xml:space="preserve"> </w:t>
      </w:r>
      <w:r w:rsidR="1A9222EC" w:rsidRPr="4EF651D4">
        <w:rPr>
          <w:rFonts w:eastAsia="Calibri"/>
        </w:rPr>
        <w:t>-level data collection (presented in Vol. II, Annex 24),</w:t>
      </w:r>
      <w:r w:rsidR="279FA2D1" w:rsidRPr="4EF651D4">
        <w:rPr>
          <w:rFonts w:eastAsia="Calibri"/>
        </w:rPr>
        <w:t xml:space="preserve"> </w:t>
      </w:r>
      <w:r w:rsidR="1A9222EC" w:rsidRPr="4EF651D4">
        <w:rPr>
          <w:rFonts w:eastAsia="Calibri"/>
        </w:rPr>
        <w:t>internal coherence was rated as strong</w:t>
      </w:r>
      <w:r w:rsidR="3A22C28C" w:rsidRPr="4EF651D4">
        <w:rPr>
          <w:rFonts w:eastAsia="Calibri"/>
        </w:rPr>
        <w:t xml:space="preserve"> </w:t>
      </w:r>
      <w:r w:rsidR="4BD3A707" w:rsidRPr="4EF651D4">
        <w:rPr>
          <w:rFonts w:eastAsia="Calibri"/>
        </w:rPr>
        <w:t>in seven of the 16 countries</w:t>
      </w:r>
      <w:r w:rsidR="5DAB0519" w:rsidRPr="4EF651D4">
        <w:rPr>
          <w:rFonts w:eastAsia="Calibri"/>
        </w:rPr>
        <w:t xml:space="preserve"> </w:t>
      </w:r>
      <w:r w:rsidR="1E820016" w:rsidRPr="4EF651D4">
        <w:rPr>
          <w:rFonts w:eastAsia="Calibri"/>
        </w:rPr>
        <w:t xml:space="preserve">, medium </w:t>
      </w:r>
      <w:r w:rsidR="4BD3A707" w:rsidRPr="4EF651D4">
        <w:rPr>
          <w:rFonts w:eastAsia="Calibri"/>
        </w:rPr>
        <w:t>in another seven</w:t>
      </w:r>
      <w:r w:rsidR="693C2117" w:rsidRPr="4EF651D4">
        <w:rPr>
          <w:rFonts w:eastAsia="Calibri"/>
        </w:rPr>
        <w:t xml:space="preserve"> </w:t>
      </w:r>
      <w:r w:rsidR="4BD3A707">
        <w:t>, and as poor in the remaining two</w:t>
      </w:r>
      <w:r w:rsidR="693C2117">
        <w:t xml:space="preserve"> </w:t>
      </w:r>
      <w:r w:rsidR="4BD3A707">
        <w:t>. Collaboration and alignment seem to have worked better between some RGs and CGs with multiple examples of joint activities and avoiding duplications, although awareness of RGs at the country level remains sometimes low. Collaboration and alignment between Fellowships and CGs appear to have been more problematic</w:t>
      </w:r>
      <w:r w:rsidR="36541759">
        <w:t>,</w:t>
      </w:r>
      <w:r w:rsidR="4BD3A707">
        <w:t xml:space="preserve"> with Fellowships and CGs sometimes happening </w:t>
      </w:r>
      <w:r w:rsidR="12EABA28">
        <w:t>‘</w:t>
      </w:r>
      <w:r w:rsidR="4BD3A707">
        <w:t>in parallel</w:t>
      </w:r>
      <w:r w:rsidR="12EABA28">
        <w:t>’</w:t>
      </w:r>
      <w:r w:rsidR="4BD3A707">
        <w:t xml:space="preserve">. </w:t>
      </w:r>
      <w:r w:rsidR="5B42CA18">
        <w:t>Evidence from our country</w:t>
      </w:r>
      <w:r w:rsidR="325FB4D4">
        <w:t>-</w:t>
      </w:r>
      <w:r w:rsidR="5B42CA18">
        <w:t>level data collection shows that i</w:t>
      </w:r>
      <w:r w:rsidR="4BD3A707">
        <w:t>n-country awareness of/interactions with Global Projects was also reported as low.</w:t>
      </w:r>
    </w:p>
    <w:p w14:paraId="5832728E" w14:textId="1E3D9C70" w:rsidR="00FF2998" w:rsidRPr="008343D7" w:rsidRDefault="4BD3A707" w:rsidP="001C1B63">
      <w:pPr>
        <w:pStyle w:val="ItadNormalText"/>
      </w:pPr>
      <w:r>
        <w:rPr>
          <w:b/>
          <w:bCs/>
        </w:rPr>
        <w:t>Challenges in a</w:t>
      </w:r>
      <w:r w:rsidRPr="008343D7">
        <w:rPr>
          <w:b/>
          <w:bCs/>
        </w:rPr>
        <w:t>chieving internal coherence ha</w:t>
      </w:r>
      <w:r>
        <w:rPr>
          <w:b/>
          <w:bCs/>
        </w:rPr>
        <w:t>ve</w:t>
      </w:r>
      <w:r w:rsidRPr="008343D7">
        <w:rPr>
          <w:b/>
          <w:bCs/>
        </w:rPr>
        <w:t xml:space="preserve"> been compounded by </w:t>
      </w:r>
      <w:r w:rsidR="53E4AC43" w:rsidRPr="008343D7">
        <w:rPr>
          <w:b/>
          <w:bCs/>
        </w:rPr>
        <w:t>several</w:t>
      </w:r>
      <w:r w:rsidRPr="008343D7">
        <w:rPr>
          <w:b/>
          <w:bCs/>
        </w:rPr>
        <w:t xml:space="preserve"> design, management and contextual factors</w:t>
      </w:r>
      <w:r w:rsidRPr="008343D7">
        <w:t xml:space="preserve">. </w:t>
      </w:r>
      <w:r w:rsidR="59516A12">
        <w:t>Based on evidence from country</w:t>
      </w:r>
      <w:r w:rsidR="6A8FAC89">
        <w:t xml:space="preserve"> as well as global</w:t>
      </w:r>
      <w:r w:rsidR="37988872">
        <w:t>-level</w:t>
      </w:r>
      <w:r w:rsidR="6A8FAC89">
        <w:t xml:space="preserve"> KIIs</w:t>
      </w:r>
      <w:r w:rsidR="34943274">
        <w:t xml:space="preserve">, as well as our observation </w:t>
      </w:r>
      <w:r w:rsidR="39E05A5B">
        <w:t>of the programme through its entire phase 1 implementation, s</w:t>
      </w:r>
      <w:r w:rsidR="325FB4D4">
        <w:t>everal</w:t>
      </w:r>
      <w:r w:rsidRPr="008343D7">
        <w:t xml:space="preserve"> design features made achieving internal coherence more difficult; these include</w:t>
      </w:r>
      <w:r w:rsidR="79660AE2">
        <w:t>:</w:t>
      </w:r>
      <w:r w:rsidRPr="008343D7">
        <w:t xml:space="preserve"> </w:t>
      </w:r>
      <w:r w:rsidR="0D29519B">
        <w:t>(</w:t>
      </w:r>
      <w:r w:rsidRPr="008343D7">
        <w:t>1) the MA</w:t>
      </w:r>
      <w:r w:rsidR="12EABA28">
        <w:t>’</w:t>
      </w:r>
      <w:r w:rsidRPr="008343D7">
        <w:t xml:space="preserve">s decision to avoid </w:t>
      </w:r>
      <w:r w:rsidR="6B13A7BD">
        <w:t>inter</w:t>
      </w:r>
      <w:r w:rsidRPr="008343D7">
        <w:t>dependencies between grants (</w:t>
      </w:r>
      <w:r w:rsidR="6B13A7BD">
        <w:t>to avoid</w:t>
      </w:r>
      <w:r w:rsidRPr="008343D7">
        <w:t xml:space="preserve"> one grant delaying the implementation of another)</w:t>
      </w:r>
      <w:r w:rsidR="3F68DE0A">
        <w:t xml:space="preserve"> which led to</w:t>
      </w:r>
      <w:r w:rsidRPr="008343D7">
        <w:t xml:space="preserve"> challenges of sequencing in grant implementation between CGs, RGs</w:t>
      </w:r>
      <w:r w:rsidR="325FB4D4">
        <w:t>,</w:t>
      </w:r>
      <w:r w:rsidRPr="008343D7">
        <w:t xml:space="preserve"> and Fellowships;</w:t>
      </w:r>
      <w:r w:rsidR="00FF2998">
        <w:rPr>
          <w:rStyle w:val="FootnoteReference"/>
          <w:rFonts w:eastAsia="Calibri"/>
        </w:rPr>
        <w:footnoteReference w:id="163"/>
      </w:r>
      <w:r w:rsidRPr="008343D7">
        <w:t xml:space="preserve"> </w:t>
      </w:r>
      <w:r w:rsidR="0D29519B">
        <w:t>(</w:t>
      </w:r>
      <w:r w:rsidR="79660AE2">
        <w:t>2</w:t>
      </w:r>
      <w:r w:rsidR="5B4391D3">
        <w:t xml:space="preserve">) </w:t>
      </w:r>
      <w:r w:rsidR="5B4391D3" w:rsidRPr="00A86DE4">
        <w:t>the fact that the Fellowships have always been conceived as individual rather than organisational capacity strengthening activities</w:t>
      </w:r>
      <w:r w:rsidR="0D29519B">
        <w:t>;</w:t>
      </w:r>
      <w:r w:rsidR="5B4391D3" w:rsidRPr="00A86DE4">
        <w:t xml:space="preserve"> </w:t>
      </w:r>
      <w:r w:rsidRPr="008343D7">
        <w:t xml:space="preserve">and </w:t>
      </w:r>
      <w:r w:rsidR="0D29519B">
        <w:t>(3</w:t>
      </w:r>
      <w:r w:rsidRPr="008343D7">
        <w:t>) the decision not to develop a country-level ToC in each country</w:t>
      </w:r>
      <w:r w:rsidR="2F96750B">
        <w:t xml:space="preserve"> to articulate how each grant was supposed</w:t>
      </w:r>
      <w:r w:rsidR="0DF00931">
        <w:t xml:space="preserve"> to contribute to </w:t>
      </w:r>
      <w:r w:rsidR="491A718E">
        <w:t>joint country-level objectives</w:t>
      </w:r>
      <w:r w:rsidRPr="008343D7">
        <w:t>. This was exacerbated by some aspects of the management of the grants portfolio</w:t>
      </w:r>
      <w:r>
        <w:t xml:space="preserve">: </w:t>
      </w:r>
      <w:r w:rsidRPr="008343D7">
        <w:t xml:space="preserve">Fellowships and RGs were managed directly by </w:t>
      </w:r>
      <w:r w:rsidR="491A718E">
        <w:t xml:space="preserve">the MA team in </w:t>
      </w:r>
      <w:r w:rsidRPr="008343D7">
        <w:t xml:space="preserve">London while CGs reported to </w:t>
      </w:r>
      <w:r w:rsidR="7415786D">
        <w:t>regional team</w:t>
      </w:r>
      <w:r w:rsidRPr="008343D7">
        <w:t>s,</w:t>
      </w:r>
      <w:r w:rsidR="00FF2998">
        <w:rPr>
          <w:rStyle w:val="FootnoteReference"/>
          <w:rFonts w:eastAsia="Calibri"/>
        </w:rPr>
        <w:footnoteReference w:id="164"/>
      </w:r>
      <w:r w:rsidRPr="008343D7">
        <w:t xml:space="preserve"> some grants</w:t>
      </w:r>
      <w:r w:rsidR="491A718E">
        <w:t xml:space="preserve"> (</w:t>
      </w:r>
      <w:r w:rsidR="4B556D99">
        <w:t xml:space="preserve">the </w:t>
      </w:r>
      <w:r w:rsidR="506EB3F1">
        <w:t>Global Projects</w:t>
      </w:r>
      <w:r w:rsidR="491A718E">
        <w:t>)</w:t>
      </w:r>
      <w:r w:rsidRPr="008343D7">
        <w:t xml:space="preserve"> were managed </w:t>
      </w:r>
      <w:r w:rsidR="0527A2E9">
        <w:t xml:space="preserve">directly </w:t>
      </w:r>
      <w:r w:rsidRPr="008343D7">
        <w:t>by the DHSC</w:t>
      </w:r>
      <w:r w:rsidR="4B556D99">
        <w:t>,</w:t>
      </w:r>
      <w:r w:rsidRPr="008343D7">
        <w:t xml:space="preserve"> which also had to contract UN agencies directly </w:t>
      </w:r>
      <w:r w:rsidR="4B556D99">
        <w:t xml:space="preserve">when these were </w:t>
      </w:r>
      <w:r w:rsidR="6E42B12A">
        <w:t xml:space="preserve">lead of CG consortia </w:t>
      </w:r>
      <w:r w:rsidRPr="008343D7">
        <w:t>(rather than the MA doing this</w:t>
      </w:r>
      <w:r w:rsidR="00FF2998" w:rsidRPr="008343D7">
        <w:rPr>
          <w:sz w:val="20"/>
          <w:szCs w:val="20"/>
          <w:vertAlign w:val="superscript"/>
        </w:rPr>
        <w:footnoteReference w:id="165"/>
      </w:r>
      <w:r w:rsidRPr="008343D7">
        <w:t>)</w:t>
      </w:r>
      <w:r>
        <w:t xml:space="preserve">; there was also </w:t>
      </w:r>
      <w:r w:rsidRPr="008343D7">
        <w:t>extensive use of sub-contracting within some CG/RG consortia</w:t>
      </w:r>
      <w:r>
        <w:t>.</w:t>
      </w:r>
      <w:r w:rsidR="00FF2998">
        <w:rPr>
          <w:rStyle w:val="FootnoteReference"/>
          <w:rFonts w:eastAsia="Calibri"/>
        </w:rPr>
        <w:footnoteReference w:id="166"/>
      </w:r>
      <w:r w:rsidRPr="008343D7">
        <w:t xml:space="preserve"> </w:t>
      </w:r>
      <w:r>
        <w:t>Furthermore</w:t>
      </w:r>
      <w:r w:rsidR="7E2CF558">
        <w:t xml:space="preserve">, </w:t>
      </w:r>
      <w:r w:rsidR="042BCB95">
        <w:t>HI</w:t>
      </w:r>
      <w:r w:rsidR="7E2CF558">
        <w:t>s</w:t>
      </w:r>
      <w:r w:rsidRPr="008343D7">
        <w:t xml:space="preserve"> </w:t>
      </w:r>
      <w:r>
        <w:t xml:space="preserve">did </w:t>
      </w:r>
      <w:r w:rsidRPr="008343D7">
        <w:t xml:space="preserve">not </w:t>
      </w:r>
      <w:r w:rsidR="325FB4D4">
        <w:t>have</w:t>
      </w:r>
      <w:r w:rsidR="325FB4D4" w:rsidRPr="008343D7">
        <w:t xml:space="preserve"> </w:t>
      </w:r>
      <w:r w:rsidRPr="008343D7">
        <w:t xml:space="preserve">direct leverage on </w:t>
      </w:r>
      <w:r w:rsidR="7E2CF558" w:rsidRPr="008343D7">
        <w:t>beneficiary institution</w:t>
      </w:r>
      <w:r w:rsidRPr="008343D7">
        <w:t>s</w:t>
      </w:r>
      <w:r w:rsidR="6E42B12A">
        <w:t xml:space="preserve"> in which Fellows w</w:t>
      </w:r>
      <w:r w:rsidR="001415BB">
        <w:t>orked</w:t>
      </w:r>
      <w:r w:rsidRPr="008343D7">
        <w:t xml:space="preserve">, and </w:t>
      </w:r>
      <w:r>
        <w:t xml:space="preserve">there was </w:t>
      </w:r>
      <w:r w:rsidR="09AF7FDF">
        <w:t xml:space="preserve">a </w:t>
      </w:r>
      <w:r w:rsidRPr="008343D7">
        <w:t xml:space="preserve">lack of clarity regarding </w:t>
      </w:r>
      <w:r>
        <w:t>whether it was the MA</w:t>
      </w:r>
      <w:r w:rsidR="12EABA28">
        <w:t>’</w:t>
      </w:r>
      <w:r w:rsidR="042BCB95">
        <w:t>s</w:t>
      </w:r>
      <w:r>
        <w:t xml:space="preserve"> or HI</w:t>
      </w:r>
      <w:r w:rsidR="12EABA28">
        <w:t>’</w:t>
      </w:r>
      <w:r>
        <w:t xml:space="preserve">s </w:t>
      </w:r>
      <w:r w:rsidRPr="008343D7">
        <w:t xml:space="preserve">responsibility to liaise with </w:t>
      </w:r>
      <w:r w:rsidR="7E2CF558" w:rsidRPr="008343D7">
        <w:t>beneficiary institutions</w:t>
      </w:r>
      <w:r w:rsidRPr="008343D7">
        <w:t xml:space="preserve">. </w:t>
      </w:r>
      <w:r>
        <w:t>These arrangements were made more complicated</w:t>
      </w:r>
      <w:r w:rsidRPr="008343D7">
        <w:t>, as described in</w:t>
      </w:r>
      <w:r w:rsidR="2A08DE59">
        <w:t xml:space="preserve"> </w:t>
      </w:r>
      <w:r w:rsidR="004B0DBF">
        <w:fldChar w:fldCharType="begin"/>
      </w:r>
      <w:r w:rsidR="004B0DBF">
        <w:instrText xml:space="preserve"> REF _Ref144719880 \h </w:instrText>
      </w:r>
      <w:r w:rsidR="004B0DBF">
        <w:fldChar w:fldCharType="separate"/>
      </w:r>
      <w:r w:rsidR="3217ECBE">
        <w:t xml:space="preserve">Box </w:t>
      </w:r>
      <w:r w:rsidR="3217ECBE">
        <w:rPr>
          <w:noProof/>
        </w:rPr>
        <w:t>6</w:t>
      </w:r>
      <w:r w:rsidR="004B0DBF">
        <w:fldChar w:fldCharType="end"/>
      </w:r>
      <w:r w:rsidRPr="008343D7">
        <w:t xml:space="preserve">, </w:t>
      </w:r>
      <w:r>
        <w:t xml:space="preserve">by operational constraints required by </w:t>
      </w:r>
      <w:r w:rsidRPr="008343D7">
        <w:t xml:space="preserve">COVID-19 </w:t>
      </w:r>
      <w:r>
        <w:t xml:space="preserve">restrictions – such as </w:t>
      </w:r>
      <w:r w:rsidRPr="008343D7">
        <w:t>the inability of many grantees</w:t>
      </w:r>
      <w:r w:rsidR="5DCE5A33">
        <w:t xml:space="preserve"> (including mentors from HIs)</w:t>
      </w:r>
      <w:r w:rsidRPr="008343D7">
        <w:t xml:space="preserve"> and the MA to travel, and the additional workload </w:t>
      </w:r>
      <w:r w:rsidR="0FF0E0D9">
        <w:t>HH</w:t>
      </w:r>
      <w:r w:rsidRPr="008343D7">
        <w:t xml:space="preserve"> Fellows had to bear due to the pandemic.</w:t>
      </w:r>
      <w:r w:rsidR="00FF2998">
        <w:rPr>
          <w:rStyle w:val="FootnoteReference"/>
          <w:rFonts w:eastAsia="Calibri"/>
        </w:rPr>
        <w:footnoteReference w:id="167"/>
      </w:r>
    </w:p>
    <w:p w14:paraId="226191A5" w14:textId="339934E6" w:rsidR="00FF2998" w:rsidRPr="008343D7" w:rsidRDefault="00FF2998" w:rsidP="001C1B63">
      <w:pPr>
        <w:pStyle w:val="ItadNormalText"/>
      </w:pPr>
      <w:r w:rsidRPr="009923FC">
        <w:rPr>
          <w:b/>
          <w:bCs/>
        </w:rPr>
        <w:t>Over the years, efforts have been made by the DHSC and the MA to increase coherence and coordination among the various partners and funding streams.</w:t>
      </w:r>
      <w:r w:rsidRPr="009923FC">
        <w:t xml:space="preserve"> The MA was not originally explicitly mandated or resourced to ensure coordination among all Fleming Fund grants at the country level, and</w:t>
      </w:r>
      <w:r w:rsidR="009923FC">
        <w:t xml:space="preserve"> </w:t>
      </w:r>
      <w:r w:rsidRPr="009923FC">
        <w:t>the DHSC was not resourced to do so</w:t>
      </w:r>
      <w:r w:rsidR="007E5703" w:rsidRPr="009923FC">
        <w:t xml:space="preserve"> either</w:t>
      </w:r>
      <w:r w:rsidRPr="009923FC">
        <w:t>. Responding to the need to strengthen coordination, the DHSC created a D</w:t>
      </w:r>
      <w:r w:rsidR="007832E3" w:rsidRPr="009923FC">
        <w:t>P</w:t>
      </w:r>
      <w:r w:rsidRPr="009923FC">
        <w:t xml:space="preserve"> Portal with key information on the activities of all grantees; and developed a portfolio-level ToC</w:t>
      </w:r>
      <w:r w:rsidRPr="008343D7">
        <w:t xml:space="preserve"> to clarify expected contributions from each Fleming Fund grantee. In 2020, at the DHSC</w:t>
      </w:r>
      <w:r w:rsidR="00AA6A7B">
        <w:t>’</w:t>
      </w:r>
      <w:r w:rsidRPr="008343D7">
        <w:t>s request, the MA country grantees started to convene regular country coordination meetings including Fleming Fund grantees and other key AMR stakeholders. According to participants and observations by the evaluation team, these proved to be a good mechanism to bring representatives of various grants together and for information sharing.</w:t>
      </w:r>
    </w:p>
    <w:p w14:paraId="141D3B8A" w14:textId="78EA2791" w:rsidR="00FF2998" w:rsidRPr="008343D7" w:rsidRDefault="00FF2998" w:rsidP="001C1B63">
      <w:pPr>
        <w:pStyle w:val="ItadNormalText"/>
      </w:pPr>
      <w:r w:rsidRPr="008343D7">
        <w:rPr>
          <w:b/>
          <w:bCs/>
        </w:rPr>
        <w:t>However, the bases for true coordination and collaboration are still missing</w:t>
      </w:r>
      <w:r w:rsidRPr="008343D7">
        <w:t xml:space="preserve">. Country coordination meetings </w:t>
      </w:r>
      <w:r w:rsidR="004D773D">
        <w:t>were</w:t>
      </w:r>
      <w:r w:rsidR="004D773D" w:rsidRPr="008343D7">
        <w:t xml:space="preserve"> </w:t>
      </w:r>
      <w:r w:rsidRPr="008343D7">
        <w:t xml:space="preserve">not in themselves sufficient to ensure internal coherence. </w:t>
      </w:r>
      <w:r w:rsidRPr="001C1B63">
        <w:t>KIs and observations by the evaluation team highlighted that these were too short, infrequent</w:t>
      </w:r>
      <w:r w:rsidR="00EB61B1" w:rsidRPr="001C1B63">
        <w:t xml:space="preserve"> (as happening on a quarterly basis)</w:t>
      </w:r>
      <w:r w:rsidR="00D77A6C" w:rsidRPr="001C1B63">
        <w:t>,</w:t>
      </w:r>
      <w:r w:rsidRPr="001C1B63">
        <w:t xml:space="preserve"> and included too many participants (and with inconsistent stakeholder participation across meetings) to consistently ensure synergies and avoid duplications.</w:t>
      </w:r>
      <w:r w:rsidRPr="008343D7">
        <w:t xml:space="preserve"> </w:t>
      </w:r>
      <w:r w:rsidR="0016768F">
        <w:t>Moreover, t</w:t>
      </w:r>
      <w:r w:rsidRPr="008343D7">
        <w:t xml:space="preserve">here </w:t>
      </w:r>
      <w:r w:rsidR="00F42A8E">
        <w:t>was</w:t>
      </w:r>
      <w:r w:rsidRPr="008343D7">
        <w:t xml:space="preserve"> no/limited joint work planning</w:t>
      </w:r>
      <w:r w:rsidR="00D16478">
        <w:t xml:space="preserve"> and only</w:t>
      </w:r>
      <w:r w:rsidRPr="008343D7">
        <w:t xml:space="preserve"> limited sharing of work</w:t>
      </w:r>
      <w:r w:rsidR="00C40B3E">
        <w:t>plans</w:t>
      </w:r>
      <w:r w:rsidRPr="008343D7">
        <w:t xml:space="preserve"> </w:t>
      </w:r>
      <w:r w:rsidR="00D16478">
        <w:t xml:space="preserve">between </w:t>
      </w:r>
      <w:r w:rsidR="00A61FF7">
        <w:t>different grants (</w:t>
      </w:r>
      <w:r w:rsidR="008129F9">
        <w:t>including Global Projects</w:t>
      </w:r>
      <w:r w:rsidR="00A61FF7">
        <w:t xml:space="preserve">) </w:t>
      </w:r>
      <w:r w:rsidR="00D16478">
        <w:t>while</w:t>
      </w:r>
      <w:r w:rsidRPr="008343D7">
        <w:t xml:space="preserve"> annual reviews </w:t>
      </w:r>
      <w:r w:rsidR="00F42A8E">
        <w:t>were</w:t>
      </w:r>
      <w:r w:rsidRPr="008343D7">
        <w:t xml:space="preserve"> happening in isolation rather than jointly measuring success against country-level objectives.</w:t>
      </w:r>
    </w:p>
    <w:p w14:paraId="4081D362" w14:textId="15767FBC" w:rsidR="00FF2998" w:rsidRPr="008343D7" w:rsidRDefault="00FF2998" w:rsidP="001C1B63">
      <w:pPr>
        <w:pStyle w:val="ItadNormalText"/>
      </w:pPr>
      <w:r w:rsidRPr="008343D7">
        <w:rPr>
          <w:b/>
          <w:bCs/>
        </w:rPr>
        <w:t xml:space="preserve">This has likely led to some missed opportunities </w:t>
      </w:r>
      <w:r>
        <w:rPr>
          <w:b/>
          <w:bCs/>
        </w:rPr>
        <w:t>to enhance synergy</w:t>
      </w:r>
      <w:r w:rsidRPr="008343D7">
        <w:rPr>
          <w:b/>
          <w:bCs/>
        </w:rPr>
        <w:t xml:space="preserve">. </w:t>
      </w:r>
      <w:r w:rsidRPr="008343D7">
        <w:t xml:space="preserve">The complex set-up and decisions just described </w:t>
      </w:r>
      <w:r w:rsidR="00F42A8E">
        <w:t>probably</w:t>
      </w:r>
      <w:r w:rsidR="00F42A8E" w:rsidRPr="008343D7">
        <w:t xml:space="preserve"> </w:t>
      </w:r>
      <w:r w:rsidRPr="008343D7">
        <w:t>led to some missed opportunities (in terms of linkages to other relevant agendas) and potential synergies/efficiencies remaining untapped. Although duplications seem to have been largely avoided, some opportunities for synergies/efficiencies also remained untapped</w:t>
      </w:r>
      <w:r w:rsidR="00F42A8E">
        <w:t>; these</w:t>
      </w:r>
      <w:r w:rsidRPr="008343D7">
        <w:t xml:space="preserve"> includ</w:t>
      </w:r>
      <w:r w:rsidR="00F42A8E">
        <w:t>ed</w:t>
      </w:r>
      <w:r w:rsidRPr="008343D7">
        <w:t>, for instance, sharing of training materials/courses/learning among H</w:t>
      </w:r>
      <w:r w:rsidR="009E31E8" w:rsidRPr="008343D7">
        <w:t>I</w:t>
      </w:r>
      <w:r w:rsidRPr="008343D7">
        <w:t>s for more joint training between different grants and for further leveraging of RGs and Fellowships to contribute to country-level objectives.</w:t>
      </w:r>
      <w:bookmarkEnd w:id="390"/>
    </w:p>
    <w:bookmarkEnd w:id="391"/>
    <w:p w14:paraId="4F971D8F" w14:textId="77777777" w:rsidR="00FF2998" w:rsidRPr="008A5F96" w:rsidRDefault="00FF2998" w:rsidP="00A86DE4">
      <w:pPr>
        <w:pStyle w:val="ItadNormalTextBold"/>
        <w:rPr>
          <w:lang w:eastAsia="en-GB"/>
        </w:rPr>
      </w:pPr>
      <w:r w:rsidRPr="008A5F96">
        <w:rPr>
          <w:lang w:eastAsia="en-GB"/>
        </w:rPr>
        <w:t>External coherence</w:t>
      </w:r>
    </w:p>
    <w:p w14:paraId="7355D14F" w14:textId="7A437976" w:rsidR="00FF2998" w:rsidRPr="008343D7" w:rsidRDefault="00FF2998" w:rsidP="001C1B63">
      <w:pPr>
        <w:pStyle w:val="ItadNormalText"/>
      </w:pPr>
      <w:bookmarkStart w:id="392" w:name="_Hlk136505800"/>
      <w:r w:rsidRPr="008343D7">
        <w:rPr>
          <w:b/>
          <w:bCs/>
        </w:rPr>
        <w:t>The MA-managed Fleming Fund investments have generally been well</w:t>
      </w:r>
      <w:r w:rsidR="00C40B3E">
        <w:rPr>
          <w:b/>
          <w:bCs/>
        </w:rPr>
        <w:t xml:space="preserve"> </w:t>
      </w:r>
      <w:r w:rsidRPr="008343D7">
        <w:rPr>
          <w:b/>
          <w:bCs/>
        </w:rPr>
        <w:t xml:space="preserve">aligned with national priorities. </w:t>
      </w:r>
      <w:r w:rsidRPr="008343D7">
        <w:t>According to evidence gathered through our country</w:t>
      </w:r>
      <w:r w:rsidR="00CF617A">
        <w:t>-</w:t>
      </w:r>
      <w:r w:rsidRPr="008343D7">
        <w:t>level data collection, in 12 out of the 16 focus countries (75%) alignment with governments</w:t>
      </w:r>
      <w:r w:rsidR="00AA6A7B">
        <w:t>’</w:t>
      </w:r>
      <w:r w:rsidRPr="008343D7">
        <w:t xml:space="preserve"> plans and priorities, and with the AMR surveillance objective in AMR NAPs, was strong, with the Fleming Fund often being the main or only funder of NAP activities. Main enablers cited by KIs for strong alignment included thorough consultations and assessments conducted by the MA during scoping and positioning activities, the alignment of grant proposals with NAPs, close collaboration/frequent meetings between the Fleming Fund Country Grantee and the government, and joint work on AMR</w:t>
      </w:r>
      <w:r w:rsidR="00E278CD">
        <w:t>-</w:t>
      </w:r>
      <w:r w:rsidRPr="008343D7">
        <w:t>related policies and plans.</w:t>
      </w:r>
    </w:p>
    <w:p w14:paraId="3E4BC626" w14:textId="2B1F374B" w:rsidR="00FF2998" w:rsidRPr="008343D7" w:rsidRDefault="4BD3A707" w:rsidP="001C1B63">
      <w:pPr>
        <w:pStyle w:val="ItadNormalText"/>
      </w:pPr>
      <w:r w:rsidRPr="008343D7">
        <w:rPr>
          <w:b/>
          <w:bCs/>
        </w:rPr>
        <w:t>On some occasions, however, alignment with government systems and long-term needs could have been stronger</w:t>
      </w:r>
      <w:r w:rsidRPr="008343D7">
        <w:t>. In four out of 16 countries (25%), alignment was rated as medium. These ratings are associated with reports of the Fleming Fund having on some occasions worked outside existing government structures , or of equipment not always being utilised/relevant/affordable after Fleming Fund support ended  or of national stakeholders not feeling complete ownership/access to the data .</w:t>
      </w:r>
      <w:r w:rsidR="00FF2998" w:rsidRPr="008343D7">
        <w:rPr>
          <w:sz w:val="20"/>
          <w:szCs w:val="20"/>
          <w:vertAlign w:val="superscript"/>
        </w:rPr>
        <w:footnoteReference w:id="168"/>
      </w:r>
      <w:r w:rsidRPr="008343D7">
        <w:t xml:space="preserve"> Limited attention to defining specific strategic outcomes or targets with national governments (beyond alignment with NAPs and agreement of request for proposals), and lack of joint reviews of performance with governments may have led to an operational focus on AMR surveillance and potentially missed opportunities to strengthen ownership and effectiveness.</w:t>
      </w:r>
    </w:p>
    <w:p w14:paraId="7BFD82C8" w14:textId="0A01888B" w:rsidR="00FF2998" w:rsidRPr="008343D7" w:rsidRDefault="4BD3A707" w:rsidP="001C1B63">
      <w:pPr>
        <w:pStyle w:val="ItadNormalText"/>
        <w:rPr>
          <w:rFonts w:cs="Calibri"/>
        </w:rPr>
      </w:pPr>
      <w:r w:rsidRPr="001C1B63">
        <w:rPr>
          <w:b/>
          <w:bCs/>
        </w:rPr>
        <w:t>External coherence</w:t>
      </w:r>
      <w:r w:rsidR="00FF2998" w:rsidRPr="001C1B63">
        <w:rPr>
          <w:b/>
          <w:bCs/>
          <w:sz w:val="20"/>
          <w:szCs w:val="20"/>
          <w:vertAlign w:val="superscript"/>
        </w:rPr>
        <w:footnoteReference w:id="169"/>
      </w:r>
      <w:r w:rsidRPr="001C1B63">
        <w:rPr>
          <w:b/>
          <w:bCs/>
        </w:rPr>
        <w:t xml:space="preserve"> between all Fleming Fund grants and other DP interventions was found to be strong in most of the focus countries.</w:t>
      </w:r>
      <w:r w:rsidRPr="008343D7">
        <w:t xml:space="preserve"> </w:t>
      </w:r>
      <w:r w:rsidRPr="00BD1EB9">
        <w:t xml:space="preserve">As shown in </w:t>
      </w:r>
      <w:r w:rsidR="521121B3" w:rsidRPr="008A5F96">
        <w:t>Vol. I</w:t>
      </w:r>
      <w:r w:rsidRPr="008A5F96">
        <w:t xml:space="preserve">I, Annex </w:t>
      </w:r>
      <w:r w:rsidR="63644DB9">
        <w:t>24</w:t>
      </w:r>
      <w:r>
        <w:t>,</w:t>
      </w:r>
      <w:r w:rsidRPr="008343D7">
        <w:t xml:space="preserve"> </w:t>
      </w:r>
      <w:r>
        <w:t>i</w:t>
      </w:r>
      <w:r w:rsidRPr="008343D7">
        <w:t xml:space="preserve">n 10 of the 16 countries (62%) external coherence was rated as strong, with good examples of collaborations and alignment with the work of other DPs, while in the other five (18%) </w:t>
      </w:r>
      <w:r w:rsidR="68B9F027">
        <w:t>–</w:t>
      </w:r>
      <w:r w:rsidRPr="008343D7">
        <w:t xml:space="preserve"> it was rated as medium. Coordination was generally reported as strong with WHO and FAO</w:t>
      </w:r>
      <w:r>
        <w:t xml:space="preserve"> country offices</w:t>
      </w:r>
      <w:r w:rsidRPr="008343D7">
        <w:t>, with some examples of collaboration around</w:t>
      </w:r>
      <w:r w:rsidR="0AD49BE6" w:rsidRPr="00A5658C">
        <w:t xml:space="preserve"> </w:t>
      </w:r>
      <w:r w:rsidR="0AD49BE6">
        <w:t>p</w:t>
      </w:r>
      <w:r w:rsidR="0AD49BE6" w:rsidRPr="00A5658C">
        <w:t xml:space="preserve">oint </w:t>
      </w:r>
      <w:r w:rsidR="0AD49BE6">
        <w:t>p</w:t>
      </w:r>
      <w:r w:rsidR="0AD49BE6" w:rsidRPr="00A5658C">
        <w:t xml:space="preserve">revalence </w:t>
      </w:r>
      <w:r w:rsidRPr="008343D7">
        <w:t>surveys. In some cases, however, communication, especially with WHO</w:t>
      </w:r>
      <w:r>
        <w:t xml:space="preserve"> country offices</w:t>
      </w:r>
      <w:r w:rsidRPr="008343D7">
        <w:t>, could have been stronger. Coordination was reported as slightly more challenging with bilateral actors such as US CDC</w:t>
      </w:r>
      <w:r w:rsidR="1B540DD6">
        <w:t>s</w:t>
      </w:r>
      <w:r w:rsidRPr="008343D7">
        <w:t xml:space="preserve"> and the United States Agency for International Development (USAID). Unsurprisingly, external coherence appears stronger when the number of players involved is more limited (e.g. Bhutan where the Fleming Fund is the only donor in this space), the same partners receive funds from multiple donors  and when they are already used/</w:t>
      </w:r>
      <w:r w:rsidR="0AE58CF0">
        <w:t xml:space="preserve"> </w:t>
      </w:r>
      <w:r w:rsidRPr="008343D7">
        <w:t>structured to coordinate themselves/are already familiar with each other .</w:t>
      </w:r>
    </w:p>
    <w:p w14:paraId="478F30D6" w14:textId="6BF0A939" w:rsidR="00FF2998" w:rsidRPr="008343D7" w:rsidRDefault="00FF2998" w:rsidP="001C1B63">
      <w:pPr>
        <w:pStyle w:val="ItadNormalText"/>
      </w:pPr>
      <w:r w:rsidRPr="008343D7">
        <w:rPr>
          <w:b/>
          <w:bCs/>
        </w:rPr>
        <w:t>External coherence and coordination are hard to achieve, more so in the AMR space</w:t>
      </w:r>
      <w:r w:rsidRPr="008343D7">
        <w:t>. Achieving external coherence depends on many factors outside of the control of one programme. Ultimately</w:t>
      </w:r>
      <w:r w:rsidR="00CB7DC7">
        <w:t>,</w:t>
      </w:r>
      <w:r w:rsidRPr="008343D7">
        <w:t xml:space="preserve"> this should be the responsibility of a strong AMRCC, although experience suggests this is not always a realistic assumption</w:t>
      </w:r>
      <w:r w:rsidRPr="008343D7">
        <w:rPr>
          <w:sz w:val="20"/>
          <w:szCs w:val="20"/>
          <w:vertAlign w:val="superscript"/>
        </w:rPr>
        <w:footnoteReference w:id="170"/>
      </w:r>
      <w:r w:rsidRPr="008343D7">
        <w:t xml:space="preserve"> (especially as some of them have not been meeting regularly, also due to the pandemic). Moreover, AMRCCs are by their nature cross-sectoral coordinating mechanisms while binding decisions are taken within each ministry.</w:t>
      </w:r>
    </w:p>
    <w:p w14:paraId="5B515716" w14:textId="77777777" w:rsidR="00FF2998" w:rsidRPr="008A5F96" w:rsidRDefault="00FF2998" w:rsidP="00C319AF">
      <w:pPr>
        <w:pStyle w:val="ItadH4"/>
      </w:pPr>
      <w:bookmarkStart w:id="393" w:name="_Toc144049410"/>
      <w:bookmarkEnd w:id="392"/>
      <w:r w:rsidRPr="008A5F96">
        <w:t>Managing for VfM</w:t>
      </w:r>
      <w:bookmarkEnd w:id="393"/>
    </w:p>
    <w:p w14:paraId="2C44BDAA" w14:textId="46B25A16" w:rsidR="00C21115" w:rsidRDefault="00C21115" w:rsidP="001C1B63">
      <w:pPr>
        <w:pStyle w:val="ItadNormalTextBold"/>
        <w:rPr>
          <w:lang w:eastAsia="en-GB"/>
        </w:rPr>
      </w:pPr>
      <w:bookmarkStart w:id="394" w:name="_Hlk136506166"/>
      <w:bookmarkStart w:id="395" w:name="_Hlk129344880"/>
      <w:r>
        <w:rPr>
          <w:lang w:eastAsia="en-GB"/>
        </w:rPr>
        <w:t>Finding 2.3.1</w:t>
      </w:r>
      <w:r w:rsidR="00FA536F">
        <w:rPr>
          <w:lang w:eastAsia="en-GB"/>
        </w:rPr>
        <w:t>2</w:t>
      </w:r>
      <w:r>
        <w:rPr>
          <w:lang w:eastAsia="en-GB"/>
        </w:rPr>
        <w:t xml:space="preserve">: </w:t>
      </w:r>
      <w:r w:rsidRPr="00C21115">
        <w:rPr>
          <w:lang w:eastAsia="en-GB"/>
        </w:rPr>
        <w:t>The approach taken by DHSC and the MA to VfM generally aligns with FCDO and ICAI guidance. Overall, there are strong systems in place to manage economy and efficiency. However, the Fleming Fund has been weaker at establishing systems managing for effectiveness. In spite of some existing and planned adaptations to strengthen in this area, and Fleming Fund experience is not uncommon compared with other equivalent programmes, this is a key strategic requirement for phase 2.</w:t>
      </w:r>
    </w:p>
    <w:p w14:paraId="5A86BC8F" w14:textId="329CCC3D" w:rsidR="00FF2998" w:rsidRPr="008343D7" w:rsidRDefault="00FF2998" w:rsidP="001C1B63">
      <w:pPr>
        <w:pStyle w:val="ItadNormalText"/>
        <w:rPr>
          <w:lang w:eastAsia="en-GB"/>
        </w:rPr>
      </w:pPr>
      <w:r w:rsidRPr="001C1B63">
        <w:rPr>
          <w:b/>
          <w:bCs/>
          <w:lang w:eastAsia="en-GB"/>
        </w:rPr>
        <w:t>The approach taken by the DHSC and the MA to VfM generally aligns with FCDO</w:t>
      </w:r>
      <w:r w:rsidRPr="001C1B63">
        <w:rPr>
          <w:b/>
          <w:bCs/>
          <w:sz w:val="20"/>
          <w:szCs w:val="20"/>
          <w:vertAlign w:val="superscript"/>
          <w:lang w:eastAsia="en-GB"/>
        </w:rPr>
        <w:footnoteReference w:id="171"/>
      </w:r>
      <w:r w:rsidRPr="001C1B63">
        <w:rPr>
          <w:b/>
          <w:bCs/>
          <w:lang w:eastAsia="en-GB"/>
        </w:rPr>
        <w:t xml:space="preserve"> and ICAI</w:t>
      </w:r>
      <w:r w:rsidRPr="001C1B63">
        <w:rPr>
          <w:b/>
          <w:bCs/>
          <w:sz w:val="20"/>
          <w:szCs w:val="20"/>
          <w:vertAlign w:val="superscript"/>
          <w:lang w:eastAsia="en-GB"/>
        </w:rPr>
        <w:footnoteReference w:id="172"/>
      </w:r>
      <w:r w:rsidRPr="001C1B63">
        <w:rPr>
          <w:b/>
          <w:bCs/>
          <w:lang w:eastAsia="en-GB"/>
        </w:rPr>
        <w:t xml:space="preserve"> guidance for efficiency and economy but less so for effectiveness.</w:t>
      </w:r>
      <w:r w:rsidRPr="008343D7">
        <w:rPr>
          <w:lang w:eastAsia="en-GB"/>
        </w:rPr>
        <w:t xml:space="preserve"> This entails embedding VfM considerations into management processes and establishing metrics to track performance.</w:t>
      </w:r>
    </w:p>
    <w:p w14:paraId="7DFCA46B" w14:textId="00C391EC" w:rsidR="00FF2998" w:rsidRPr="008343D7" w:rsidRDefault="00FF2998" w:rsidP="001C1B63">
      <w:pPr>
        <w:pStyle w:val="ItadNormalText"/>
      </w:pPr>
      <w:r w:rsidRPr="008343D7">
        <w:rPr>
          <w:b/>
        </w:rPr>
        <w:t>Overall, there are strong systems in place to manage economy and efficiency.</w:t>
      </w:r>
      <w:r w:rsidRPr="008343D7">
        <w:t xml:space="preserve"> This is evidenced by performance against VfM measures reported above and in VfM grant reviews. The MA has put in place processes to manage economy and efficiency of activity implementation. This means savings have been made at the set-up (e.g. contract negotiations) and implementation stages through routine review of unit costs and expenditures. Some grantees noted these processes were burdensome and others describe them as expected for this type of grant. By setting up standard processes which are suitable for a range of grantees (government, non-government, commercial contractors), the MA has provided some assurances on the use of resources. However, this leads to some constraints including on adaptive management at the output and outcome levels. Grant activities have been planned, reviewed, revised and completed with support provided by the </w:t>
      </w:r>
      <w:r w:rsidR="002944F0">
        <w:t>regional team</w:t>
      </w:r>
      <w:r w:rsidRPr="008343D7">
        <w:t>s. Whil</w:t>
      </w:r>
      <w:r w:rsidR="000C2D5D">
        <w:t>e</w:t>
      </w:r>
      <w:r w:rsidRPr="008343D7">
        <w:t xml:space="preserve"> there have been delays in implementation (as discussed in section </w:t>
      </w:r>
      <w:r w:rsidRPr="008343D7">
        <w:fldChar w:fldCharType="begin"/>
      </w:r>
      <w:r w:rsidRPr="008343D7">
        <w:instrText xml:space="preserve"> REF _Ref118235496 \r \h  \* MERGEFORMAT </w:instrText>
      </w:r>
      <w:r w:rsidRPr="008343D7">
        <w:fldChar w:fldCharType="separate"/>
      </w:r>
      <w:r w:rsidR="00CF617A">
        <w:t>1.4</w:t>
      </w:r>
      <w:r w:rsidRPr="008343D7">
        <w:fldChar w:fldCharType="end"/>
      </w:r>
      <w:r w:rsidRPr="008343D7">
        <w:t xml:space="preserve">), budgets have been reprogrammed with 39 no-cost extensions agreed </w:t>
      </w:r>
      <w:r w:rsidR="00CF617A">
        <w:t xml:space="preserve">upon </w:t>
      </w:r>
      <w:r w:rsidRPr="008343D7">
        <w:t>in CGs and RGs.</w:t>
      </w:r>
      <w:r w:rsidRPr="008343D7">
        <w:rPr>
          <w:sz w:val="20"/>
          <w:szCs w:val="20"/>
          <w:vertAlign w:val="superscript"/>
        </w:rPr>
        <w:footnoteReference w:id="173"/>
      </w:r>
    </w:p>
    <w:p w14:paraId="603CA158" w14:textId="5BB12FFC" w:rsidR="00FF2998" w:rsidRPr="008343D7" w:rsidRDefault="00FF2998" w:rsidP="001C1B63">
      <w:pPr>
        <w:pStyle w:val="ItadNormalText"/>
        <w:rPr>
          <w:rFonts w:ascii="Calibri Light" w:eastAsia="Times New Roman" w:hAnsi="Calibri Light" w:cs="Times New Roman"/>
          <w:lang w:eastAsia="en-GB"/>
        </w:rPr>
      </w:pPr>
      <w:bookmarkStart w:id="396" w:name="_Hlk136506250"/>
      <w:bookmarkEnd w:id="394"/>
      <w:r w:rsidRPr="001C1B63">
        <w:rPr>
          <w:b/>
          <w:bCs/>
        </w:rPr>
        <w:t>However, the Fleming Fund has been weaker at establishing systems for managing for effectiveness, despite some existing and planned adaptations to strengthen this area.</w:t>
      </w:r>
      <w:r w:rsidR="00DC1D8D" w:rsidRPr="001C1B63">
        <w:rPr>
          <w:b/>
          <w:bCs/>
        </w:rPr>
        <w:t xml:space="preserve"> </w:t>
      </w:r>
      <w:r w:rsidRPr="001C1B63">
        <w:rPr>
          <w:b/>
          <w:bCs/>
        </w:rPr>
        <w:t>Fleming Fund experience is not uncommon when compared with other equivalent programmes.</w:t>
      </w:r>
      <w:r w:rsidRPr="00CF617A">
        <w:t xml:space="preserve"> </w:t>
      </w:r>
      <w:r w:rsidRPr="008343D7">
        <w:t xml:space="preserve">During the early stages of implementation, the evaluation </w:t>
      </w:r>
      <w:r>
        <w:t xml:space="preserve">supplier </w:t>
      </w:r>
      <w:r w:rsidRPr="008343D7">
        <w:t>highlighted issues related to how the programme had been set up to manage for results at the (intermediate) outcome level.</w:t>
      </w:r>
      <w:r w:rsidRPr="008343D7">
        <w:rPr>
          <w:sz w:val="20"/>
          <w:szCs w:val="20"/>
          <w:vertAlign w:val="superscript"/>
        </w:rPr>
        <w:footnoteReference w:id="174"/>
      </w:r>
      <w:r w:rsidRPr="008343D7">
        <w:t xml:space="preserve"> This </w:t>
      </w:r>
      <w:r>
        <w:t xml:space="preserve">gap </w:t>
      </w:r>
      <w:r w:rsidRPr="008343D7">
        <w:t>has been a recurring theme throughout the evaluation and has formed a key part of learning and adaptation in relation to VfM. Several steps have been taken during implementation to address these issues. The MA undertook a VfM Deep Dive into Managing for Effectiveness in 2020 which identified the mechanisms in place (formal and informal) to manage for results and made a series of recommendations for how to strengthen this area. Whil</w:t>
      </w:r>
      <w:r w:rsidR="000C2D5D">
        <w:t>e</w:t>
      </w:r>
      <w:r w:rsidRPr="008343D7">
        <w:t xml:space="preserve"> many of these recommendations have not been addressed during </w:t>
      </w:r>
      <w:r w:rsidR="00222C91">
        <w:t>phase 1</w:t>
      </w:r>
      <w:r w:rsidRPr="008343D7">
        <w:t xml:space="preserve">, some are being considered for implementation in </w:t>
      </w:r>
      <w:r w:rsidR="00AD1BE7">
        <w:t>phase 2</w:t>
      </w:r>
      <w:r w:rsidRPr="008343D7">
        <w:t xml:space="preserve">, e.g. agreeing on output level indicators, focusing monitoring at the output (rather than activity) level, and formalising a </w:t>
      </w:r>
      <w:r w:rsidR="00C85D05" w:rsidRPr="008343D7">
        <w:t>monitoring, evaluation</w:t>
      </w:r>
      <w:r w:rsidR="00C85D05">
        <w:t>,</w:t>
      </w:r>
      <w:r w:rsidR="00C85D05" w:rsidRPr="008343D7">
        <w:t xml:space="preserve"> and learning</w:t>
      </w:r>
      <w:r w:rsidRPr="008343D7">
        <w:t xml:space="preserve"> strategy. </w:t>
      </w:r>
      <w:r w:rsidR="00D77A6C" w:rsidRPr="008343D7">
        <w:t>Other</w:t>
      </w:r>
      <w:r w:rsidRPr="008343D7">
        <w:t xml:space="preserve"> recommendations have not yet been implemented </w:t>
      </w:r>
      <w:r w:rsidR="006F7AB1">
        <w:t>that</w:t>
      </w:r>
      <w:r w:rsidR="006F7AB1" w:rsidRPr="008343D7">
        <w:t xml:space="preserve"> </w:t>
      </w:r>
      <w:r w:rsidRPr="008343D7">
        <w:t>would strengthen the MA</w:t>
      </w:r>
      <w:r w:rsidR="00AA6A7B">
        <w:t>’</w:t>
      </w:r>
      <w:r w:rsidRPr="008343D7">
        <w:t xml:space="preserve">s approach to tracking and delivering VfM, such as an output quality review framework to ensure a standard approach across grants; and including outputs within the grants for government commitments/budgeting for the procurement of reagents, consumables and maintenance and implementing (see </w:t>
      </w:r>
      <w:r w:rsidR="00C85D05">
        <w:t xml:space="preserve">Vol. II </w:t>
      </w:r>
      <w:r w:rsidRPr="008343D7">
        <w:t>Annex 6 for more details). The Managing for Effectiveness VfM Review also included a review of progress through the ToC in four case study countries</w:t>
      </w:r>
      <w:r w:rsidR="00C85D05">
        <w:t>,</w:t>
      </w:r>
      <w:r w:rsidRPr="008343D7">
        <w:t xml:space="preserve"> which presented performance on outputs and quality of outputs in a level of detail not seen in the quarterly and annual reviews.</w:t>
      </w:r>
      <w:bookmarkEnd w:id="396"/>
    </w:p>
    <w:bookmarkEnd w:id="395"/>
    <w:p w14:paraId="11068C35" w14:textId="77777777" w:rsidR="00FF2998" w:rsidRPr="008343D7" w:rsidRDefault="00FF2998" w:rsidP="00FF2998">
      <w:pPr>
        <w:tabs>
          <w:tab w:val="left" w:pos="1418"/>
        </w:tabs>
        <w:spacing w:before="120" w:after="120"/>
        <w:rPr>
          <w:rFonts w:eastAsia="Calibri"/>
          <w:color w:val="3B3B3C"/>
        </w:rPr>
      </w:pPr>
    </w:p>
    <w:p w14:paraId="433D7B8F" w14:textId="77777777" w:rsidR="00FF2998" w:rsidRPr="008343D7" w:rsidRDefault="00FF2998" w:rsidP="00FF2998">
      <w:pPr>
        <w:rPr>
          <w:rFonts w:ascii="Calibri Light" w:eastAsia="Times New Roman" w:hAnsi="Calibri Light" w:cs="Times New Roman"/>
          <w:color w:val="665F2D"/>
          <w:lang w:eastAsia="en-GB"/>
        </w:rPr>
      </w:pPr>
      <w:r w:rsidRPr="008343D7">
        <w:rPr>
          <w:rFonts w:eastAsia="Times New Roman"/>
          <w:lang w:eastAsia="en-GB"/>
        </w:rPr>
        <w:br w:type="page"/>
      </w:r>
    </w:p>
    <w:p w14:paraId="28BA0088" w14:textId="445412BB" w:rsidR="00FF2998" w:rsidRPr="008343D7" w:rsidRDefault="00FF2998" w:rsidP="008A5F96">
      <w:pPr>
        <w:pStyle w:val="ItadH1Numbered"/>
      </w:pPr>
      <w:bookmarkStart w:id="397" w:name="_Ref129083782"/>
      <w:bookmarkStart w:id="398" w:name="_Toc144715825"/>
      <w:r w:rsidRPr="0001101B">
        <w:t>Conclusions</w:t>
      </w:r>
      <w:bookmarkEnd w:id="397"/>
      <w:bookmarkEnd w:id="398"/>
    </w:p>
    <w:p w14:paraId="02B3243F" w14:textId="628E8A3E" w:rsidR="00FF2998" w:rsidRDefault="00FF2998" w:rsidP="008A5F96">
      <w:pPr>
        <w:pStyle w:val="ItadNormalText"/>
        <w:rPr>
          <w:noProof/>
          <w:lang w:eastAsia="en-GB"/>
        </w:rPr>
      </w:pPr>
      <w:bookmarkStart w:id="399" w:name="_Hlk129345471"/>
      <w:r w:rsidRPr="008343D7">
        <w:rPr>
          <w:noProof/>
          <w:lang w:eastAsia="en-GB"/>
        </w:rPr>
        <w:t>Conclusions focus on the strengths and weaknesses of a programme in meeting its objectives. I</w:t>
      </w:r>
      <w:r>
        <w:rPr>
          <w:noProof/>
          <w:lang w:eastAsia="en-GB"/>
        </w:rPr>
        <w:t xml:space="preserve">n the absence of a clear articulation in </w:t>
      </w:r>
      <w:r w:rsidR="00222C91">
        <w:rPr>
          <w:noProof/>
          <w:lang w:eastAsia="en-GB"/>
        </w:rPr>
        <w:t>phase 1</w:t>
      </w:r>
      <w:r>
        <w:rPr>
          <w:noProof/>
          <w:lang w:eastAsia="en-GB"/>
        </w:rPr>
        <w:t xml:space="preserve">, we have used those </w:t>
      </w:r>
      <w:r w:rsidRPr="008343D7">
        <w:rPr>
          <w:noProof/>
          <w:lang w:eastAsia="en-GB"/>
        </w:rPr>
        <w:t xml:space="preserve">from the </w:t>
      </w:r>
      <w:r w:rsidR="00AD1BE7">
        <w:rPr>
          <w:noProof/>
          <w:lang w:eastAsia="en-GB"/>
        </w:rPr>
        <w:t>phase 2</w:t>
      </w:r>
      <w:r w:rsidRPr="008343D7">
        <w:rPr>
          <w:noProof/>
          <w:lang w:eastAsia="en-GB"/>
        </w:rPr>
        <w:t xml:space="preserve"> </w:t>
      </w:r>
      <w:r w:rsidR="00007676">
        <w:rPr>
          <w:noProof/>
          <w:lang w:eastAsia="en-GB"/>
        </w:rPr>
        <w:t>B</w:t>
      </w:r>
      <w:r w:rsidRPr="008343D7">
        <w:rPr>
          <w:noProof/>
          <w:lang w:eastAsia="en-GB"/>
        </w:rPr>
        <w:t xml:space="preserve">usiness </w:t>
      </w:r>
      <w:r w:rsidR="00007676">
        <w:rPr>
          <w:noProof/>
          <w:lang w:eastAsia="en-GB"/>
        </w:rPr>
        <w:t>C</w:t>
      </w:r>
      <w:r w:rsidRPr="008343D7">
        <w:rPr>
          <w:noProof/>
          <w:lang w:eastAsia="en-GB"/>
        </w:rPr>
        <w:t xml:space="preserve">ase </w:t>
      </w:r>
      <w:r>
        <w:rPr>
          <w:noProof/>
          <w:lang w:eastAsia="en-GB"/>
        </w:rPr>
        <w:t>where</w:t>
      </w:r>
      <w:r w:rsidRPr="008343D7">
        <w:rPr>
          <w:noProof/>
          <w:lang w:eastAsia="en-GB"/>
        </w:rPr>
        <w:t xml:space="preserve"> the Fleming Fund</w:t>
      </w:r>
      <w:r w:rsidR="00AA6A7B">
        <w:rPr>
          <w:noProof/>
          <w:lang w:eastAsia="en-GB"/>
        </w:rPr>
        <w:t>’</w:t>
      </w:r>
      <w:r w:rsidRPr="008343D7">
        <w:rPr>
          <w:noProof/>
          <w:lang w:eastAsia="en-GB"/>
        </w:rPr>
        <w:t xml:space="preserve">s higher-level objectives are defined in terms of HH goals. Objectives related to AH and One Health are </w:t>
      </w:r>
      <w:r>
        <w:rPr>
          <w:noProof/>
          <w:lang w:eastAsia="en-GB"/>
        </w:rPr>
        <w:t xml:space="preserve">defined as </w:t>
      </w:r>
      <w:r w:rsidRPr="008343D7">
        <w:rPr>
          <w:noProof/>
          <w:lang w:eastAsia="en-GB"/>
        </w:rPr>
        <w:t>a means to achieving objectives related to HH.</w:t>
      </w:r>
    </w:p>
    <w:p w14:paraId="2D823943" w14:textId="50EAFCB4" w:rsidR="00FF2998" w:rsidRPr="008343D7" w:rsidRDefault="00BD62A3" w:rsidP="008A5F96">
      <w:pPr>
        <w:pStyle w:val="ItadNormalText"/>
        <w:rPr>
          <w:noProof/>
          <w:lang w:eastAsia="en-GB"/>
        </w:rPr>
      </w:pPr>
      <w:r>
        <w:rPr>
          <w:noProof/>
          <w:lang w:eastAsia="en-GB"/>
        </w:rPr>
        <w:t xml:space="preserve">Phase </w:t>
      </w:r>
      <w:r w:rsidR="00222C91">
        <w:rPr>
          <w:noProof/>
          <w:lang w:eastAsia="en-GB"/>
        </w:rPr>
        <w:t>1</w:t>
      </w:r>
      <w:r w:rsidR="00FF2998">
        <w:rPr>
          <w:noProof/>
          <w:lang w:eastAsia="en-GB"/>
        </w:rPr>
        <w:t xml:space="preserve"> </w:t>
      </w:r>
      <w:r w:rsidR="00FF2998" w:rsidRPr="008343D7">
        <w:rPr>
          <w:noProof/>
          <w:lang w:eastAsia="en-GB"/>
        </w:rPr>
        <w:t xml:space="preserve">has mainly focused on supporting 23 LMICs to develop and sustain national programmes for the surveillance of AMR and </w:t>
      </w:r>
      <w:r w:rsidR="000C2D5D">
        <w:rPr>
          <w:noProof/>
          <w:lang w:eastAsia="en-GB"/>
        </w:rPr>
        <w:t>AMU</w:t>
      </w:r>
      <w:r w:rsidR="00FF2998" w:rsidRPr="008343D7">
        <w:rPr>
          <w:noProof/>
          <w:lang w:eastAsia="en-GB"/>
        </w:rPr>
        <w:t>. Findings related to the challenge of contributing to higher-level objectives have mostly fallen under findings related to data use. As discussed earlier in the report, the findings above have mainly been focused on what has happened in the first phase of the Fleming Fund in 16 out of 23 countries. Whil</w:t>
      </w:r>
      <w:r w:rsidR="000C2D5D">
        <w:rPr>
          <w:noProof/>
          <w:lang w:eastAsia="en-GB"/>
        </w:rPr>
        <w:t>e</w:t>
      </w:r>
      <w:r w:rsidR="00FF2998" w:rsidRPr="008343D7">
        <w:rPr>
          <w:noProof/>
          <w:lang w:eastAsia="en-GB"/>
        </w:rPr>
        <w:t xml:space="preserve"> specifics may vary in the remaining seven countries, where we did not collect data due to a combination of the level of resources available to the evaluation and status of implementation and likely observable results, we are confident that their exclusion has not significantly affected the robustness of the conclusions below.</w:t>
      </w:r>
    </w:p>
    <w:p w14:paraId="77DB97E8" w14:textId="6CC9B0D1" w:rsidR="00FF2998" w:rsidRPr="008343D7" w:rsidRDefault="00FF2998" w:rsidP="008A5F96">
      <w:pPr>
        <w:pStyle w:val="ItadNormalText"/>
        <w:rPr>
          <w:noProof/>
          <w:lang w:eastAsia="en-GB"/>
        </w:rPr>
      </w:pPr>
      <w:r w:rsidRPr="008343D7">
        <w:rPr>
          <w:noProof/>
          <w:lang w:eastAsia="en-GB"/>
        </w:rPr>
        <w:t>We present two groups of conclusions</w:t>
      </w:r>
      <w:r w:rsidR="005450AC">
        <w:rPr>
          <w:noProof/>
          <w:lang w:eastAsia="en-GB"/>
        </w:rPr>
        <w:t>:</w:t>
      </w:r>
      <w:r w:rsidRPr="008343D7">
        <w:rPr>
          <w:noProof/>
          <w:lang w:eastAsia="en-GB"/>
        </w:rPr>
        <w:t xml:space="preserve"> </w:t>
      </w:r>
      <w:r w:rsidR="005450AC">
        <w:rPr>
          <w:noProof/>
          <w:lang w:eastAsia="en-GB"/>
        </w:rPr>
        <w:t>(</w:t>
      </w:r>
      <w:r w:rsidRPr="008343D7">
        <w:rPr>
          <w:noProof/>
          <w:lang w:eastAsia="en-GB"/>
        </w:rPr>
        <w:t>1) in relation to the current programme design to</w:t>
      </w:r>
      <w:r>
        <w:rPr>
          <w:noProof/>
          <w:lang w:eastAsia="en-GB"/>
        </w:rPr>
        <w:t xml:space="preserve"> </w:t>
      </w:r>
      <w:r w:rsidRPr="008343D7">
        <w:rPr>
          <w:noProof/>
          <w:lang w:eastAsia="en-GB"/>
        </w:rPr>
        <w:t xml:space="preserve">support LMICs develop and sustain national AMR/U surveillance programmes (which remains a key priority for </w:t>
      </w:r>
      <w:r w:rsidR="00AD1BE7">
        <w:rPr>
          <w:noProof/>
          <w:lang w:eastAsia="en-GB"/>
        </w:rPr>
        <w:t>phase 2</w:t>
      </w:r>
      <w:r w:rsidRPr="008343D7">
        <w:rPr>
          <w:noProof/>
          <w:lang w:eastAsia="en-GB"/>
        </w:rPr>
        <w:t xml:space="preserve"> of the Fleming Fund); </w:t>
      </w:r>
      <w:r w:rsidR="005450AC">
        <w:rPr>
          <w:noProof/>
          <w:lang w:eastAsia="en-GB"/>
        </w:rPr>
        <w:t>(</w:t>
      </w:r>
      <w:r w:rsidRPr="008343D7">
        <w:rPr>
          <w:noProof/>
          <w:lang w:eastAsia="en-GB"/>
        </w:rPr>
        <w:t>2) in relation to longer</w:t>
      </w:r>
      <w:r w:rsidR="00D50F4C">
        <w:rPr>
          <w:noProof/>
          <w:lang w:eastAsia="en-GB"/>
        </w:rPr>
        <w:t>-</w:t>
      </w:r>
      <w:r w:rsidRPr="008343D7">
        <w:rPr>
          <w:noProof/>
          <w:lang w:eastAsia="en-GB"/>
        </w:rPr>
        <w:t xml:space="preserve">term objectives in ensuring AMR is prioritised by policymakers and other stakeholders, which the Business Case for </w:t>
      </w:r>
      <w:r w:rsidR="00AD1BE7">
        <w:rPr>
          <w:noProof/>
          <w:lang w:eastAsia="en-GB"/>
        </w:rPr>
        <w:t>phase 2</w:t>
      </w:r>
      <w:r w:rsidRPr="008343D7">
        <w:rPr>
          <w:noProof/>
          <w:lang w:eastAsia="en-GB"/>
        </w:rPr>
        <w:t xml:space="preserve"> states</w:t>
      </w:r>
      <w:r w:rsidRPr="008343D7">
        <w:rPr>
          <w:noProof/>
          <w:sz w:val="20"/>
          <w:szCs w:val="20"/>
          <w:vertAlign w:val="superscript"/>
          <w:lang w:eastAsia="en-GB"/>
        </w:rPr>
        <w:footnoteReference w:id="175"/>
      </w:r>
      <w:r w:rsidRPr="008343D7">
        <w:rPr>
          <w:noProof/>
          <w:lang w:eastAsia="en-GB"/>
        </w:rPr>
        <w:t xml:space="preserve"> as:</w:t>
      </w:r>
    </w:p>
    <w:p w14:paraId="3E5F8496" w14:textId="77777777" w:rsidR="00FF2998" w:rsidRPr="00504E64" w:rsidRDefault="00FF2998" w:rsidP="00E17AE8">
      <w:pPr>
        <w:pStyle w:val="ItadQuote"/>
        <w:spacing w:before="120" w:after="240"/>
        <w:rPr>
          <w:rFonts w:eastAsia="Times New Roman"/>
          <w:noProof/>
        </w:rPr>
      </w:pPr>
      <w:r w:rsidRPr="00504E64">
        <w:t>To ensure AMR is prioritised, key international, national, and local stakeholders need to have evidence of both the trends of resistance and the impact that this is having on the health of their populations or, importantly, the efficacy of the medicines they are buying.</w:t>
      </w:r>
    </w:p>
    <w:p w14:paraId="2C6CD27D" w14:textId="3B552CDD" w:rsidR="00FF2998" w:rsidRPr="00504E64" w:rsidRDefault="00FF2998" w:rsidP="00E17AE8">
      <w:pPr>
        <w:pStyle w:val="ItadQuote"/>
        <w:spacing w:before="120" w:after="240"/>
        <w:rPr>
          <w:rFonts w:eastAsia="Times New Roman"/>
          <w:noProof/>
        </w:rPr>
      </w:pPr>
      <w:r w:rsidRPr="00504E64">
        <w:t>AMR has rarely been seen as a top priority issue by policymakers, clinicians or by the aid organisations working in LMICs. Although the Fleming Fund has improved, the amount of data available on AMR surveillance takes time and requires resources to become embedded. AMR may get lost amidst the other, more immediately obvious priorities to decision makers who may not receive AMR data on a regular basis. Treatment failure is common, but often not ascribed to AMR, and disentangling the cause between poor diagnosis, poor care, substandard drugs, comorbidities, and AMR (or a combination of all), is almost impossible</w:t>
      </w:r>
      <w:r w:rsidRPr="00504E64">
        <w:rPr>
          <w:rFonts w:eastAsia="Times New Roman"/>
          <w:noProof/>
        </w:rPr>
        <w:t>.</w:t>
      </w:r>
    </w:p>
    <w:p w14:paraId="65D3C060" w14:textId="77777777" w:rsidR="00FF2998" w:rsidRPr="008343D7" w:rsidRDefault="00FF2998" w:rsidP="008A5F96">
      <w:pPr>
        <w:pStyle w:val="ItadH2Numbered"/>
        <w:rPr>
          <w:lang w:eastAsia="en-GB"/>
        </w:rPr>
      </w:pPr>
      <w:bookmarkStart w:id="400" w:name="_Toc144715826"/>
      <w:bookmarkEnd w:id="399"/>
      <w:r w:rsidRPr="008343D7">
        <w:rPr>
          <w:lang w:eastAsia="en-GB"/>
        </w:rPr>
        <w:t>Strengths and weaknesses of the current programme design in terms of supporting low- and middle-income countries to develop and sustain national programmes for surveillance of AMR and AMU.</w:t>
      </w:r>
      <w:bookmarkEnd w:id="400"/>
    </w:p>
    <w:p w14:paraId="07882135" w14:textId="34238D7E" w:rsidR="00FF2998" w:rsidRPr="008A5F96" w:rsidRDefault="00FF2998" w:rsidP="005450AC">
      <w:pPr>
        <w:pStyle w:val="ItadH3"/>
      </w:pPr>
      <w:bookmarkStart w:id="401" w:name="_Toc144049413"/>
      <w:bookmarkStart w:id="402" w:name="_Toc144715827"/>
      <w:r w:rsidRPr="008A5F96">
        <w:t>Progress towards strategic goals</w:t>
      </w:r>
      <w:bookmarkEnd w:id="401"/>
      <w:bookmarkEnd w:id="402"/>
    </w:p>
    <w:p w14:paraId="0C6EAB2D" w14:textId="1BF53237" w:rsidR="00FF2998" w:rsidRPr="008343D7" w:rsidRDefault="00FF2998" w:rsidP="006B08A2">
      <w:pPr>
        <w:pStyle w:val="ItadNormalText"/>
        <w:rPr>
          <w:noProof/>
        </w:rPr>
      </w:pPr>
      <w:bookmarkStart w:id="403" w:name="_Hlk129345733"/>
      <w:r w:rsidRPr="006B08A2">
        <w:rPr>
          <w:b/>
          <w:bCs/>
        </w:rPr>
        <w:t xml:space="preserve">Conclusion 1: During </w:t>
      </w:r>
      <w:r w:rsidR="00222C91" w:rsidRPr="006B08A2">
        <w:rPr>
          <w:b/>
          <w:bCs/>
        </w:rPr>
        <w:t>phase 1</w:t>
      </w:r>
      <w:r w:rsidRPr="006B08A2">
        <w:rPr>
          <w:b/>
          <w:bCs/>
        </w:rPr>
        <w:t xml:space="preserve">, the Fleming Fund has made </w:t>
      </w:r>
      <w:r w:rsidR="003D7102">
        <w:rPr>
          <w:b/>
          <w:bCs/>
        </w:rPr>
        <w:t>significant</w:t>
      </w:r>
      <w:r w:rsidRPr="006B08A2">
        <w:rPr>
          <w:b/>
          <w:bCs/>
        </w:rPr>
        <w:t xml:space="preserve"> progress </w:t>
      </w:r>
      <w:r w:rsidRPr="006B08A2">
        <w:rPr>
          <w:b/>
          <w:bCs/>
          <w:noProof/>
          <w:lang w:eastAsia="en-GB"/>
        </w:rPr>
        <w:t xml:space="preserve">in supporting countries </w:t>
      </w:r>
      <w:r w:rsidR="004F70D8" w:rsidRPr="006B08A2">
        <w:rPr>
          <w:b/>
          <w:bCs/>
          <w:noProof/>
          <w:lang w:eastAsia="en-GB"/>
        </w:rPr>
        <w:t xml:space="preserve">to </w:t>
      </w:r>
      <w:r w:rsidRPr="006B08A2">
        <w:rPr>
          <w:b/>
          <w:bCs/>
          <w:noProof/>
          <w:lang w:eastAsia="en-GB"/>
        </w:rPr>
        <w:t>develop foundations for national AMR and AMU surveillance programmes</w:t>
      </w:r>
      <w:r w:rsidR="004F70D8" w:rsidRPr="006B08A2">
        <w:rPr>
          <w:b/>
          <w:bCs/>
          <w:noProof/>
          <w:lang w:eastAsia="en-GB"/>
        </w:rPr>
        <w:t>.</w:t>
      </w:r>
      <w:r w:rsidRPr="006B08A2">
        <w:rPr>
          <w:b/>
          <w:bCs/>
          <w:lang w:eastAsia="en-GB"/>
        </w:rPr>
        <w:t xml:space="preserve"> </w:t>
      </w:r>
      <w:r w:rsidR="004F70D8" w:rsidRPr="006B08A2">
        <w:rPr>
          <w:b/>
          <w:bCs/>
          <w:noProof/>
        </w:rPr>
        <w:t>Laboratory</w:t>
      </w:r>
      <w:r w:rsidRPr="006B08A2">
        <w:rPr>
          <w:b/>
          <w:bCs/>
          <w:noProof/>
        </w:rPr>
        <w:t xml:space="preserve"> functions have been strengthened compared </w:t>
      </w:r>
      <w:r w:rsidR="001147AB" w:rsidRPr="006B08A2">
        <w:rPr>
          <w:b/>
          <w:bCs/>
          <w:noProof/>
        </w:rPr>
        <w:t>to</w:t>
      </w:r>
      <w:r w:rsidRPr="006B08A2">
        <w:rPr>
          <w:b/>
          <w:bCs/>
          <w:noProof/>
        </w:rPr>
        <w:t xml:space="preserve"> international norms, capacities of key members of the laboratory workforce have been strengthened, and surveillance functions have been established in some countries. </w:t>
      </w:r>
      <w:r w:rsidRPr="006B08A2">
        <w:rPr>
          <w:rFonts w:eastAsia="Calibri"/>
          <w:b/>
          <w:bCs/>
        </w:rPr>
        <w:t xml:space="preserve">Broadly, within this narrow focus </w:t>
      </w:r>
      <w:r w:rsidR="004F70D8" w:rsidRPr="006B08A2">
        <w:rPr>
          <w:rFonts w:eastAsia="Calibri"/>
          <w:b/>
          <w:bCs/>
        </w:rPr>
        <w:t xml:space="preserve">on </w:t>
      </w:r>
      <w:r w:rsidRPr="006B08A2">
        <w:rPr>
          <w:rFonts w:eastAsia="Calibri"/>
          <w:b/>
          <w:bCs/>
        </w:rPr>
        <w:t xml:space="preserve">building foundations, </w:t>
      </w:r>
      <w:r w:rsidR="00222C91" w:rsidRPr="006B08A2">
        <w:rPr>
          <w:rFonts w:eastAsia="Calibri"/>
          <w:b/>
          <w:bCs/>
        </w:rPr>
        <w:t>phase 1</w:t>
      </w:r>
      <w:r w:rsidRPr="006B08A2">
        <w:rPr>
          <w:rFonts w:eastAsia="Calibri"/>
          <w:b/>
          <w:bCs/>
        </w:rPr>
        <w:t xml:space="preserve"> has achieved what was agreed </w:t>
      </w:r>
      <w:r w:rsidR="004F70D8" w:rsidRPr="006B08A2">
        <w:rPr>
          <w:rFonts w:eastAsia="Calibri"/>
          <w:b/>
          <w:bCs/>
        </w:rPr>
        <w:t xml:space="preserve">upon </w:t>
      </w:r>
      <w:r w:rsidRPr="006B08A2">
        <w:rPr>
          <w:rFonts w:eastAsia="Calibri"/>
          <w:b/>
          <w:bCs/>
        </w:rPr>
        <w:t>between the MA and the DHSC.</w:t>
      </w:r>
      <w:r w:rsidRPr="008343D7">
        <w:rPr>
          <w:rFonts w:eastAsia="Calibri"/>
        </w:rPr>
        <w:t xml:space="preserve"> </w:t>
      </w:r>
      <w:r w:rsidRPr="008343D7">
        <w:rPr>
          <w:noProof/>
        </w:rPr>
        <w:t>We highlight some key achievements below using the investment types which have underpinned the MA design:</w:t>
      </w:r>
    </w:p>
    <w:p w14:paraId="5E45B5EC" w14:textId="1F90AD15" w:rsidR="00FF2998" w:rsidRPr="008343D7" w:rsidRDefault="00FF2998" w:rsidP="008A5F96">
      <w:pPr>
        <w:pStyle w:val="ItadBullets"/>
      </w:pPr>
      <w:r w:rsidRPr="008343D7">
        <w:rPr>
          <w:i/>
          <w:iCs/>
        </w:rPr>
        <w:t>Laboratory infrastructure enhancement</w:t>
      </w:r>
      <w:r w:rsidRPr="008343D7">
        <w:t xml:space="preserve">. The Fleming Fund has contributed to establishing the building blocks for AMR testing in all of our focus countries, albeit with substantial (expected) variation across and within countries; </w:t>
      </w:r>
      <w:r w:rsidRPr="008343D7">
        <w:rPr>
          <w:rFonts w:eastAsia="Times New Roman"/>
          <w:noProof/>
        </w:rPr>
        <w:t xml:space="preserve">the Fleming Fund has played a key role in driving the increase in </w:t>
      </w:r>
      <w:r w:rsidR="004F70D8">
        <w:rPr>
          <w:rFonts w:eastAsia="Times New Roman"/>
          <w:noProof/>
        </w:rPr>
        <w:t xml:space="preserve">the </w:t>
      </w:r>
      <w:r w:rsidRPr="008343D7">
        <w:rPr>
          <w:rFonts w:eastAsia="Times New Roman"/>
          <w:noProof/>
        </w:rPr>
        <w:t>quantity of HH and AH data but more varied on whether it has driven an increase in quality of data.</w:t>
      </w:r>
    </w:p>
    <w:p w14:paraId="3360F5CD" w14:textId="0C4CC357" w:rsidR="00FF2998" w:rsidRPr="008343D7" w:rsidRDefault="00FF2998" w:rsidP="008A5F96">
      <w:pPr>
        <w:pStyle w:val="ItadBullets"/>
      </w:pPr>
      <w:r w:rsidRPr="008343D7">
        <w:rPr>
          <w:i/>
          <w:iCs/>
        </w:rPr>
        <w:t>Human resource strengthening and workforce reforms</w:t>
      </w:r>
      <w:r w:rsidRPr="008343D7">
        <w:t>. The Fleming Fund has contributed towards building a workforce with the skills required to do quality AMR testing, and to provide leadership and oversight of AMR surveillance through the Fleming Fellows.</w:t>
      </w:r>
    </w:p>
    <w:p w14:paraId="29C295DC" w14:textId="6C6C34B0" w:rsidR="00FF2998" w:rsidRPr="008343D7" w:rsidRDefault="00FF2998" w:rsidP="008A5F96">
      <w:pPr>
        <w:pStyle w:val="ItadBullets"/>
      </w:pPr>
      <w:r w:rsidRPr="008343D7">
        <w:rPr>
          <w:i/>
          <w:iCs/>
        </w:rPr>
        <w:t>Surveillance systems strengthening</w:t>
      </w:r>
      <w:r w:rsidRPr="008343D7">
        <w:t xml:space="preserve">. The Fleming Fund has supported laying the foundations for effective </w:t>
      </w:r>
      <w:r w:rsidR="005450AC">
        <w:t>O</w:t>
      </w:r>
      <w:r w:rsidR="00AA6A7B">
        <w:t xml:space="preserve">ne </w:t>
      </w:r>
      <w:r w:rsidR="00007676">
        <w:t>Health</w:t>
      </w:r>
      <w:r w:rsidRPr="008343D7">
        <w:t xml:space="preserve"> AMR surveillance (albeit with interesting regional variation emerging), including </w:t>
      </w:r>
      <w:r w:rsidRPr="008343D7">
        <w:rPr>
          <w:rFonts w:eastAsia="Times New Roman"/>
        </w:rPr>
        <w:t xml:space="preserve">providing </w:t>
      </w:r>
      <w:r w:rsidRPr="008343D7">
        <w:t>a focus on AH and One Health.</w:t>
      </w:r>
    </w:p>
    <w:p w14:paraId="646656F8" w14:textId="0639AAF2" w:rsidR="00FF2998" w:rsidRPr="008343D7" w:rsidRDefault="00FF2998" w:rsidP="006B08A2">
      <w:pPr>
        <w:pStyle w:val="ItadNormalText"/>
        <w:rPr>
          <w:rFonts w:eastAsia="Calibri" w:cs="Calibri"/>
        </w:rPr>
      </w:pPr>
      <w:bookmarkStart w:id="404" w:name="_Hlk136509908"/>
      <w:r w:rsidRPr="006B08A2">
        <w:rPr>
          <w:b/>
          <w:bCs/>
        </w:rPr>
        <w:t xml:space="preserve">Conclusion 2: Building on these necessary foundations it is reasonable to expect that the Fleming Fund will be able to make progress towards achieving its higher-level goals for </w:t>
      </w:r>
      <w:r w:rsidR="00AD1BE7" w:rsidRPr="006B08A2">
        <w:rPr>
          <w:b/>
          <w:bCs/>
        </w:rPr>
        <w:t>phase 2</w:t>
      </w:r>
      <w:r w:rsidRPr="006B08A2">
        <w:rPr>
          <w:b/>
          <w:bCs/>
        </w:rPr>
        <w:t xml:space="preserve"> (in terms of </w:t>
      </w:r>
      <w:r w:rsidR="004F70D8" w:rsidRPr="006B08A2">
        <w:rPr>
          <w:b/>
          <w:bCs/>
        </w:rPr>
        <w:t xml:space="preserve">the </w:t>
      </w:r>
      <w:r w:rsidRPr="006B08A2">
        <w:rPr>
          <w:b/>
          <w:bCs/>
        </w:rPr>
        <w:t>use of data for clinical improvement, policy and behaviour change), providing there is a stronger focus on understanding the needs and priorities of decision</w:t>
      </w:r>
      <w:r w:rsidR="00D50F4C" w:rsidRPr="006B08A2">
        <w:rPr>
          <w:b/>
          <w:bCs/>
        </w:rPr>
        <w:t>-</w:t>
      </w:r>
      <w:r w:rsidRPr="006B08A2">
        <w:rPr>
          <w:b/>
          <w:bCs/>
        </w:rPr>
        <w:t xml:space="preserve">makers. However, processes to achieve these goals are inherently political, complex, unpredictable and will take time to work through. In </w:t>
      </w:r>
      <w:r w:rsidR="00222C91" w:rsidRPr="006B08A2">
        <w:rPr>
          <w:b/>
          <w:bCs/>
        </w:rPr>
        <w:t>phase 1</w:t>
      </w:r>
      <w:r w:rsidRPr="006B08A2">
        <w:rPr>
          <w:b/>
          <w:bCs/>
        </w:rPr>
        <w:t xml:space="preserve">, </w:t>
      </w:r>
      <w:r w:rsidR="002B51D3" w:rsidRPr="006B08A2">
        <w:rPr>
          <w:b/>
          <w:bCs/>
        </w:rPr>
        <w:t xml:space="preserve">the </w:t>
      </w:r>
      <w:r w:rsidRPr="006B08A2">
        <w:rPr>
          <w:b/>
          <w:bCs/>
        </w:rPr>
        <w:t xml:space="preserve">AMR NAPs </w:t>
      </w:r>
      <w:r w:rsidR="002B51D3" w:rsidRPr="006B08A2">
        <w:rPr>
          <w:b/>
          <w:bCs/>
        </w:rPr>
        <w:t xml:space="preserve">developed by country governments </w:t>
      </w:r>
      <w:r w:rsidRPr="006B08A2">
        <w:rPr>
          <w:b/>
          <w:bCs/>
        </w:rPr>
        <w:t>neither identified prioritised outcomes nor provided a strong framework within which the Fleming Fund could easily engage with key national stakeholders. It cannot be assumed that this will change without support to strengthen NAPs and AMRCCs.</w:t>
      </w:r>
      <w:r w:rsidRPr="008A5F96">
        <w:t xml:space="preserve"> </w:t>
      </w:r>
      <w:r w:rsidRPr="008343D7">
        <w:rPr>
          <w:rFonts w:eastAsia="Calibri" w:cs="Calibri"/>
        </w:rPr>
        <w:t xml:space="preserve">There are early indications of progress which present </w:t>
      </w:r>
      <w:r w:rsidRPr="008343D7">
        <w:rPr>
          <w:lang w:eastAsia="en-GB"/>
        </w:rPr>
        <w:t>an opportunity to build on</w:t>
      </w:r>
      <w:r w:rsidRPr="008343D7">
        <w:rPr>
          <w:noProof/>
          <w:lang w:eastAsia="en-GB"/>
        </w:rPr>
        <w:t>, including:</w:t>
      </w:r>
    </w:p>
    <w:p w14:paraId="4523430F" w14:textId="6D5FB8F0" w:rsidR="00FF2998" w:rsidRPr="008343D7" w:rsidRDefault="00FF2998" w:rsidP="008A5F96">
      <w:pPr>
        <w:pStyle w:val="ItadBullets"/>
      </w:pPr>
      <w:r w:rsidRPr="008343D7">
        <w:rPr>
          <w:i/>
          <w:iCs/>
        </w:rPr>
        <w:t>Building foundations for AMR surveillance data use</w:t>
      </w:r>
      <w:r w:rsidRPr="008343D7">
        <w:t>. These outputs and activities have contributed to creating some foundations for the use of data,</w:t>
      </w:r>
      <w:r w:rsidRPr="008343D7">
        <w:rPr>
          <w:vertAlign w:val="superscript"/>
        </w:rPr>
        <w:footnoteReference w:id="176"/>
      </w:r>
      <w:r w:rsidRPr="008343D7">
        <w:t xml:space="preserve"> and whil</w:t>
      </w:r>
      <w:r w:rsidR="000C2D5D">
        <w:t>e</w:t>
      </w:r>
      <w:r w:rsidRPr="008343D7">
        <w:t xml:space="preserve"> expectations in this area were limited in terms of high-level outcomes, change is starting to emerge and there are prospects for continuing progress as feedback cycles complete and Fleming Fund initiatives mature (such as the Policy Fellows).</w:t>
      </w:r>
    </w:p>
    <w:p w14:paraId="74D05D8E" w14:textId="0C46C3C8" w:rsidR="00FF2998" w:rsidRPr="008343D7" w:rsidRDefault="00FF2998" w:rsidP="008A5F96">
      <w:pPr>
        <w:pStyle w:val="ItadBullets"/>
      </w:pPr>
      <w:r w:rsidRPr="008343D7">
        <w:rPr>
          <w:i/>
          <w:iCs/>
        </w:rPr>
        <w:t>Rational use of antimicrobial medicines</w:t>
      </w:r>
      <w:r w:rsidRPr="008343D7">
        <w:t>. Whil</w:t>
      </w:r>
      <w:r w:rsidR="000C2D5D">
        <w:t>e</w:t>
      </w:r>
      <w:r w:rsidRPr="008343D7">
        <w:t xml:space="preserve"> this was also not expected to be a major focus of the Fleming Fund during </w:t>
      </w:r>
      <w:r w:rsidR="00222C91">
        <w:t>phase 1</w:t>
      </w:r>
      <w:r w:rsidRPr="008343D7">
        <w:t xml:space="preserve">, a substantial number of examples of data use at the facility level were confirmed across the evaluation focus countries (35 examples from 13 out of 16 countries), with most focusing on the use of AMC/U data rather than laboratory-derived AST data of the type prioritised in Fleming Fund </w:t>
      </w:r>
      <w:r w:rsidR="00222C91">
        <w:t>phase 1</w:t>
      </w:r>
      <w:r w:rsidRPr="008343D7">
        <w:t>. These examples suggest</w:t>
      </w:r>
      <w:r w:rsidRPr="008343D7" w:rsidDel="00F2575E">
        <w:t xml:space="preserve"> </w:t>
      </w:r>
      <w:r w:rsidRPr="008343D7">
        <w:t>an encouraging picture of local data use dynamics in many Fleming Fund countries. But clearly, the examples are not necessarily representative of overall local change dynamics within a particular country. Examples were typically difficult to obtain; they were specific to local circumstances and implicitly described activities that resulted from extraordinary initiative and effort, often apparently cutting against norms in wider systems.</w:t>
      </w:r>
    </w:p>
    <w:p w14:paraId="78D5F04E" w14:textId="05A2DCD8" w:rsidR="00FF2998" w:rsidRPr="008343D7" w:rsidRDefault="00FF2998" w:rsidP="008A5F96">
      <w:pPr>
        <w:pStyle w:val="ItadNormalText"/>
        <w:rPr>
          <w:rFonts w:eastAsia="Calibri" w:cs="Calibri"/>
        </w:rPr>
      </w:pPr>
      <w:r w:rsidRPr="008343D7" w:rsidDel="00E36EC0">
        <w:rPr>
          <w:rFonts w:eastAsia="Calibri" w:cs="Calibri"/>
        </w:rPr>
        <w:t xml:space="preserve">However, </w:t>
      </w:r>
      <w:r w:rsidRPr="008343D7">
        <w:rPr>
          <w:rFonts w:eastAsia="Calibri" w:cs="Calibri"/>
          <w:noProof/>
        </w:rPr>
        <w:t>tackling</w:t>
      </w:r>
      <w:r w:rsidRPr="008343D7">
        <w:rPr>
          <w:rFonts w:eastAsia="Calibri" w:cs="Calibri"/>
        </w:rPr>
        <w:t xml:space="preserve"> AMR requires a multidimensional response – across different sectors, different types of data (AMR/C/U), and different pathogens. The nature of these complex interactions varies materially depending on the context, between and within countries. A tailored, country-specific response is therefore essential, with evidence-informed reflection and feedback as a core component.</w:t>
      </w:r>
    </w:p>
    <w:p w14:paraId="4270EA6E" w14:textId="4D3F2982" w:rsidR="00FF2998" w:rsidRPr="008343D7" w:rsidRDefault="00FF2998" w:rsidP="008A5F96">
      <w:pPr>
        <w:pStyle w:val="ItadNormalText"/>
        <w:rPr>
          <w:rFonts w:cs="Calibri"/>
          <w:noProof/>
        </w:rPr>
      </w:pPr>
      <w:r w:rsidRPr="008343D7">
        <w:rPr>
          <w:rFonts w:eastAsia="Calibri" w:cs="Calibri"/>
        </w:rPr>
        <w:t xml:space="preserve">There appears to have been limited agreement with governments on specific strategic outcomes or targets, beyond alignment with NAPs, and no joint reviews of performance were held with governments. Pressure to deliver against agreed </w:t>
      </w:r>
      <w:r w:rsidR="004F70D8">
        <w:rPr>
          <w:rFonts w:eastAsia="Calibri" w:cs="Calibri"/>
        </w:rPr>
        <w:t xml:space="preserve">upon </w:t>
      </w:r>
      <w:r w:rsidRPr="008343D7">
        <w:rPr>
          <w:rFonts w:eastAsia="Calibri" w:cs="Calibri"/>
        </w:rPr>
        <w:t>budgets and work</w:t>
      </w:r>
      <w:r w:rsidR="00C40B3E">
        <w:rPr>
          <w:rFonts w:eastAsia="Calibri" w:cs="Calibri"/>
        </w:rPr>
        <w:t>plans</w:t>
      </w:r>
      <w:r w:rsidRPr="008343D7">
        <w:rPr>
          <w:rFonts w:eastAsia="Calibri" w:cs="Calibri"/>
        </w:rPr>
        <w:t>, which was constant after the late start of the programme and exacerbated by COVID-19, appears to have squeezed the space for both understanding countries</w:t>
      </w:r>
      <w:r w:rsidR="00AA6A7B">
        <w:rPr>
          <w:rFonts w:eastAsia="Calibri" w:cs="Calibri"/>
        </w:rPr>
        <w:t>’</w:t>
      </w:r>
      <w:r w:rsidRPr="008343D7">
        <w:rPr>
          <w:rFonts w:eastAsia="Calibri" w:cs="Calibri"/>
        </w:rPr>
        <w:t xml:space="preserve"> demands and needs for AMR-related data and for meaningful country-specific adaptation and this is a key area of focus for </w:t>
      </w:r>
      <w:r w:rsidR="00AD1BE7">
        <w:rPr>
          <w:rFonts w:eastAsia="Calibri" w:cs="Calibri"/>
          <w:noProof/>
        </w:rPr>
        <w:t>phase 2</w:t>
      </w:r>
      <w:r w:rsidRPr="008343D7">
        <w:rPr>
          <w:rFonts w:eastAsia="Calibri" w:cs="Calibri"/>
        </w:rPr>
        <w:t>.</w:t>
      </w:r>
    </w:p>
    <w:p w14:paraId="00DE4ED0" w14:textId="77777777" w:rsidR="00FF2998" w:rsidRPr="008A5F96" w:rsidRDefault="00FF2998" w:rsidP="005450AC">
      <w:pPr>
        <w:pStyle w:val="ItadH3"/>
      </w:pPr>
      <w:bookmarkStart w:id="405" w:name="_Toc144049414"/>
      <w:bookmarkStart w:id="406" w:name="_Toc144715828"/>
      <w:bookmarkEnd w:id="403"/>
      <w:bookmarkEnd w:id="404"/>
      <w:r w:rsidRPr="008A5F96">
        <w:t>Observations on programme design</w:t>
      </w:r>
      <w:bookmarkEnd w:id="405"/>
      <w:bookmarkEnd w:id="406"/>
    </w:p>
    <w:p w14:paraId="6B8234A9" w14:textId="2EFB89FD" w:rsidR="00FF2998" w:rsidRPr="006B08A2" w:rsidRDefault="00FF2998" w:rsidP="006B08A2">
      <w:pPr>
        <w:pStyle w:val="ItadNormalText"/>
      </w:pPr>
      <w:bookmarkStart w:id="407" w:name="_Hlk136510357"/>
      <w:bookmarkStart w:id="408" w:name="_Hlk129346192"/>
      <w:r w:rsidRPr="006B08A2">
        <w:rPr>
          <w:b/>
          <w:bCs/>
        </w:rPr>
        <w:t>Conclusion 3:</w:t>
      </w:r>
      <w:r w:rsidRPr="006B08A2" w:rsidDel="007D2E99">
        <w:rPr>
          <w:b/>
          <w:bCs/>
        </w:rPr>
        <w:t xml:space="preserve"> </w:t>
      </w:r>
      <w:r w:rsidRPr="006B08A2">
        <w:rPr>
          <w:b/>
          <w:bCs/>
        </w:rPr>
        <w:t xml:space="preserve">The programme has operated during a challenging context, which will continue into </w:t>
      </w:r>
      <w:r w:rsidR="00AD1BE7" w:rsidRPr="006B08A2">
        <w:rPr>
          <w:b/>
          <w:bCs/>
        </w:rPr>
        <w:t>phase 2</w:t>
      </w:r>
      <w:r w:rsidRPr="006B08A2">
        <w:rPr>
          <w:b/>
          <w:bCs/>
        </w:rPr>
        <w:t xml:space="preserve">. </w:t>
      </w:r>
      <w:r w:rsidR="000E6127" w:rsidRPr="006B08A2">
        <w:rPr>
          <w:b/>
          <w:bCs/>
        </w:rPr>
        <w:t xml:space="preserve">The Fleming Fund </w:t>
      </w:r>
      <w:r w:rsidRPr="006B08A2">
        <w:rPr>
          <w:b/>
          <w:bCs/>
        </w:rPr>
        <w:t>has proven flexible enough to respond effectively, even though some features of the programme design made responding more challenging</w:t>
      </w:r>
      <w:r w:rsidRPr="008343D7">
        <w:t>.</w:t>
      </w:r>
      <w:r w:rsidRPr="008343D7" w:rsidDel="0050508E">
        <w:t xml:space="preserve"> </w:t>
      </w:r>
      <w:r w:rsidRPr="008343D7">
        <w:t xml:space="preserve">The context within which </w:t>
      </w:r>
      <w:r w:rsidR="00222C91">
        <w:t>phase 1</w:t>
      </w:r>
      <w:r w:rsidRPr="008343D7">
        <w:t xml:space="preserve"> has been implemented cannot be overlooked in interpreting the progress achieved. </w:t>
      </w:r>
      <w:r w:rsidRPr="008343D7">
        <w:rPr>
          <w:rFonts w:eastAsia="Times New Roman"/>
          <w:lang w:eastAsia="en-GB"/>
        </w:rPr>
        <w:t>The majority of grants were starting to come on stream in late 2019.</w:t>
      </w:r>
      <w:r w:rsidRPr="008343D7" w:rsidDel="007D2E99">
        <w:rPr>
          <w:rFonts w:eastAsia="Times New Roman"/>
          <w:lang w:eastAsia="en-GB"/>
        </w:rPr>
        <w:t xml:space="preserve"> </w:t>
      </w:r>
      <w:r w:rsidRPr="008343D7">
        <w:rPr>
          <w:rFonts w:eastAsia="Times New Roman"/>
          <w:lang w:eastAsia="en-GB"/>
        </w:rPr>
        <w:t>The COVID-19 global pandemic was</w:t>
      </w:r>
      <w:r w:rsidR="001A5377">
        <w:rPr>
          <w:rFonts w:eastAsia="Times New Roman"/>
          <w:lang w:eastAsia="en-GB"/>
        </w:rPr>
        <w:t xml:space="preserve"> subsequently</w:t>
      </w:r>
      <w:r w:rsidRPr="008343D7">
        <w:rPr>
          <w:rFonts w:eastAsia="Times New Roman"/>
          <w:lang w:eastAsia="en-GB"/>
        </w:rPr>
        <w:t xml:space="preserve"> announced in March 2020. This had significant implications for the implementation of the grants programme </w:t>
      </w:r>
      <w:r w:rsidR="005450AC">
        <w:rPr>
          <w:rFonts w:eastAsia="Times New Roman"/>
          <w:lang w:eastAsia="en-GB"/>
        </w:rPr>
        <w:t>(</w:t>
      </w:r>
      <w:r w:rsidRPr="008343D7">
        <w:rPr>
          <w:rFonts w:eastAsia="Times New Roman"/>
          <w:lang w:eastAsia="en-GB"/>
        </w:rPr>
        <w:t xml:space="preserve">described in section </w:t>
      </w:r>
      <w:r w:rsidRPr="008343D7">
        <w:rPr>
          <w:rFonts w:eastAsia="Times New Roman"/>
          <w:lang w:eastAsia="en-GB"/>
        </w:rPr>
        <w:fldChar w:fldCharType="begin"/>
      </w:r>
      <w:r w:rsidRPr="008343D7">
        <w:rPr>
          <w:rFonts w:eastAsia="Times New Roman"/>
          <w:lang w:eastAsia="en-GB"/>
        </w:rPr>
        <w:instrText xml:space="preserve"> REF _Ref118234448 \r \h </w:instrText>
      </w:r>
      <w:r w:rsidRPr="008343D7">
        <w:rPr>
          <w:rFonts w:eastAsia="Times New Roman"/>
          <w:lang w:eastAsia="en-GB"/>
        </w:rPr>
      </w:r>
      <w:r w:rsidRPr="008343D7">
        <w:rPr>
          <w:rFonts w:eastAsia="Times New Roman"/>
          <w:lang w:eastAsia="en-GB"/>
        </w:rPr>
        <w:fldChar w:fldCharType="separate"/>
      </w:r>
      <w:r w:rsidR="004F70D8">
        <w:rPr>
          <w:rFonts w:eastAsia="Times New Roman"/>
          <w:lang w:eastAsia="en-GB"/>
        </w:rPr>
        <w:t>1.5</w:t>
      </w:r>
      <w:r w:rsidRPr="008343D7">
        <w:rPr>
          <w:rFonts w:eastAsia="Times New Roman"/>
          <w:lang w:eastAsia="en-GB"/>
        </w:rPr>
        <w:fldChar w:fldCharType="end"/>
      </w:r>
      <w:r w:rsidR="005450AC">
        <w:rPr>
          <w:rFonts w:eastAsia="Times New Roman"/>
          <w:lang w:eastAsia="en-GB"/>
        </w:rPr>
        <w:t>)</w:t>
      </w:r>
      <w:r w:rsidRPr="008343D7">
        <w:rPr>
          <w:rFonts w:eastAsia="Times New Roman"/>
          <w:noProof/>
          <w:lang w:eastAsia="en-GB"/>
        </w:rPr>
        <w:t>.</w:t>
      </w:r>
      <w:r w:rsidRPr="008343D7">
        <w:rPr>
          <w:rFonts w:eastAsia="Times New Roman"/>
          <w:lang w:eastAsia="en-GB"/>
        </w:rPr>
        <w:t xml:space="preserve"> Major consequences were that the anticipated CG1s and CG2s were not implemented in all countries</w:t>
      </w:r>
      <w:r w:rsidRPr="008343D7">
        <w:rPr>
          <w:rFonts w:eastAsia="Times New Roman"/>
          <w:noProof/>
          <w:lang w:eastAsia="en-GB"/>
        </w:rPr>
        <w:t>,</w:t>
      </w:r>
      <w:r w:rsidRPr="008343D7">
        <w:rPr>
          <w:rFonts w:eastAsia="Times New Roman"/>
          <w:lang w:eastAsia="en-GB"/>
        </w:rPr>
        <w:t xml:space="preserve"> many CGs were subject to (multiple) extensions, whether on a no-cost or costed basis</w:t>
      </w:r>
      <w:r w:rsidRPr="008343D7">
        <w:rPr>
          <w:rFonts w:eastAsia="Times New Roman"/>
          <w:noProof/>
          <w:lang w:eastAsia="en-GB"/>
        </w:rPr>
        <w:t>,</w:t>
      </w:r>
      <w:r w:rsidRPr="008343D7">
        <w:rPr>
          <w:rFonts w:eastAsia="Times New Roman"/>
          <w:lang w:eastAsia="en-GB"/>
        </w:rPr>
        <w:t xml:space="preserve"> and Fleming Policy Fellows were established in 14 countries with limited time to deliver (see section </w:t>
      </w:r>
      <w:r w:rsidR="004F70D8" w:rsidRPr="008A5F96">
        <w:rPr>
          <w:rStyle w:val="ItadNormalTextChar"/>
        </w:rPr>
        <w:fldChar w:fldCharType="begin"/>
      </w:r>
      <w:r w:rsidR="004F70D8" w:rsidRPr="008A5F96">
        <w:rPr>
          <w:rStyle w:val="ItadNormalTextChar"/>
        </w:rPr>
        <w:instrText xml:space="preserve"> REF _Ref118234448 \r \h </w:instrText>
      </w:r>
      <w:r w:rsidR="00832E0F">
        <w:rPr>
          <w:rStyle w:val="ItadNormalTextChar"/>
        </w:rPr>
        <w:instrText xml:space="preserve"> \* MERGEFORMAT </w:instrText>
      </w:r>
      <w:r w:rsidR="004F70D8" w:rsidRPr="008A5F96">
        <w:rPr>
          <w:rStyle w:val="ItadNormalTextChar"/>
        </w:rPr>
      </w:r>
      <w:r w:rsidR="004F70D8" w:rsidRPr="008A5F96">
        <w:rPr>
          <w:rStyle w:val="ItadNormalTextChar"/>
        </w:rPr>
        <w:fldChar w:fldCharType="separate"/>
      </w:r>
      <w:r w:rsidR="004F70D8" w:rsidRPr="008A5F96">
        <w:rPr>
          <w:rStyle w:val="ItadNormalTextChar"/>
        </w:rPr>
        <w:t>1.5</w:t>
      </w:r>
      <w:r w:rsidR="004F70D8" w:rsidRPr="008A5F96">
        <w:rPr>
          <w:rStyle w:val="ItadNormalTextChar"/>
        </w:rPr>
        <w:fldChar w:fldCharType="end"/>
      </w:r>
      <w:r w:rsidRPr="006B08A2">
        <w:t xml:space="preserve"> and </w:t>
      </w:r>
      <w:r w:rsidR="00076E67">
        <w:fldChar w:fldCharType="begin"/>
      </w:r>
      <w:r w:rsidR="00076E67">
        <w:instrText xml:space="preserve"> REF _Ref144719880 \h </w:instrText>
      </w:r>
      <w:r w:rsidR="00076E67">
        <w:fldChar w:fldCharType="separate"/>
      </w:r>
      <w:r w:rsidR="00076E67">
        <w:t xml:space="preserve">Box </w:t>
      </w:r>
      <w:r w:rsidR="00076E67">
        <w:rPr>
          <w:noProof/>
        </w:rPr>
        <w:t>6</w:t>
      </w:r>
      <w:r w:rsidR="00076E67">
        <w:fldChar w:fldCharType="end"/>
      </w:r>
      <w:r w:rsidR="00076E67">
        <w:t xml:space="preserve"> </w:t>
      </w:r>
      <w:r w:rsidRPr="006B08A2">
        <w:t>for more details).</w:t>
      </w:r>
      <w:r w:rsidR="00DC1D8D" w:rsidRPr="006B08A2">
        <w:t xml:space="preserve"> </w:t>
      </w:r>
      <w:r w:rsidRPr="006B08A2">
        <w:t>Having key management and delivery capacity located at</w:t>
      </w:r>
      <w:r w:rsidR="00832E0F" w:rsidRPr="006B08A2">
        <w:t xml:space="preserve"> the</w:t>
      </w:r>
      <w:r w:rsidRPr="006B08A2">
        <w:t xml:space="preserve"> regional rather than country</w:t>
      </w:r>
      <w:r w:rsidR="00832E0F" w:rsidRPr="006B08A2">
        <w:t xml:space="preserve"> </w:t>
      </w:r>
      <w:r w:rsidRPr="006B08A2">
        <w:t>level meant that it was not possible to implement important activities as originally planned.</w:t>
      </w:r>
    </w:p>
    <w:p w14:paraId="14DBE99C" w14:textId="48A056DE" w:rsidR="00311B56" w:rsidRPr="00D40FD0" w:rsidRDefault="00311B56" w:rsidP="006B08A2">
      <w:pPr>
        <w:pStyle w:val="ItadNormalText"/>
        <w:rPr>
          <w:rFonts w:cs="Calibri"/>
        </w:rPr>
      </w:pPr>
      <w:r w:rsidRPr="00D40FD0">
        <w:rPr>
          <w:rFonts w:cs="Calibri"/>
        </w:rPr>
        <w:t xml:space="preserve">Looking forward, </w:t>
      </w:r>
      <w:r w:rsidRPr="00D40FD0">
        <w:t xml:space="preserve">the political and economic impacts of COVID-19 and other global factors are still </w:t>
      </w:r>
      <w:r w:rsidRPr="00D40FD0" w:rsidDel="0099582F">
        <w:t>emerging</w:t>
      </w:r>
      <w:r w:rsidR="00AA389B">
        <w:t>. These</w:t>
      </w:r>
      <w:r w:rsidRPr="00D40FD0">
        <w:t xml:space="preserve"> include economic disruption (global recession and inflation), supply chain issues, high LMIC indebtedness, high-income country budgetary issues, the impacts of climate and environment change</w:t>
      </w:r>
      <w:r w:rsidR="005450AC">
        <w:t>,</w:t>
      </w:r>
      <w:r w:rsidRPr="00D40FD0">
        <w:t xml:space="preserve"> and the introduction of new technologies. A</w:t>
      </w:r>
      <w:r w:rsidRPr="00D40FD0" w:rsidDel="00086594">
        <w:t xml:space="preserve"> </w:t>
      </w:r>
      <w:r w:rsidRPr="00D40FD0">
        <w:t>recent analysis by the World Bank</w:t>
      </w:r>
      <w:r w:rsidR="00AA5971">
        <w:rPr>
          <w:rStyle w:val="FootnoteReference"/>
          <w:rFonts w:eastAsia="Calibri"/>
        </w:rPr>
        <w:footnoteReference w:id="177"/>
      </w:r>
      <w:r w:rsidRPr="00D40FD0">
        <w:t xml:space="preserve"> suggests that per capita government health spending will decline annually in many LMICs, remaining lower than 2019 expenditures each year to 2027. The social environment for vaccines is also problematic, with the emergence of strong anti-vaccination movements (vaccines being a comparatively low-cost but effective response to AMR). All will provide significant headwinds for governments seeking to make rapid progress against AMR.</w:t>
      </w:r>
      <w:r>
        <w:t xml:space="preserve"> </w:t>
      </w:r>
      <w:r w:rsidRPr="00502530">
        <w:t>The Fleming Fund made a range of changes in response to COVID-19, such as refocusing and extending grants. However, having key</w:t>
      </w:r>
      <w:r>
        <w:t xml:space="preserve"> MA</w:t>
      </w:r>
      <w:r w:rsidRPr="00502530">
        <w:t xml:space="preserve"> management and delivery capacity located </w:t>
      </w:r>
      <w:r w:rsidR="002E7680">
        <w:t>at</w:t>
      </w:r>
      <w:r>
        <w:t xml:space="preserve"> </w:t>
      </w:r>
      <w:r w:rsidR="00B72240">
        <w:t xml:space="preserve">the </w:t>
      </w:r>
      <w:r w:rsidRPr="00502530">
        <w:t>regional rather than country level meant that it was not possible to implement important activities as originally planned.</w:t>
      </w:r>
    </w:p>
    <w:p w14:paraId="7D4E8DE2" w14:textId="67B0ABD0" w:rsidR="00FF2998" w:rsidRDefault="4BD3A707" w:rsidP="006B08A2">
      <w:pPr>
        <w:pStyle w:val="ItadNormalText"/>
      </w:pPr>
      <w:bookmarkStart w:id="409" w:name="_Hlk136510598"/>
      <w:bookmarkEnd w:id="407"/>
      <w:r w:rsidRPr="4EF651D4">
        <w:rPr>
          <w:b/>
          <w:bCs/>
        </w:rPr>
        <w:t xml:space="preserve">Conclusion 4: The MA </w:t>
      </w:r>
      <w:r w:rsidR="48243D1C" w:rsidRPr="4EF651D4">
        <w:rPr>
          <w:b/>
          <w:bCs/>
        </w:rPr>
        <w:t xml:space="preserve">has </w:t>
      </w:r>
      <w:r w:rsidRPr="4EF651D4">
        <w:rPr>
          <w:b/>
          <w:bCs/>
        </w:rPr>
        <w:t xml:space="preserve">successfully operationalised strong and effective procedures to manage for economy and efficiency at </w:t>
      </w:r>
      <w:r w:rsidR="60E309A1" w:rsidRPr="4EF651D4">
        <w:rPr>
          <w:b/>
          <w:bCs/>
        </w:rPr>
        <w:t xml:space="preserve">the </w:t>
      </w:r>
      <w:r w:rsidRPr="4EF651D4">
        <w:rPr>
          <w:b/>
          <w:bCs/>
        </w:rPr>
        <w:t xml:space="preserve">activity level. With further use of laboratory capacity established during </w:t>
      </w:r>
      <w:r w:rsidR="2658EF50" w:rsidRPr="4EF651D4">
        <w:rPr>
          <w:b/>
          <w:bCs/>
        </w:rPr>
        <w:t>phase 1</w:t>
      </w:r>
      <w:r w:rsidRPr="4EF651D4">
        <w:rPr>
          <w:b/>
          <w:bCs/>
        </w:rPr>
        <w:t>, the overall VfM of the programme will be enhanced.</w:t>
      </w:r>
      <w:r>
        <w:t xml:space="preserve"> Delivering efficiently has been challenging in the context, and with the operational model that has been chosen, which affects VfM in terms of internal and external coherence, as well as management overheads. Efficiency has also been challenging to track given the focus on reporting implementation rates and</w:t>
      </w:r>
      <w:r w:rsidR="68B9F027">
        <w:t xml:space="preserve"> </w:t>
      </w:r>
      <w:r>
        <w:t xml:space="preserve">the lack of a link between financial reporting and outputs; this seems to be driven by systems and cultures within the DHSC. Notwithstanding these challenges, the evidence suggests </w:t>
      </w:r>
      <w:r w:rsidR="283E4598">
        <w:t xml:space="preserve">the </w:t>
      </w:r>
      <w:r>
        <w:t>delivery of efficiency and economy</w:t>
      </w:r>
      <w:r w:rsidR="60E309A1">
        <w:t>.</w:t>
      </w:r>
      <w:r>
        <w:t xml:space="preserve"> </w:t>
      </w:r>
      <w:r w:rsidR="60E309A1">
        <w:t xml:space="preserve">On </w:t>
      </w:r>
      <w:r>
        <w:t>economy, there is evidence of significant cost savings delivered by the MA</w:t>
      </w:r>
      <w:r w:rsidR="60E309A1">
        <w:t>;</w:t>
      </w:r>
      <w:r>
        <w:t xml:space="preserve"> savings of around £2.3 million were made on negotiating central procurement. </w:t>
      </w:r>
      <w:r w:rsidR="23B89CA7">
        <w:t>O</w:t>
      </w:r>
      <w:r>
        <w:t>ut of 25 CGs and RGs in our sample</w:t>
      </w:r>
      <w:r w:rsidR="23B89CA7">
        <w:t>, 19</w:t>
      </w:r>
      <w:r>
        <w:t xml:space="preserve"> reported savings, </w:t>
      </w:r>
      <w:r w:rsidR="60E309A1">
        <w:t xml:space="preserve">and </w:t>
      </w:r>
      <w:r>
        <w:t xml:space="preserve">11 grants reported savings of between 2% and 10% of </w:t>
      </w:r>
      <w:r w:rsidR="283E4598">
        <w:t xml:space="preserve">the </w:t>
      </w:r>
      <w:r>
        <w:t>total spend, a level that benchmarks well to similar programmes. On efficiency, there is some evidence that the value of leveraged resources is reasonably significant in some grants . However, this indicator has not been reported or consistently tracked across all grants</w:t>
      </w:r>
      <w:r w:rsidR="283E4598">
        <w:t xml:space="preserve">. </w:t>
      </w:r>
      <w:r>
        <w:t xml:space="preserve">The alignment between Fleming Fund expenditure, </w:t>
      </w:r>
      <w:r w:rsidR="6DAC0430">
        <w:t>contribution,</w:t>
      </w:r>
      <w:r>
        <w:t xml:space="preserve"> and progress in generating quality AMR data was found to be high, suggesting a positive </w:t>
      </w:r>
      <w:r w:rsidR="283E4598">
        <w:t xml:space="preserve">VfM </w:t>
      </w:r>
      <w:r>
        <w:t>outcome.</w:t>
      </w:r>
      <w:bookmarkEnd w:id="409"/>
    </w:p>
    <w:p w14:paraId="372D1840" w14:textId="580820D9" w:rsidR="009E5393" w:rsidRPr="006B08A2" w:rsidRDefault="009E5393" w:rsidP="006B08A2">
      <w:pPr>
        <w:pStyle w:val="ItadNormalText"/>
      </w:pPr>
      <w:r w:rsidRPr="00621AEE">
        <w:t xml:space="preserve">The fact that laboratory functions have been strengthened compared to international norms, and the capacities of key members of the laboratory workforce have been </w:t>
      </w:r>
      <w:r>
        <w:t>built up</w:t>
      </w:r>
      <w:r w:rsidRPr="00621AEE">
        <w:t xml:space="preserve"> means that effectiveness has also been delivered, albeit limited to lower-level or intermediate outcomes at this stage. The effectiveness of outputs delivered under </w:t>
      </w:r>
      <w:r>
        <w:t>phase 1</w:t>
      </w:r>
      <w:r w:rsidRPr="00621AEE">
        <w:t xml:space="preserve"> will be highly contingent on the success of </w:t>
      </w:r>
      <w:r>
        <w:t>phase 2</w:t>
      </w:r>
      <w:r w:rsidRPr="00621AEE">
        <w:t xml:space="preserve"> when the priority shifts to the use of AMR evidence.</w:t>
      </w:r>
    </w:p>
    <w:p w14:paraId="02B96A05" w14:textId="787CE301" w:rsidR="00FF2998" w:rsidRPr="008343D7" w:rsidRDefault="00FF2998" w:rsidP="008A5F96">
      <w:pPr>
        <w:pStyle w:val="ItadNormalTextBold"/>
      </w:pPr>
      <w:r w:rsidRPr="008343D7">
        <w:rPr>
          <w:rFonts w:eastAsia="Calibri"/>
        </w:rPr>
        <w:t>Conclusion 5:</w:t>
      </w:r>
      <w:r w:rsidRPr="008343D7" w:rsidDel="007D2E99">
        <w:rPr>
          <w:rFonts w:eastAsia="Calibri"/>
        </w:rPr>
        <w:t xml:space="preserve"> </w:t>
      </w:r>
      <w:r w:rsidRPr="008343D7">
        <w:t xml:space="preserve">Experience from </w:t>
      </w:r>
      <w:r w:rsidR="00222C91">
        <w:rPr>
          <w:noProof/>
        </w:rPr>
        <w:t>phase 1</w:t>
      </w:r>
      <w:r w:rsidRPr="008343D7">
        <w:t xml:space="preserve"> suggests</w:t>
      </w:r>
      <w:r w:rsidRPr="008343D7" w:rsidDel="00D75FE4">
        <w:t xml:space="preserve"> </w:t>
      </w:r>
      <w:r w:rsidRPr="008343D7" w:rsidDel="00052E3D">
        <w:t xml:space="preserve">the </w:t>
      </w:r>
      <w:r w:rsidRPr="008343D7">
        <w:t xml:space="preserve">Fleming Fund can strengthen its approach through further reflection, including in terms of using a stronger </w:t>
      </w:r>
      <w:r>
        <w:t xml:space="preserve">and prioritised </w:t>
      </w:r>
      <w:r w:rsidRPr="008343D7">
        <w:t xml:space="preserve">sustainability lens </w:t>
      </w:r>
      <w:r>
        <w:t xml:space="preserve">from the start </w:t>
      </w:r>
      <w:r w:rsidRPr="008343D7">
        <w:t>in deciding what support to provide to laboratories, working at the organisational level to sustain capacity</w:t>
      </w:r>
      <w:r w:rsidR="00E278CD">
        <w:t>-</w:t>
      </w:r>
      <w:r w:rsidRPr="008343D7">
        <w:t>building results, focusing on other data types as well as AMR, and differentiating more strongly between support provided to AH and HH.</w:t>
      </w:r>
    </w:p>
    <w:p w14:paraId="1E24F1EC" w14:textId="6D9B6ECB" w:rsidR="00FF2998" w:rsidRPr="008343D7" w:rsidRDefault="00FF2998" w:rsidP="006B08A2">
      <w:pPr>
        <w:pStyle w:val="ItadBullets"/>
      </w:pPr>
      <w:r w:rsidRPr="008343D7">
        <w:rPr>
          <w:i/>
          <w:iCs/>
        </w:rPr>
        <w:t>Laboratory infrastructure enhancement</w:t>
      </w:r>
      <w:r w:rsidRPr="008343D7">
        <w:t xml:space="preserve">. Specific choices about the nature of support provided and rationale for this – e.g. in terms of the sustainability implications of automating laboratory </w:t>
      </w:r>
      <w:r w:rsidRPr="008343D7">
        <w:rPr>
          <w:noProof/>
        </w:rPr>
        <w:t>processes</w:t>
      </w:r>
      <w:r w:rsidRPr="008343D7">
        <w:t xml:space="preserve"> through sophisticated and expensive equipment, and the supply of consumables and reagents.</w:t>
      </w:r>
    </w:p>
    <w:p w14:paraId="0A61B5BE" w14:textId="7EF65CED" w:rsidR="00FF2998" w:rsidRPr="008343D7" w:rsidRDefault="00FF2998" w:rsidP="006B08A2">
      <w:pPr>
        <w:pStyle w:val="ItadBullets"/>
      </w:pPr>
      <w:r w:rsidRPr="008343D7">
        <w:rPr>
          <w:i/>
          <w:iCs/>
        </w:rPr>
        <w:t>Human resource strengthening and workforce reforms</w:t>
      </w:r>
      <w:r w:rsidRPr="008343D7">
        <w:t>. Working at the organisational/</w:t>
      </w:r>
      <w:r w:rsidRPr="008343D7" w:rsidDel="00A0546E">
        <w:t xml:space="preserve"> </w:t>
      </w:r>
      <w:r w:rsidRPr="008343D7">
        <w:t>institutional level to strengthen the sustainability of capacity building (health workforce training) efforts</w:t>
      </w:r>
      <w:r w:rsidR="00832E0F">
        <w:t>.</w:t>
      </w:r>
    </w:p>
    <w:p w14:paraId="6185FDAF" w14:textId="1EB27525" w:rsidR="00FF2998" w:rsidRPr="008343D7" w:rsidRDefault="00FF2998" w:rsidP="006B08A2">
      <w:pPr>
        <w:pStyle w:val="ItadBullets"/>
        <w:rPr>
          <w:rFonts w:eastAsia="Calibri" w:cs="Calibri"/>
        </w:rPr>
      </w:pPr>
      <w:r w:rsidRPr="008343D7">
        <w:rPr>
          <w:rFonts w:eastAsia="Calibri"/>
          <w:i/>
          <w:iCs/>
        </w:rPr>
        <w:t xml:space="preserve">Focus on AMC/U and other types of data. </w:t>
      </w:r>
      <w:r w:rsidRPr="008343D7">
        <w:t>A central assumption of the Fleming Fund is that key national and local stakeholders need to have evidence of both the trends of resistance and the impact that this is having on the health of their populations to</w:t>
      </w:r>
      <w:r w:rsidRPr="008343D7">
        <w:rPr>
          <w:i/>
          <w:iCs/>
        </w:rPr>
        <w:t xml:space="preserve"> </w:t>
      </w:r>
      <w:r w:rsidRPr="008343D7">
        <w:t>ensure AMR is prioritised</w:t>
      </w:r>
      <w:r w:rsidRPr="008343D7">
        <w:rPr>
          <w:i/>
          <w:iCs/>
        </w:rPr>
        <w:t xml:space="preserve">. </w:t>
      </w:r>
      <w:r w:rsidRPr="008343D7">
        <w:t>However</w:t>
      </w:r>
      <w:r w:rsidRPr="008343D7">
        <w:rPr>
          <w:i/>
          <w:iCs/>
        </w:rPr>
        <w:t xml:space="preserve">, </w:t>
      </w:r>
      <w:r w:rsidRPr="008343D7">
        <w:t>since 2018, over half the focus countries have initiated significant policy and regulatory action on AMR at the national level without using significant analysis from Fund investments.</w:t>
      </w:r>
      <w:r w:rsidR="00DC1D8D">
        <w:t xml:space="preserve"> </w:t>
      </w:r>
      <w:r w:rsidRPr="008343D7">
        <w:t xml:space="preserve">This experience suggests that change at </w:t>
      </w:r>
      <w:r w:rsidR="00B61A42">
        <w:t xml:space="preserve">the </w:t>
      </w:r>
      <w:r w:rsidRPr="008343D7">
        <w:t>country level can have other drivers and if identified, a wider range of opportunities for the Fleming Fund to contribute to its higher-level objectives.</w:t>
      </w:r>
    </w:p>
    <w:p w14:paraId="6C61FD3C" w14:textId="3F44E216" w:rsidR="00FF2998" w:rsidRPr="00300891" w:rsidRDefault="00FF2998" w:rsidP="006B08A2">
      <w:pPr>
        <w:pStyle w:val="ItadBullets"/>
        <w:rPr>
          <w:rFonts w:eastAsia="Calibri"/>
          <w:bCs/>
        </w:rPr>
      </w:pPr>
      <w:r w:rsidRPr="008343D7">
        <w:rPr>
          <w:rFonts w:eastAsia="Times New Roman"/>
          <w:i/>
          <w:iCs/>
        </w:rPr>
        <w:t xml:space="preserve">Give greater priority to </w:t>
      </w:r>
      <w:r w:rsidRPr="00300891">
        <w:rPr>
          <w:rFonts w:eastAsia="Times New Roman"/>
          <w:i/>
          <w:iCs/>
        </w:rPr>
        <w:t>sustainability from the start</w:t>
      </w:r>
      <w:r w:rsidRPr="00300891">
        <w:rPr>
          <w:rFonts w:eastAsia="Times New Roman"/>
          <w:b/>
          <w:bCs/>
        </w:rPr>
        <w:t xml:space="preserve">. </w:t>
      </w:r>
      <w:r w:rsidR="00050B00" w:rsidRPr="00EA48CD">
        <w:rPr>
          <w:rFonts w:eastAsia="Times New Roman"/>
        </w:rPr>
        <w:t>Whil</w:t>
      </w:r>
      <w:r w:rsidR="000C2D5D">
        <w:rPr>
          <w:rFonts w:eastAsia="Times New Roman"/>
        </w:rPr>
        <w:t>e</w:t>
      </w:r>
      <w:r w:rsidR="00050B00" w:rsidRPr="00EA48CD">
        <w:rPr>
          <w:rFonts w:eastAsia="Times New Roman"/>
        </w:rPr>
        <w:t xml:space="preserve"> p</w:t>
      </w:r>
      <w:r w:rsidR="00050B00" w:rsidRPr="00EA48CD">
        <w:t xml:space="preserve">hase 2 appears set to address some of the challenges noted in section </w:t>
      </w:r>
      <w:r w:rsidR="00050B00" w:rsidRPr="00EA48CD">
        <w:fldChar w:fldCharType="begin"/>
      </w:r>
      <w:r w:rsidR="00050B00" w:rsidRPr="00EA48CD">
        <w:instrText xml:space="preserve"> REF _Ref128749358 \r \h </w:instrText>
      </w:r>
      <w:r w:rsidR="00300891" w:rsidRPr="00EA48CD">
        <w:instrText xml:space="preserve"> \* MERGEFORMAT </w:instrText>
      </w:r>
      <w:r w:rsidR="00050B00" w:rsidRPr="00EA48CD">
        <w:fldChar w:fldCharType="separate"/>
      </w:r>
      <w:r w:rsidR="00832E0F">
        <w:t>2.3</w:t>
      </w:r>
      <w:r w:rsidR="00050B00" w:rsidRPr="00EA48CD">
        <w:fldChar w:fldCharType="end"/>
      </w:r>
      <w:r w:rsidR="00050B00" w:rsidRPr="00EA48CD">
        <w:t xml:space="preserve"> above, the detail on how this will happen remains unclear to the evaluation team. Sustainability is a shared responsibility between the DHSC, MA team and recipient governments. During phase 1, d</w:t>
      </w:r>
      <w:r w:rsidRPr="00300891">
        <w:rPr>
          <w:rFonts w:eastAsia="Times New Roman"/>
        </w:rPr>
        <w:t xml:space="preserve">eveloping an approach to sustainability that might be effective has been constrained by a lack of consensus on what needs to be sustained. </w:t>
      </w:r>
      <w:r w:rsidRPr="00300891">
        <w:rPr>
          <w:rFonts w:eastAsia="Times New Roman"/>
          <w:noProof/>
        </w:rPr>
        <w:t>At the surveillance</w:t>
      </w:r>
      <w:r w:rsidRPr="00300891">
        <w:rPr>
          <w:rFonts w:eastAsia="Times New Roman"/>
        </w:rPr>
        <w:t xml:space="preserve"> system level, the extent to which it is feasible and realistic to expect governments to allocate scar</w:t>
      </w:r>
      <w:r w:rsidR="00B61A42">
        <w:rPr>
          <w:rFonts w:eastAsia="Times New Roman"/>
        </w:rPr>
        <w:t>c</w:t>
      </w:r>
      <w:r w:rsidRPr="00300891">
        <w:rPr>
          <w:rFonts w:eastAsia="Times New Roman"/>
        </w:rPr>
        <w:t>e domestic resources to AMR surveillance functions, particularly where the investment case is not clear needs to be carefully considered, alongside the question of whether some aspects need to be funded as a global public good.</w:t>
      </w:r>
      <w:r w:rsidRPr="00300891" w:rsidDel="007D2E99">
        <w:rPr>
          <w:rFonts w:eastAsia="Times New Roman"/>
        </w:rPr>
        <w:t xml:space="preserve"> </w:t>
      </w:r>
      <w:r w:rsidR="00300891" w:rsidRPr="00300891">
        <w:rPr>
          <w:rFonts w:eastAsia="Times New Roman"/>
        </w:rPr>
        <w:t>De</w:t>
      </w:r>
      <w:r w:rsidR="004B5362" w:rsidRPr="00300891">
        <w:t xml:space="preserve">veloping plans and strategies for sustainability needs to be done based on </w:t>
      </w:r>
      <w:r w:rsidR="00B61A42">
        <w:t xml:space="preserve">a </w:t>
      </w:r>
      <w:r w:rsidR="004B5362" w:rsidRPr="00300891">
        <w:t xml:space="preserve">detailed, context-specific, politically informed analysis similar to that outlined in section </w:t>
      </w:r>
      <w:r w:rsidR="00D36EB1">
        <w:fldChar w:fldCharType="begin"/>
      </w:r>
      <w:r w:rsidR="00D36EB1">
        <w:instrText xml:space="preserve"> REF _Ref129083432 \r \h </w:instrText>
      </w:r>
      <w:r w:rsidR="00D36EB1">
        <w:fldChar w:fldCharType="separate"/>
      </w:r>
      <w:r w:rsidR="00D36EB1">
        <w:rPr>
          <w:cs/>
        </w:rPr>
        <w:t>‎</w:t>
      </w:r>
      <w:r w:rsidR="00D36EB1">
        <w:t>2.2</w:t>
      </w:r>
      <w:r w:rsidR="00D36EB1">
        <w:fldChar w:fldCharType="end"/>
      </w:r>
      <w:r w:rsidR="004B5362" w:rsidRPr="00300891">
        <w:t xml:space="preserve"> above</w:t>
      </w:r>
      <w:r w:rsidR="00300891" w:rsidRPr="00300891">
        <w:t>.</w:t>
      </w:r>
    </w:p>
    <w:p w14:paraId="063CDEC3" w14:textId="50A23112" w:rsidR="00FF2998" w:rsidRPr="008343D7" w:rsidRDefault="00FF2998" w:rsidP="006B08A2">
      <w:pPr>
        <w:pStyle w:val="ItadBullets"/>
      </w:pPr>
      <w:r w:rsidRPr="008343D7">
        <w:rPr>
          <w:i/>
          <w:iCs/>
        </w:rPr>
        <w:t>Differentiation</w:t>
      </w:r>
      <w:r w:rsidRPr="008343D7">
        <w:t xml:space="preserve"> could also be strengthened by giving more detailed thought to the A</w:t>
      </w:r>
      <w:r w:rsidR="00D0686F">
        <w:t>–</w:t>
      </w:r>
      <w:r w:rsidRPr="008343D7">
        <w:t xml:space="preserve">D categorisation that the MA presented in </w:t>
      </w:r>
      <w:r w:rsidR="00222C91">
        <w:rPr>
          <w:noProof/>
        </w:rPr>
        <w:t>phase 1</w:t>
      </w:r>
      <w:r w:rsidRPr="008343D7">
        <w:t xml:space="preserve"> but which has not been central to targeting change.</w:t>
      </w:r>
    </w:p>
    <w:p w14:paraId="683A8AF8" w14:textId="5496CB8A" w:rsidR="00FF2998" w:rsidRPr="008343D7" w:rsidRDefault="00FF2998" w:rsidP="006B08A2">
      <w:pPr>
        <w:pStyle w:val="ItadNormalText"/>
      </w:pPr>
      <w:bookmarkStart w:id="410" w:name="_Hlk136511249"/>
      <w:r w:rsidRPr="006B08A2">
        <w:rPr>
          <w:b/>
          <w:bCs/>
        </w:rPr>
        <w:t>Conclusion 6: The Fleming Fund deserves recognition for prioritising One Health and for convening cross-sectoral dialogues. The lack of models</w:t>
      </w:r>
      <w:r w:rsidRPr="006B08A2">
        <w:rPr>
          <w:b/>
          <w:bCs/>
          <w:sz w:val="20"/>
          <w:szCs w:val="20"/>
          <w:vertAlign w:val="superscript"/>
        </w:rPr>
        <w:footnoteReference w:id="178"/>
      </w:r>
      <w:r w:rsidRPr="006B08A2">
        <w:rPr>
          <w:b/>
          <w:bCs/>
        </w:rPr>
        <w:t xml:space="preserve"> on how this can be operationalised at </w:t>
      </w:r>
      <w:r w:rsidR="005C34B9" w:rsidRPr="006B08A2">
        <w:rPr>
          <w:b/>
          <w:bCs/>
        </w:rPr>
        <w:t xml:space="preserve">a </w:t>
      </w:r>
      <w:r w:rsidRPr="006B08A2">
        <w:rPr>
          <w:b/>
          <w:bCs/>
        </w:rPr>
        <w:t>national scale has impacted the design of the Fleming Fund</w:t>
      </w:r>
      <w:r w:rsidR="00AA6A7B" w:rsidRPr="006B08A2">
        <w:rPr>
          <w:b/>
          <w:bCs/>
        </w:rPr>
        <w:t>’</w:t>
      </w:r>
      <w:r w:rsidRPr="006B08A2">
        <w:rPr>
          <w:b/>
          <w:bCs/>
        </w:rPr>
        <w:t>s One Health approach. Experience from the joint research aspects of the Fellowship programme</w:t>
      </w:r>
      <w:r w:rsidRPr="006B08A2">
        <w:rPr>
          <w:b/>
          <w:bCs/>
          <w:noProof/>
        </w:rPr>
        <w:t>, which echoes wider experience in One Health,</w:t>
      </w:r>
      <w:r w:rsidR="00DC1D8D" w:rsidRPr="006B08A2">
        <w:rPr>
          <w:b/>
          <w:bCs/>
          <w:noProof/>
        </w:rPr>
        <w:t xml:space="preserve"> </w:t>
      </w:r>
      <w:r w:rsidRPr="006B08A2">
        <w:rPr>
          <w:b/>
          <w:bCs/>
        </w:rPr>
        <w:t xml:space="preserve">may help identify informal mechanisms to replicate during </w:t>
      </w:r>
      <w:r w:rsidR="00AD1BE7" w:rsidRPr="006B08A2">
        <w:rPr>
          <w:b/>
          <w:bCs/>
          <w:noProof/>
        </w:rPr>
        <w:t>phase 2</w:t>
      </w:r>
      <w:r w:rsidRPr="006B08A2">
        <w:rPr>
          <w:b/>
          <w:bCs/>
        </w:rPr>
        <w:t>.</w:t>
      </w:r>
      <w:r w:rsidRPr="008343D7" w:rsidDel="007D2E99">
        <w:t xml:space="preserve"> </w:t>
      </w:r>
      <w:r w:rsidRPr="008343D7">
        <w:rPr>
          <w:rFonts w:eastAsia="Yu Mincho"/>
        </w:rPr>
        <w:t>As discussed</w:t>
      </w:r>
      <w:r w:rsidR="00CE32BB">
        <w:rPr>
          <w:rFonts w:eastAsia="Yu Mincho"/>
        </w:rPr>
        <w:t xml:space="preserve"> </w:t>
      </w:r>
      <w:r w:rsidR="004435E6">
        <w:rPr>
          <w:rFonts w:eastAsia="Yu Mincho"/>
        </w:rPr>
        <w:t xml:space="preserve">in </w:t>
      </w:r>
      <w:r w:rsidR="00CE32BB" w:rsidRPr="006B08A2">
        <w:t xml:space="preserve">section </w:t>
      </w:r>
      <w:r w:rsidR="00CE32BB" w:rsidRPr="008A5F96">
        <w:rPr>
          <w:rStyle w:val="ItadNormalTextChar"/>
        </w:rPr>
        <w:fldChar w:fldCharType="begin"/>
      </w:r>
      <w:r w:rsidR="00CE32BB" w:rsidRPr="008A5F96">
        <w:rPr>
          <w:rStyle w:val="ItadNormalTextChar"/>
        </w:rPr>
        <w:instrText xml:space="preserve"> REF _Ref128750599 \r \h </w:instrText>
      </w:r>
      <w:r w:rsidR="00832E0F">
        <w:rPr>
          <w:rStyle w:val="ItadNormalTextChar"/>
        </w:rPr>
        <w:instrText xml:space="preserve"> \* MERGEFORMAT </w:instrText>
      </w:r>
      <w:r w:rsidR="00CE32BB" w:rsidRPr="008A5F96">
        <w:rPr>
          <w:rStyle w:val="ItadNormalTextChar"/>
        </w:rPr>
      </w:r>
      <w:r w:rsidR="00CE32BB" w:rsidRPr="008A5F96">
        <w:rPr>
          <w:rStyle w:val="ItadNormalTextChar"/>
        </w:rPr>
        <w:fldChar w:fldCharType="separate"/>
      </w:r>
      <w:r w:rsidR="00832E0F" w:rsidRPr="008A5F96">
        <w:rPr>
          <w:rStyle w:val="ItadNormalTextChar"/>
        </w:rPr>
        <w:t>2.2</w:t>
      </w:r>
      <w:r w:rsidR="00CE32BB" w:rsidRPr="008A5F96">
        <w:rPr>
          <w:rStyle w:val="ItadNormalTextChar"/>
        </w:rPr>
        <w:fldChar w:fldCharType="end"/>
      </w:r>
      <w:r w:rsidR="00121848" w:rsidRPr="006B08A2">
        <w:t xml:space="preserve"> and</w:t>
      </w:r>
      <w:r w:rsidR="00CE32BB" w:rsidRPr="006B08A2">
        <w:t xml:space="preserve"> </w:t>
      </w:r>
      <w:r w:rsidR="00832E0F" w:rsidRPr="008A5F96">
        <w:rPr>
          <w:rStyle w:val="ItadNormalTextChar"/>
        </w:rPr>
        <w:fldChar w:fldCharType="begin"/>
      </w:r>
      <w:r w:rsidR="00832E0F" w:rsidRPr="008A5F96">
        <w:rPr>
          <w:rStyle w:val="ItadNormalTextChar"/>
        </w:rPr>
        <w:instrText xml:space="preserve"> REF _Ref129334806 \h </w:instrText>
      </w:r>
      <w:r w:rsidR="00832E0F">
        <w:rPr>
          <w:rStyle w:val="ItadNormalTextChar"/>
        </w:rPr>
        <w:instrText xml:space="preserve"> \* MERGEFORMAT </w:instrText>
      </w:r>
      <w:r w:rsidR="00832E0F" w:rsidRPr="008A5F96">
        <w:rPr>
          <w:rStyle w:val="ItadNormalTextChar"/>
        </w:rPr>
      </w:r>
      <w:r w:rsidR="00B33BBD">
        <w:rPr>
          <w:rStyle w:val="ItadNormalTextChar"/>
        </w:rPr>
        <w:fldChar w:fldCharType="separate"/>
      </w:r>
      <w:r w:rsidR="00832E0F" w:rsidRPr="008A5F96">
        <w:rPr>
          <w:rStyle w:val="ItadNormalTextChar"/>
        </w:rPr>
        <w:fldChar w:fldCharType="end"/>
      </w:r>
      <w:r w:rsidR="008C540E">
        <w:rPr>
          <w:rStyle w:val="ItadNormalTextChar"/>
        </w:rPr>
        <w:fldChar w:fldCharType="begin"/>
      </w:r>
      <w:r w:rsidR="008C540E">
        <w:rPr>
          <w:rStyle w:val="ItadNormalTextChar"/>
        </w:rPr>
        <w:instrText xml:space="preserve"> REF _Ref144720104 \h </w:instrText>
      </w:r>
      <w:r w:rsidR="008C540E">
        <w:rPr>
          <w:rStyle w:val="ItadNormalTextChar"/>
        </w:rPr>
      </w:r>
      <w:r w:rsidR="008C540E">
        <w:rPr>
          <w:rStyle w:val="ItadNormalTextChar"/>
        </w:rPr>
        <w:fldChar w:fldCharType="separate"/>
      </w:r>
      <w:r w:rsidR="00076E67">
        <w:t xml:space="preserve">Box </w:t>
      </w:r>
      <w:r w:rsidR="00076E67">
        <w:rPr>
          <w:noProof/>
        </w:rPr>
        <w:t>7</w:t>
      </w:r>
      <w:r w:rsidR="008C540E">
        <w:rPr>
          <w:rStyle w:val="ItadNormalTextChar"/>
        </w:rPr>
        <w:fldChar w:fldCharType="end"/>
      </w:r>
      <w:r w:rsidRPr="006B08A2">
        <w:t>, even</w:t>
      </w:r>
      <w:r w:rsidRPr="008343D7">
        <w:t xml:space="preserve"> though there was a strong impetus for fostering multisector One Health partnerships around AMR at the time the Fleming Fund started, it relied on limited practical guidance </w:t>
      </w:r>
      <w:r w:rsidR="00D0686F">
        <w:t>on</w:t>
      </w:r>
      <w:r w:rsidR="00D0686F" w:rsidRPr="008343D7">
        <w:t xml:space="preserve"> </w:t>
      </w:r>
      <w:r w:rsidRPr="008343D7">
        <w:t xml:space="preserve">how to successfully operationalise One Health in different country contexts. This is something that the international agencies have only now started to address, as demonstrated in the objectives of the recent </w:t>
      </w:r>
      <w:r w:rsidR="00D015D0" w:rsidRPr="008343D7">
        <w:t>World</w:t>
      </w:r>
      <w:r w:rsidRPr="008343D7">
        <w:t xml:space="preserve"> Health Assembly resolution on One Health</w:t>
      </w:r>
      <w:r w:rsidRPr="008343D7">
        <w:rPr>
          <w:vertAlign w:val="superscript"/>
        </w:rPr>
        <w:footnoteReference w:id="179"/>
      </w:r>
      <w:r w:rsidRPr="008343D7">
        <w:t xml:space="preserve"> and with the development of more structured approaches to implementing One Health.</w:t>
      </w:r>
      <w:r w:rsidRPr="008343D7">
        <w:rPr>
          <w:vertAlign w:val="superscript"/>
        </w:rPr>
        <w:footnoteReference w:id="180"/>
      </w:r>
      <w:r w:rsidRPr="008343D7">
        <w:t xml:space="preserve"> However, there are few examples of where effective One Health approaches are effectively implemented at a national scale</w:t>
      </w:r>
      <w:r w:rsidR="00B30736">
        <w:t xml:space="preserve"> – </w:t>
      </w:r>
      <w:r w:rsidRPr="008343D7">
        <w:t>even in the UK, where perhaps the closest example is the Human Animal Infections and Risk Surveillance group which identifies and assesses emerging infection risks to HH.</w:t>
      </w:r>
      <w:r w:rsidRPr="008343D7">
        <w:rPr>
          <w:vertAlign w:val="superscript"/>
        </w:rPr>
        <w:footnoteReference w:id="181"/>
      </w:r>
      <w:r w:rsidRPr="008343D7">
        <w:t xml:space="preserve"> During this evaluation, we found that One Health partnerships can assume different forms across different countries, including varying levels of formality</w:t>
      </w:r>
      <w:r w:rsidR="00D015D0">
        <w:t>,</w:t>
      </w:r>
      <w:r w:rsidRPr="008343D7">
        <w:t xml:space="preserve"> and that formal and informal modes of partnerships often work together. For example, in Indonesia, the AMRCC under the Ministry of Health (KPRA) borrows its leadership from a professional network of AMR researchers. Similarly, countries such as Bangladesh have been home to active professional networks around One Health, such as One Health Bangladesh, that are able to mobilise research as well as policy action</w:t>
      </w:r>
      <w:r w:rsidR="00AE21DD">
        <w:t xml:space="preserve"> (s</w:t>
      </w:r>
      <w:r w:rsidR="00AE21DD">
        <w:rPr>
          <w:rFonts w:eastAsia="Yu Mincho"/>
        </w:rPr>
        <w:t xml:space="preserve">ee </w:t>
      </w:r>
      <w:r w:rsidR="00AE21DD" w:rsidRPr="008343D7">
        <w:rPr>
          <w:rFonts w:eastAsia="Yu Mincho"/>
        </w:rPr>
        <w:t>Annex 7</w:t>
      </w:r>
      <w:r w:rsidR="00AE21DD">
        <w:rPr>
          <w:rFonts w:eastAsia="Yu Mincho"/>
        </w:rPr>
        <w:t xml:space="preserve"> for more details).</w:t>
      </w:r>
    </w:p>
    <w:p w14:paraId="28F24BC6" w14:textId="7FD362E6" w:rsidR="00FF2998" w:rsidRPr="008343D7" w:rsidRDefault="00FF2998" w:rsidP="006B08A2">
      <w:pPr>
        <w:pStyle w:val="ItadNormalText"/>
      </w:pPr>
      <w:r w:rsidRPr="008343D7">
        <w:t>Working with different degrees of formality/informality in One Health structures across Fleming Fund</w:t>
      </w:r>
      <w:r w:rsidR="00D50F4C">
        <w:t>-</w:t>
      </w:r>
      <w:r w:rsidRPr="008343D7">
        <w:t xml:space="preserve">supported countries is likely to be key during </w:t>
      </w:r>
      <w:r w:rsidR="00AD1BE7">
        <w:t>phase 2</w:t>
      </w:r>
      <w:r w:rsidRPr="008343D7">
        <w:t>, and there is potential to draw on the Fleming Fellows</w:t>
      </w:r>
      <w:r w:rsidR="00AA6A7B">
        <w:t>’</w:t>
      </w:r>
      <w:r w:rsidRPr="008343D7">
        <w:t xml:space="preserve"> joint research projects to learn lessons about supporting multisector collaboration.</w:t>
      </w:r>
    </w:p>
    <w:p w14:paraId="7251B22F" w14:textId="53FE509C" w:rsidR="00FF2998" w:rsidRPr="008343D7" w:rsidRDefault="00FF2998" w:rsidP="006B08A2">
      <w:pPr>
        <w:pStyle w:val="ItadNormalText"/>
        <w:rPr>
          <w:rFonts w:cs="Calibri"/>
        </w:rPr>
      </w:pPr>
      <w:r w:rsidRPr="008343D7">
        <w:t>Therefore, based on these examples, a more adaptive and country-specific approach to fostering One Health partnerships might be more effective in developing stronger and more sustainable One Health partnerships in member countries. This would mean that the Fleming Fund would need to go beyond developing shared datasets and relying on formal structures for promoting One Health. Other mechanisms of promoting One Health as a mechanism to understand and tackle AMR can build upon initiatives such as Fleming Fellows and develop newer opportunities for interaction and engagement across sectors, such as through joint research projects and convening multisector consultations.</w:t>
      </w:r>
      <w:bookmarkEnd w:id="410"/>
    </w:p>
    <w:p w14:paraId="432DAB50" w14:textId="77777777" w:rsidR="00FF2998" w:rsidRPr="008A5F96" w:rsidRDefault="00FF2998" w:rsidP="00D0686F">
      <w:pPr>
        <w:pStyle w:val="ItadH3"/>
      </w:pPr>
      <w:bookmarkStart w:id="411" w:name="_Toc144049415"/>
      <w:bookmarkStart w:id="412" w:name="_Toc144715829"/>
      <w:bookmarkEnd w:id="408"/>
      <w:r w:rsidRPr="008A5F96">
        <w:t>Observations on programme management and implementation</w:t>
      </w:r>
      <w:bookmarkEnd w:id="411"/>
      <w:bookmarkEnd w:id="412"/>
    </w:p>
    <w:p w14:paraId="4A11E7D1" w14:textId="34AE85E6" w:rsidR="00FF2998" w:rsidRPr="008343D7" w:rsidRDefault="00FF2998" w:rsidP="006B08A2">
      <w:pPr>
        <w:pStyle w:val="ItadNormalText"/>
        <w:rPr>
          <w:noProof/>
        </w:rPr>
      </w:pPr>
      <w:bookmarkStart w:id="413" w:name="_Hlk136511532"/>
      <w:bookmarkStart w:id="414" w:name="_Hlk129347083"/>
      <w:r w:rsidRPr="006B08A2">
        <w:rPr>
          <w:b/>
          <w:bCs/>
        </w:rPr>
        <w:t xml:space="preserve">Conclusion 7: </w:t>
      </w:r>
      <w:r w:rsidR="004B5972" w:rsidRPr="00CF3D84">
        <w:rPr>
          <w:b/>
          <w:bCs/>
        </w:rPr>
        <w:t xml:space="preserve">During phase 1, planning by both the MA and DHSC was over-optimistic in terms of the time taken for design and approval and then delivery. It is not clear </w:t>
      </w:r>
      <w:r w:rsidR="004B5972">
        <w:rPr>
          <w:b/>
          <w:bCs/>
        </w:rPr>
        <w:t>whether</w:t>
      </w:r>
      <w:r w:rsidR="004B5972" w:rsidRPr="00CF3D84">
        <w:rPr>
          <w:b/>
          <w:bCs/>
        </w:rPr>
        <w:t xml:space="preserve"> this has been fully addressed for phase 2</w:t>
      </w:r>
      <w:r w:rsidRPr="006B08A2">
        <w:rPr>
          <w:b/>
          <w:bCs/>
        </w:rPr>
        <w:t>.</w:t>
      </w:r>
      <w:r w:rsidRPr="008343D7">
        <w:rPr>
          <w:rFonts w:cs="Calibri"/>
          <w:noProof/>
        </w:rPr>
        <w:t xml:space="preserve"> In practice, less than half of the 23 Fleming Fund countries had received 36 months or more support through CGs by June 2022, which was less than originally expected, although original plans were only ever for 16 countries to have received 36 months (or more) support by the end of </w:t>
      </w:r>
      <w:r w:rsidR="00222C91">
        <w:rPr>
          <w:rFonts w:cs="Calibri"/>
          <w:noProof/>
        </w:rPr>
        <w:t>phase 1</w:t>
      </w:r>
      <w:r w:rsidRPr="008343D7">
        <w:rPr>
          <w:rFonts w:cs="Calibri"/>
          <w:noProof/>
        </w:rPr>
        <w:t xml:space="preserve">. </w:t>
      </w:r>
      <w:r w:rsidRPr="008343D7">
        <w:rPr>
          <w:rFonts w:cs="Calibri"/>
        </w:rPr>
        <w:t xml:space="preserve">Less implementation has been achieved than expected due to a range of factors (some of which were outside MA and DHSC control) including two civil service </w:t>
      </w:r>
      <w:r w:rsidR="000D7769" w:rsidRPr="00483FC0">
        <w:rPr>
          <w:rFonts w:asciiTheme="minorHAnsi" w:hAnsiTheme="minorHAnsi" w:cstheme="minorHAnsi"/>
        </w:rPr>
        <w:t>purdahs</w:t>
      </w:r>
      <w:r w:rsidR="000F66DB">
        <w:rPr>
          <w:rFonts w:asciiTheme="minorHAnsi" w:hAnsiTheme="minorHAnsi" w:cstheme="minorHAnsi"/>
        </w:rPr>
        <w:t>,</w:t>
      </w:r>
      <w:r w:rsidR="000D7769">
        <w:rPr>
          <w:rStyle w:val="FootnoteReference"/>
        </w:rPr>
        <w:footnoteReference w:id="182"/>
      </w:r>
      <w:r w:rsidRPr="008343D7">
        <w:rPr>
          <w:rFonts w:cs="Calibri"/>
        </w:rPr>
        <w:t xml:space="preserve"> delays in contracting the MA, in part due to the length of negotiations between the DHSC and the MA during the inception phase and sign-off on the MA</w:t>
      </w:r>
      <w:r w:rsidR="00AA6A7B">
        <w:rPr>
          <w:rFonts w:cs="Calibri"/>
        </w:rPr>
        <w:t>’</w:t>
      </w:r>
      <w:r w:rsidRPr="008343D7">
        <w:rPr>
          <w:rFonts w:cs="Calibri"/>
        </w:rPr>
        <w:t>s implementation plan (which was extended from eight to 17 months), due to country positioning and competitive tendering taking longer than expected (including in the approval of key documentation by DHSC),</w:t>
      </w:r>
      <w:r w:rsidRPr="008343D7">
        <w:rPr>
          <w:rFonts w:cs="Calibri"/>
          <w:vertAlign w:val="superscript"/>
        </w:rPr>
        <w:footnoteReference w:id="183"/>
      </w:r>
      <w:r w:rsidRPr="008343D7">
        <w:rPr>
          <w:rFonts w:cs="Calibri"/>
        </w:rPr>
        <w:t xml:space="preserve"> due to COVID-19, and due to the challenges of working in specific country contexts. The competitive tender process required by HMG procurement rules was time-consuming and of limited relevance in the context of a highly technical intervention where the pool of qualified suppliers is small. </w:t>
      </w:r>
      <w:r w:rsidRPr="008343D7">
        <w:rPr>
          <w:noProof/>
        </w:rPr>
        <w:t>CG implementation, therefore, began two years after the start of the programme and the Fleming Fund has been playing catch-up from that point onwards. Whil</w:t>
      </w:r>
      <w:r w:rsidR="000C2D5D">
        <w:rPr>
          <w:noProof/>
        </w:rPr>
        <w:t>e</w:t>
      </w:r>
      <w:r w:rsidRPr="008343D7">
        <w:rPr>
          <w:noProof/>
        </w:rPr>
        <w:t xml:space="preserve"> these issues are well known by the MA and DHSC, there is an understandable risk that ambition and realism are not well balanced in setting expectations for what can be delivered in </w:t>
      </w:r>
      <w:r w:rsidR="00AD1BE7">
        <w:rPr>
          <w:noProof/>
        </w:rPr>
        <w:t>phase 2</w:t>
      </w:r>
      <w:r w:rsidRPr="008343D7">
        <w:rPr>
          <w:noProof/>
        </w:rPr>
        <w:t>.</w:t>
      </w:r>
      <w:bookmarkEnd w:id="413"/>
    </w:p>
    <w:p w14:paraId="2BF708E8" w14:textId="54CDB94E" w:rsidR="00FF2998" w:rsidRPr="008343D7" w:rsidRDefault="00FF2998" w:rsidP="006B08A2">
      <w:pPr>
        <w:pStyle w:val="ItadNormalText"/>
        <w:rPr>
          <w:noProof/>
        </w:rPr>
      </w:pPr>
      <w:bookmarkStart w:id="415" w:name="_Hlk136511641"/>
      <w:r w:rsidRPr="006B08A2">
        <w:rPr>
          <w:b/>
          <w:bCs/>
        </w:rPr>
        <w:t xml:space="preserve">Conclusion 8: The complexity of the programme, with multiple Fund grantees operating at </w:t>
      </w:r>
      <w:r w:rsidR="005C34B9" w:rsidRPr="006B08A2">
        <w:rPr>
          <w:b/>
          <w:bCs/>
        </w:rPr>
        <w:t xml:space="preserve">the </w:t>
      </w:r>
      <w:r w:rsidRPr="006B08A2">
        <w:rPr>
          <w:b/>
          <w:bCs/>
        </w:rPr>
        <w:t>country level, has made it challenging to deliver coherence across the Fleming Fund</w:t>
      </w:r>
      <w:r w:rsidR="00AA6A7B" w:rsidRPr="006B08A2">
        <w:rPr>
          <w:b/>
          <w:bCs/>
        </w:rPr>
        <w:t>’</w:t>
      </w:r>
      <w:r w:rsidRPr="006B08A2">
        <w:rPr>
          <w:b/>
          <w:bCs/>
        </w:rPr>
        <w:t>s investments. This has been exacerbated by the DHSC</w:t>
      </w:r>
      <w:r w:rsidR="00AA6A7B" w:rsidRPr="006B08A2">
        <w:rPr>
          <w:b/>
          <w:bCs/>
        </w:rPr>
        <w:t>’</w:t>
      </w:r>
      <w:r w:rsidRPr="006B08A2">
        <w:rPr>
          <w:b/>
          <w:bCs/>
        </w:rPr>
        <w:t>s decision to expand the number of grantees. The challenge was recognised, and progress was made but focused mainly on avoiding duplication. Less progress has been made in enhancing synergy and greater overall effectiveness. Evidence of external coherence with external partners is strong within limits but reflects the lack of working formal government coordination mechanisms</w:t>
      </w:r>
      <w:r w:rsidR="000A0B94" w:rsidRPr="006B08A2">
        <w:rPr>
          <w:b/>
          <w:bCs/>
        </w:rPr>
        <w:t>: ultimately external coherence should be the remit of AMRCCs but these are not always fully functional and do not always include all relevant non-government stakeholders</w:t>
      </w:r>
      <w:r w:rsidRPr="006B08A2">
        <w:rPr>
          <w:b/>
          <w:bCs/>
        </w:rPr>
        <w:t>.</w:t>
      </w:r>
      <w:r w:rsidRPr="008343D7">
        <w:t xml:space="preserve"> Internal coordination has been hampered by management arrangements within the MA, decisions to keep different grant streams separate to avoid creating dependencies, and the lack of country-level capacity to fulfil a coordination function. This challenge was exacerbated by the DHSC</w:t>
      </w:r>
      <w:r w:rsidR="00AA6A7B">
        <w:t>’</w:t>
      </w:r>
      <w:r w:rsidRPr="008343D7">
        <w:t>s decision to introduce a series of additional direct grants (e.g. to C</w:t>
      </w:r>
      <w:r w:rsidR="00F66506">
        <w:t>ommon Pharmaceutical Association</w:t>
      </w:r>
      <w:r w:rsidRPr="008343D7">
        <w:t xml:space="preserve">, FIND, </w:t>
      </w:r>
      <w:r w:rsidR="00677137">
        <w:t xml:space="preserve">and </w:t>
      </w:r>
      <w:r w:rsidRPr="008343D7">
        <w:t xml:space="preserve">South Centre) during 2018/19 which meant that at times more than five different implementers were present at </w:t>
      </w:r>
      <w:r w:rsidR="00677137">
        <w:t xml:space="preserve">the </w:t>
      </w:r>
      <w:r w:rsidRPr="008343D7">
        <w:t xml:space="preserve">country level, with no single voice, which increased transaction costs for country stakeholders. The advent of country coordination meetings has helped, but there is scope to further strengthen synergies between grant streams during </w:t>
      </w:r>
      <w:r w:rsidR="00AD1BE7">
        <w:t>phase 2</w:t>
      </w:r>
      <w:r w:rsidRPr="008343D7">
        <w:t>.</w:t>
      </w:r>
    </w:p>
    <w:p w14:paraId="3F1D66CD" w14:textId="520922D6" w:rsidR="00FF2998" w:rsidRPr="008343D7" w:rsidRDefault="00FF2998" w:rsidP="006B08A2">
      <w:pPr>
        <w:pStyle w:val="ItadNormalText"/>
        <w:rPr>
          <w:noProof/>
        </w:rPr>
      </w:pPr>
      <w:r w:rsidRPr="008343D7">
        <w:rPr>
          <w:noProof/>
        </w:rPr>
        <w:t xml:space="preserve">The lack of sufficient coordination and external coherence means that opportunities to enhance effectiveness </w:t>
      </w:r>
      <w:r w:rsidRPr="008343D7">
        <w:t xml:space="preserve">(in terms of linkages to other relevant agendas) </w:t>
      </w:r>
      <w:r w:rsidRPr="008343D7">
        <w:rPr>
          <w:noProof/>
        </w:rPr>
        <w:t xml:space="preserve">have been missed. Progress on addressing external coherence may be key given the aspirations in </w:t>
      </w:r>
      <w:r w:rsidR="00AD1BE7">
        <w:rPr>
          <w:noProof/>
        </w:rPr>
        <w:t>phase 2</w:t>
      </w:r>
      <w:r w:rsidRPr="008343D7">
        <w:rPr>
          <w:noProof/>
        </w:rPr>
        <w:t xml:space="preserve"> but the experience of </w:t>
      </w:r>
      <w:r w:rsidR="00222C91">
        <w:rPr>
          <w:noProof/>
        </w:rPr>
        <w:t>phase 1</w:t>
      </w:r>
      <w:r w:rsidRPr="008343D7">
        <w:rPr>
          <w:noProof/>
        </w:rPr>
        <w:t xml:space="preserve"> suggests that several of the contextual conditions that would have facilitated achieving external coherence (in terms of AMRCCs and NAPs) are missing and a feasible solution has not been identified.</w:t>
      </w:r>
      <w:r w:rsidRPr="008343D7">
        <w:rPr>
          <w:b/>
          <w:noProof/>
        </w:rPr>
        <w:t xml:space="preserve"> </w:t>
      </w:r>
      <w:r w:rsidRPr="008343D7">
        <w:rPr>
          <w:noProof/>
        </w:rPr>
        <w:t xml:space="preserve">The assumption is that the Fleming Fund works within countries with AMR NAPs which identify prioritised actions and a functional multisectoral coordinating mechanism (AMRCC) and </w:t>
      </w:r>
      <w:r w:rsidR="00A5658C">
        <w:rPr>
          <w:noProof/>
        </w:rPr>
        <w:t>technical working group</w:t>
      </w:r>
      <w:r w:rsidRPr="008343D7">
        <w:rPr>
          <w:noProof/>
        </w:rPr>
        <w:t>s with clear ToR, budget and an accountability framework. This is the institutional model assumed throughout the HH sector in LMICs and is the foundation for the business models of vertical funds such as the Global Fund to Fight AIDS, Tuberculosis and Malaria and the Global Vaccine Alliance (Gavi). External coherence between funds and interventions by all parties</w:t>
      </w:r>
      <w:r w:rsidR="000E2D7C">
        <w:rPr>
          <w:noProof/>
        </w:rPr>
        <w:t>,</w:t>
      </w:r>
      <w:r w:rsidRPr="008343D7">
        <w:rPr>
          <w:noProof/>
        </w:rPr>
        <w:t xml:space="preserve"> whether within government or by external parties</w:t>
      </w:r>
      <w:r w:rsidR="000E2D7C">
        <w:rPr>
          <w:noProof/>
        </w:rPr>
        <w:t>,</w:t>
      </w:r>
      <w:r w:rsidRPr="008343D7">
        <w:rPr>
          <w:noProof/>
        </w:rPr>
        <w:t xml:space="preserve"> should be delivered through this framework and depends upon strong leadership by the government.</w:t>
      </w:r>
    </w:p>
    <w:p w14:paraId="65FD9AFD" w14:textId="3584B28E" w:rsidR="00FF2998" w:rsidRPr="008343D7" w:rsidRDefault="005C34B9" w:rsidP="0000609E">
      <w:pPr>
        <w:pStyle w:val="ItadNormalText"/>
        <w:rPr>
          <w:rFonts w:eastAsia="Calibri" w:cs="Calibri"/>
          <w:b/>
          <w:noProof/>
        </w:rPr>
      </w:pPr>
      <w:r w:rsidRPr="0000609E">
        <w:t xml:space="preserve">Phase </w:t>
      </w:r>
      <w:r w:rsidR="00222C91" w:rsidRPr="0000609E">
        <w:t>1</w:t>
      </w:r>
      <w:r w:rsidR="00FF2998" w:rsidRPr="0000609E">
        <w:t xml:space="preserve"> experience is that AMR NAPs and AMRCCs have limitations in providing an organising, driving framework for action and external coordination. As discussed in section </w:t>
      </w:r>
      <w:r w:rsidRPr="008A5F96">
        <w:rPr>
          <w:rStyle w:val="ItadNormalTextChar"/>
        </w:rPr>
        <w:fldChar w:fldCharType="begin"/>
      </w:r>
      <w:r w:rsidRPr="008A5F96">
        <w:rPr>
          <w:rStyle w:val="ItadNormalTextChar"/>
        </w:rPr>
        <w:instrText xml:space="preserve"> REF _Ref129083432 \r \h </w:instrText>
      </w:r>
      <w:r>
        <w:rPr>
          <w:rStyle w:val="ItadNormalTextChar"/>
        </w:rPr>
        <w:instrText xml:space="preserve"> \* MERGEFORMAT </w:instrText>
      </w:r>
      <w:r w:rsidRPr="008A5F96">
        <w:rPr>
          <w:rStyle w:val="ItadNormalTextChar"/>
        </w:rPr>
      </w:r>
      <w:r w:rsidRPr="008A5F96">
        <w:rPr>
          <w:rStyle w:val="ItadNormalTextChar"/>
        </w:rPr>
        <w:fldChar w:fldCharType="separate"/>
      </w:r>
      <w:r w:rsidRPr="008A5F96">
        <w:rPr>
          <w:rStyle w:val="ItadNormalTextChar"/>
        </w:rPr>
        <w:t>2.2</w:t>
      </w:r>
      <w:r w:rsidRPr="008A5F96">
        <w:rPr>
          <w:rStyle w:val="ItadNormalTextChar"/>
        </w:rPr>
        <w:fldChar w:fldCharType="end"/>
      </w:r>
      <w:r w:rsidR="00FF2998" w:rsidRPr="0000609E">
        <w:t>, the lack of NAP implementation in most countries has undermined the prospects for surveillance data sharing leading to national actions on AMR. The Fleming Fund has invested in the surveillance aspects of NAPs, but other important pillars have remained unfunded/underinvested.</w:t>
      </w:r>
      <w:r w:rsidR="00FF2998" w:rsidRPr="0000609E" w:rsidDel="007D2E99">
        <w:t xml:space="preserve"> </w:t>
      </w:r>
      <w:r w:rsidR="00FF2998" w:rsidRPr="008343D7">
        <w:rPr>
          <w:rFonts w:eastAsia="Calibri" w:cs="Calibri"/>
          <w:bCs/>
          <w:noProof/>
        </w:rPr>
        <w:t>This Fleming Fund-specific experience reflects broader experience, as shown in TrAC</w:t>
      </w:r>
      <w:r w:rsidR="002944F0">
        <w:rPr>
          <w:rFonts w:eastAsia="Calibri" w:cs="Calibri"/>
          <w:bCs/>
          <w:noProof/>
        </w:rPr>
        <w:t>S</w:t>
      </w:r>
      <w:r w:rsidR="00FF2998" w:rsidRPr="008343D7">
        <w:rPr>
          <w:rFonts w:eastAsia="Calibri" w:cs="Calibri"/>
          <w:bCs/>
          <w:noProof/>
        </w:rPr>
        <w:t>S. Given this context, the Fleming Fund</w:t>
      </w:r>
      <w:r w:rsidR="00AA6A7B">
        <w:rPr>
          <w:rFonts w:eastAsia="Calibri" w:cs="Calibri"/>
          <w:bCs/>
          <w:noProof/>
        </w:rPr>
        <w:t>’</w:t>
      </w:r>
      <w:r w:rsidR="00FF2998" w:rsidRPr="008343D7">
        <w:rPr>
          <w:rFonts w:eastAsia="Calibri" w:cs="Calibri"/>
          <w:bCs/>
          <w:noProof/>
        </w:rPr>
        <w:t>s choice is either to provide more substantive support to strengthen AMRCCs and NAPs if not provided by others (although evidence would suggest this direction is fraught with challenges) or pay greater attention to the political economy of decision</w:t>
      </w:r>
      <w:r w:rsidR="00E278CD">
        <w:rPr>
          <w:rFonts w:eastAsia="Calibri" w:cs="Calibri"/>
          <w:bCs/>
          <w:noProof/>
        </w:rPr>
        <w:t>-</w:t>
      </w:r>
      <w:r w:rsidR="00FF2998" w:rsidRPr="008343D7">
        <w:rPr>
          <w:rFonts w:eastAsia="Calibri" w:cs="Calibri"/>
          <w:bCs/>
          <w:noProof/>
        </w:rPr>
        <w:t>making in each country</w:t>
      </w:r>
      <w:r w:rsidR="000E2D7C">
        <w:rPr>
          <w:rFonts w:eastAsia="Calibri" w:cs="Calibri"/>
          <w:bCs/>
          <w:noProof/>
        </w:rPr>
        <w:t xml:space="preserve"> to</w:t>
      </w:r>
      <w:r w:rsidR="00FF2998" w:rsidRPr="008343D7">
        <w:rPr>
          <w:rFonts w:eastAsia="Calibri" w:cs="Calibri"/>
          <w:bCs/>
          <w:noProof/>
        </w:rPr>
        <w:t xml:space="preserve"> link Fund support better into institutional (sectoral) homes of the AMR agenda. For instance, there is potential for closer collaboration with related programmes, </w:t>
      </w:r>
      <w:r w:rsidR="00512B23">
        <w:rPr>
          <w:rFonts w:eastAsia="Calibri" w:cs="Calibri"/>
          <w:bCs/>
          <w:noProof/>
        </w:rPr>
        <w:t>e.g. in</w:t>
      </w:r>
      <w:r w:rsidR="00FF2998" w:rsidRPr="008343D7">
        <w:rPr>
          <w:rFonts w:eastAsia="Calibri" w:cs="Calibri"/>
          <w:bCs/>
          <w:noProof/>
        </w:rPr>
        <w:t xml:space="preserve"> the </w:t>
      </w:r>
      <w:r w:rsidR="001F2B3D">
        <w:rPr>
          <w:rFonts w:eastAsia="Calibri" w:cs="Calibri"/>
          <w:bCs/>
          <w:noProof/>
        </w:rPr>
        <w:t>global health security</w:t>
      </w:r>
      <w:r w:rsidR="00FF2998" w:rsidRPr="008343D7">
        <w:rPr>
          <w:rFonts w:eastAsia="Calibri" w:cs="Calibri"/>
          <w:bCs/>
          <w:noProof/>
        </w:rPr>
        <w:t xml:space="preserve"> space, and potential for the Fleming Fund to leverage donor funding for </w:t>
      </w:r>
      <w:r w:rsidR="001F2B3D">
        <w:rPr>
          <w:rFonts w:eastAsia="Calibri" w:cs="Calibri"/>
          <w:bCs/>
          <w:noProof/>
        </w:rPr>
        <w:t>global health security</w:t>
      </w:r>
      <w:r w:rsidR="001F2B3D" w:rsidRPr="008343D7">
        <w:rPr>
          <w:rFonts w:eastAsia="Calibri" w:cs="Calibri"/>
          <w:bCs/>
          <w:noProof/>
        </w:rPr>
        <w:t xml:space="preserve"> </w:t>
      </w:r>
      <w:r w:rsidR="00FF2998" w:rsidRPr="008343D7">
        <w:rPr>
          <w:rFonts w:eastAsia="Calibri" w:cs="Calibri"/>
          <w:bCs/>
          <w:noProof/>
        </w:rPr>
        <w:t>for AMR-related investments – e.g. in strengthening broader laboratory capacity. This choice has not been taken.</w:t>
      </w:r>
    </w:p>
    <w:p w14:paraId="4D2FD7EA" w14:textId="10187536" w:rsidR="00FF2998" w:rsidRPr="008343D7" w:rsidRDefault="00597AE6" w:rsidP="0000609E">
      <w:pPr>
        <w:pStyle w:val="ItadNormalText"/>
        <w:rPr>
          <w:rFonts w:eastAsia="Calibri" w:cs="Calibri"/>
          <w:bCs/>
          <w:noProof/>
        </w:rPr>
      </w:pPr>
      <w:r>
        <w:rPr>
          <w:noProof/>
          <w:lang w:eastAsia="en-GB"/>
        </w:rPr>
        <w:t>This is</w:t>
      </w:r>
      <w:r w:rsidR="00FF2998" w:rsidRPr="008343D7">
        <w:rPr>
          <w:noProof/>
          <w:lang w:eastAsia="en-GB"/>
        </w:rPr>
        <w:t xml:space="preserve"> link</w:t>
      </w:r>
      <w:r w:rsidR="00AD3AA8">
        <w:rPr>
          <w:noProof/>
          <w:lang w:eastAsia="en-GB"/>
        </w:rPr>
        <w:t>ed</w:t>
      </w:r>
      <w:r w:rsidR="00FF2998" w:rsidRPr="008343D7">
        <w:rPr>
          <w:noProof/>
          <w:lang w:eastAsia="en-GB"/>
        </w:rPr>
        <w:t xml:space="preserve"> to the challenge of ensuring external coherence with other donors that our KIIs suggest are investing in the HH AMR sphere – </w:t>
      </w:r>
      <w:r w:rsidR="00FF2998" w:rsidRPr="008343D7">
        <w:rPr>
          <w:rFonts w:eastAsia="Calibri" w:cs="Calibri"/>
        </w:rPr>
        <w:t>principally the Australian Department of Foreign Affairs and Trade (</w:t>
      </w:r>
      <w:r w:rsidR="00FF2998" w:rsidRPr="008343D7">
        <w:rPr>
          <w:rFonts w:eastAsia="Calibri" w:cs="Calibri"/>
          <w:noProof/>
        </w:rPr>
        <w:t>DFAT</w:t>
      </w:r>
      <w:r w:rsidR="00FF2998" w:rsidRPr="008343D7">
        <w:rPr>
          <w:rFonts w:eastAsia="Calibri" w:cs="Calibri"/>
        </w:rPr>
        <w:t xml:space="preserve">), CDC and USAID. Evidence suggests that, in the absence of prioritisation through AMRCCs, this coordination is happening to some degree in some countries, but ad hoc and based on existing relationships of grantees at the country level. However, KIIs also note that many decisions that frame the scope for coordination/coherence between investments at </w:t>
      </w:r>
      <w:r w:rsidR="005C34B9">
        <w:rPr>
          <w:rFonts w:eastAsia="Calibri" w:cs="Calibri"/>
        </w:rPr>
        <w:t xml:space="preserve">the </w:t>
      </w:r>
      <w:r w:rsidR="00FF2998" w:rsidRPr="008343D7">
        <w:rPr>
          <w:rFonts w:eastAsia="Calibri" w:cs="Calibri"/>
        </w:rPr>
        <w:t xml:space="preserve">country level are taken in the donor organisation capitals and during the design of the overall interventions (e.g. of regional programmes). This would suggest that enhancing external coherence needs to incorporate, at least for some donors and programmes, engagement at </w:t>
      </w:r>
      <w:r w:rsidR="005C34B9">
        <w:rPr>
          <w:rFonts w:eastAsia="Calibri" w:cs="Calibri"/>
        </w:rPr>
        <w:t xml:space="preserve">the </w:t>
      </w:r>
      <w:r w:rsidR="00FF2998" w:rsidRPr="008343D7">
        <w:rPr>
          <w:rFonts w:eastAsia="Calibri" w:cs="Calibri"/>
        </w:rPr>
        <w:t>donor headquarters</w:t>
      </w:r>
      <w:r w:rsidR="005C34B9">
        <w:rPr>
          <w:rFonts w:eastAsia="Calibri" w:cs="Calibri"/>
        </w:rPr>
        <w:t xml:space="preserve"> </w:t>
      </w:r>
      <w:r w:rsidR="00FF2998" w:rsidRPr="008343D7">
        <w:rPr>
          <w:rFonts w:eastAsia="Calibri" w:cs="Calibri"/>
        </w:rPr>
        <w:t xml:space="preserve">level to complement country-level engagement through AMRCCs and relevant country-level decision-making bodies. This was started in </w:t>
      </w:r>
      <w:r w:rsidR="00222C91">
        <w:rPr>
          <w:rFonts w:eastAsia="Calibri" w:cs="Calibri"/>
        </w:rPr>
        <w:t>phase 1</w:t>
      </w:r>
      <w:r w:rsidR="00FF2998" w:rsidRPr="008343D7">
        <w:rPr>
          <w:rFonts w:eastAsia="Calibri" w:cs="Calibri"/>
        </w:rPr>
        <w:t xml:space="preserve"> of the Fleming Fund but we are not aware that this has been taken forward substantively since the pandemic. Similar arguments apply in the One Health/AH arena, where the World Bank reports that it currently has over US$1.5 billion devoted to One Health in operations, including livestock and agriculture projects that include One Health approaches, and One Health-oriented projects that focus entirely on reducing the risk of emerging health threats.</w:t>
      </w:r>
      <w:bookmarkEnd w:id="415"/>
      <w:r w:rsidR="00FF2998" w:rsidRPr="008343D7">
        <w:rPr>
          <w:rFonts w:eastAsia="Calibri" w:cs="Calibri"/>
          <w:bCs/>
          <w:noProof/>
          <w:sz w:val="20"/>
          <w:szCs w:val="20"/>
          <w:vertAlign w:val="superscript"/>
        </w:rPr>
        <w:footnoteReference w:id="184"/>
      </w:r>
    </w:p>
    <w:p w14:paraId="3F7B1D73" w14:textId="6DD398FE" w:rsidR="00FF2998" w:rsidRPr="008343D7" w:rsidRDefault="00FF2998" w:rsidP="008A5F96">
      <w:pPr>
        <w:pStyle w:val="ItadH2Numbered"/>
        <w:rPr>
          <w:lang w:eastAsia="en-GB"/>
        </w:rPr>
      </w:pPr>
      <w:bookmarkStart w:id="416" w:name="_Toc144715830"/>
      <w:bookmarkEnd w:id="414"/>
      <w:r w:rsidRPr="008343D7">
        <w:rPr>
          <w:lang w:eastAsia="en-GB"/>
        </w:rPr>
        <w:t xml:space="preserve">Strengths and weaknesses of the current programme design in terms of contributing to the overall longer-term objectives of the Fleming Fund as articulated in the Business Case for </w:t>
      </w:r>
      <w:r w:rsidR="00AD1BE7">
        <w:rPr>
          <w:lang w:eastAsia="en-GB"/>
        </w:rPr>
        <w:t>phase 2</w:t>
      </w:r>
      <w:bookmarkEnd w:id="416"/>
    </w:p>
    <w:p w14:paraId="71259EC3" w14:textId="3CCD47D0" w:rsidR="00FF2998" w:rsidRPr="008343D7" w:rsidRDefault="00FF2998" w:rsidP="0000609E">
      <w:pPr>
        <w:pStyle w:val="ItadNormalText"/>
        <w:rPr>
          <w:lang w:eastAsia="en-GB"/>
        </w:rPr>
      </w:pPr>
      <w:bookmarkStart w:id="417" w:name="_Hlk136511890"/>
      <w:bookmarkStart w:id="418" w:name="_Hlk129347539"/>
      <w:r w:rsidRPr="008343D7">
        <w:rPr>
          <w:lang w:eastAsia="en-GB"/>
        </w:rPr>
        <w:t xml:space="preserve">The previous conclusions include a number of strengths in the </w:t>
      </w:r>
      <w:r w:rsidR="00222C91">
        <w:rPr>
          <w:lang w:eastAsia="en-GB"/>
        </w:rPr>
        <w:t>phase 1</w:t>
      </w:r>
      <w:r w:rsidRPr="008343D7">
        <w:rPr>
          <w:lang w:eastAsia="en-GB"/>
        </w:rPr>
        <w:t xml:space="preserve"> approach that the Fleming Fund should build upon. Below we highlight a key conclusion that is critical for the Fleming Fund to address moving forward, given the evolving context and focus on contributing to the ultimate objectives of the Fleming Fund.</w:t>
      </w:r>
      <w:bookmarkEnd w:id="417"/>
    </w:p>
    <w:p w14:paraId="4B2FFB83" w14:textId="448FE119" w:rsidR="007443C5" w:rsidRDefault="00FF2998" w:rsidP="0000609E">
      <w:pPr>
        <w:pStyle w:val="ItadNormalText"/>
      </w:pPr>
      <w:bookmarkStart w:id="419" w:name="_Hlk136511946"/>
      <w:r w:rsidRPr="0000609E">
        <w:rPr>
          <w:b/>
          <w:bCs/>
        </w:rPr>
        <w:t>Conclusion 9:</w:t>
      </w:r>
      <w:r w:rsidRPr="0000609E" w:rsidDel="00D34A34">
        <w:rPr>
          <w:b/>
          <w:bCs/>
        </w:rPr>
        <w:t xml:space="preserve"> </w:t>
      </w:r>
      <w:r w:rsidRPr="0000609E">
        <w:rPr>
          <w:b/>
          <w:bCs/>
        </w:rPr>
        <w:t xml:space="preserve">The Fleming Fund approach to managing for effectiveness </w:t>
      </w:r>
      <w:r w:rsidR="004C3664">
        <w:rPr>
          <w:b/>
          <w:bCs/>
        </w:rPr>
        <w:t>could be</w:t>
      </w:r>
      <w:r w:rsidR="00F84663" w:rsidRPr="0000609E">
        <w:rPr>
          <w:b/>
          <w:bCs/>
        </w:rPr>
        <w:t xml:space="preserve"> strengthen</w:t>
      </w:r>
      <w:r w:rsidR="004C3664">
        <w:rPr>
          <w:b/>
          <w:bCs/>
        </w:rPr>
        <w:t>ed</w:t>
      </w:r>
      <w:r w:rsidRPr="0000609E">
        <w:rPr>
          <w:b/>
          <w:bCs/>
        </w:rPr>
        <w:t xml:space="preserve"> at the country and portfolio levels. There has been progress in this regard during the course of </w:t>
      </w:r>
      <w:r w:rsidR="00222C91" w:rsidRPr="0000609E">
        <w:rPr>
          <w:b/>
          <w:bCs/>
        </w:rPr>
        <w:t>phase 1</w:t>
      </w:r>
      <w:r w:rsidRPr="0000609E">
        <w:rPr>
          <w:b/>
          <w:bCs/>
        </w:rPr>
        <w:t>,</w:t>
      </w:r>
      <w:r w:rsidR="001B14DA" w:rsidRPr="0000609E">
        <w:rPr>
          <w:b/>
          <w:bCs/>
        </w:rPr>
        <w:t xml:space="preserve"> in terms of developing a portfolio-level </w:t>
      </w:r>
      <w:r w:rsidR="00007676">
        <w:rPr>
          <w:b/>
          <w:bCs/>
        </w:rPr>
        <w:t>ToC</w:t>
      </w:r>
      <w:r w:rsidR="001B14DA" w:rsidRPr="0000609E">
        <w:rPr>
          <w:b/>
          <w:bCs/>
        </w:rPr>
        <w:t xml:space="preserve"> and a core set of indicators</w:t>
      </w:r>
      <w:r w:rsidR="002F59A4" w:rsidRPr="0000609E">
        <w:rPr>
          <w:b/>
          <w:bCs/>
        </w:rPr>
        <w:t>;</w:t>
      </w:r>
      <w:r w:rsidRPr="0000609E" w:rsidDel="00637D5F">
        <w:rPr>
          <w:b/>
          <w:bCs/>
        </w:rPr>
        <w:t xml:space="preserve"> </w:t>
      </w:r>
      <w:r w:rsidRPr="0000609E">
        <w:rPr>
          <w:b/>
          <w:bCs/>
        </w:rPr>
        <w:t>and the challenges observed reflect factors common in many aid programmes</w:t>
      </w:r>
      <w:r w:rsidR="002F59A4" w:rsidRPr="0000609E">
        <w:rPr>
          <w:b/>
          <w:bCs/>
        </w:rPr>
        <w:t>. B</w:t>
      </w:r>
      <w:r w:rsidRPr="0000609E">
        <w:rPr>
          <w:b/>
          <w:bCs/>
        </w:rPr>
        <w:t>ut</w:t>
      </w:r>
      <w:r w:rsidRPr="0000609E" w:rsidDel="00637D5F">
        <w:rPr>
          <w:b/>
          <w:bCs/>
        </w:rPr>
        <w:t xml:space="preserve"> </w:t>
      </w:r>
      <w:r w:rsidRPr="0000609E">
        <w:rPr>
          <w:b/>
          <w:bCs/>
        </w:rPr>
        <w:t xml:space="preserve">some challenges are particular to the Fleming Fund, and addressing these will be of increasing importance in </w:t>
      </w:r>
      <w:r w:rsidR="00AD1BE7" w:rsidRPr="0000609E">
        <w:rPr>
          <w:b/>
          <w:bCs/>
        </w:rPr>
        <w:t>phase 2</w:t>
      </w:r>
      <w:r w:rsidRPr="0000609E">
        <w:rPr>
          <w:b/>
          <w:bCs/>
        </w:rPr>
        <w:t>.</w:t>
      </w:r>
      <w:r w:rsidRPr="008343D7">
        <w:t xml:space="preserve"> The 2015 ICAI review of </w:t>
      </w:r>
      <w:r w:rsidR="001210BF">
        <w:t xml:space="preserve">the UK’s former </w:t>
      </w:r>
      <w:r w:rsidRPr="008343D7">
        <w:t>DFID</w:t>
      </w:r>
      <w:r w:rsidR="00AA6A7B">
        <w:t>’</w:t>
      </w:r>
      <w:r w:rsidRPr="008343D7">
        <w:t>s approach to delivering impact</w:t>
      </w:r>
      <w:r w:rsidRPr="008343D7">
        <w:rPr>
          <w:sz w:val="20"/>
          <w:szCs w:val="20"/>
          <w:vertAlign w:val="superscript"/>
        </w:rPr>
        <w:footnoteReference w:id="185"/>
      </w:r>
      <w:r w:rsidRPr="008343D7">
        <w:t xml:space="preserve"> concluded that</w:t>
      </w:r>
      <w:r w:rsidR="007443C5">
        <w:t>:</w:t>
      </w:r>
    </w:p>
    <w:p w14:paraId="35E5070E" w14:textId="7357D620" w:rsidR="007443C5" w:rsidRPr="008A5F96" w:rsidRDefault="00FF2998" w:rsidP="00CB63E8">
      <w:pPr>
        <w:pStyle w:val="ItadQuote"/>
      </w:pPr>
      <w:r w:rsidRPr="007443C5">
        <w:t xml:space="preserve">To achieve lasting impact at scale, development programmes often require sustained engagement over several phases of programming. Alongside delivering direct improvements to the lives of poor people, they need to influence the policies and priorities of partner countries and </w:t>
      </w:r>
      <w:r w:rsidR="00C6480C">
        <w:t>[</w:t>
      </w:r>
      <w:r w:rsidRPr="007443C5">
        <w:t>to</w:t>
      </w:r>
      <w:r w:rsidR="00C6480C">
        <w:t>]</w:t>
      </w:r>
      <w:r w:rsidRPr="007443C5">
        <w:t xml:space="preserve"> build institutions and organisational capacity (at national, regional, and community levels), in order to achieve lasting </w:t>
      </w:r>
      <w:r w:rsidRPr="00CB63E8">
        <w:t>impact</w:t>
      </w:r>
      <w:r w:rsidRPr="007443C5">
        <w:t>. Getting the balance right between direct impact and policy and institutional change emerges as a critical factor for successful impact. It calls for clear, long-term goals, combined with considerable flexibility as to the steps required to achieve them</w:t>
      </w:r>
      <w:r w:rsidR="0000609E">
        <w:t>.</w:t>
      </w:r>
    </w:p>
    <w:p w14:paraId="4B48A4D0" w14:textId="5E481AE4" w:rsidR="00FF2998" w:rsidRPr="008343D7" w:rsidRDefault="00FF2998" w:rsidP="0000609E">
      <w:pPr>
        <w:pStyle w:val="ItadNormalText"/>
      </w:pPr>
      <w:r w:rsidRPr="008343D7">
        <w:t>We note that whil</w:t>
      </w:r>
      <w:r w:rsidR="000C2D5D">
        <w:t>e</w:t>
      </w:r>
      <w:r w:rsidRPr="008343D7">
        <w:t xml:space="preserve"> the rationale for the Fleming Fund echoes this conclusion, the programme is not unique in facing the challenge of managing for effectiveness and the required use of adaptive management.</w:t>
      </w:r>
      <w:r w:rsidRPr="008A5F96">
        <w:t xml:space="preserve"> </w:t>
      </w:r>
      <w:r w:rsidRPr="008343D7">
        <w:t>ICAI</w:t>
      </w:r>
      <w:r w:rsidR="00AA6A7B">
        <w:t>’</w:t>
      </w:r>
      <w:r w:rsidRPr="008343D7">
        <w:t xml:space="preserve">s 2018 </w:t>
      </w:r>
      <w:r w:rsidRPr="008343D7">
        <w:rPr>
          <w:b/>
          <w:bCs/>
        </w:rPr>
        <w:t>review</w:t>
      </w:r>
      <w:r w:rsidRPr="008343D7">
        <w:t xml:space="preserve"> of</w:t>
      </w:r>
      <w:r w:rsidRPr="008343D7">
        <w:rPr>
          <w:b/>
          <w:bCs/>
        </w:rPr>
        <w:t xml:space="preserve"> </w:t>
      </w:r>
      <w:r w:rsidR="003D658D">
        <w:t>Department for International Development (</w:t>
      </w:r>
      <w:r w:rsidR="003D658D" w:rsidRPr="002A3A5D">
        <w:rPr>
          <w:rFonts w:eastAsia="Calibri"/>
        </w:rPr>
        <w:t>DFID</w:t>
      </w:r>
      <w:r w:rsidR="003D658D">
        <w:rPr>
          <w:rFonts w:eastAsia="Calibri"/>
        </w:rPr>
        <w:t>)</w:t>
      </w:r>
      <w:r w:rsidRPr="008343D7">
        <w:t xml:space="preserve"> approach to VfM in programme and portfolio management finds the same problem, as does a 2019 review of experience with results-based management</w:t>
      </w:r>
      <w:r w:rsidRPr="008343D7">
        <w:rPr>
          <w:sz w:val="20"/>
          <w:szCs w:val="20"/>
          <w:vertAlign w:val="superscript"/>
        </w:rPr>
        <w:footnoteReference w:id="186"/>
      </w:r>
      <w:r w:rsidRPr="008343D7">
        <w:t xml:space="preserve"> across development organisations.</w:t>
      </w:r>
    </w:p>
    <w:p w14:paraId="3CE790B6" w14:textId="4477850F" w:rsidR="00FF2998" w:rsidRPr="008343D7" w:rsidRDefault="00FF2998" w:rsidP="0000609E">
      <w:pPr>
        <w:pStyle w:val="ItadNormalText"/>
      </w:pPr>
      <w:r w:rsidRPr="008343D7">
        <w:t xml:space="preserve">Notwithstanding this being a common challenge, the Fleming Fund did not start out with clear and realistic goals on what could be achieved during </w:t>
      </w:r>
      <w:r w:rsidR="00222C91">
        <w:t>phase 1</w:t>
      </w:r>
      <w:r w:rsidRPr="008343D7">
        <w:t>.</w:t>
      </w:r>
      <w:r w:rsidRPr="008343D7">
        <w:rPr>
          <w:b/>
          <w:bCs/>
        </w:rPr>
        <w:t xml:space="preserve"> </w:t>
      </w:r>
      <w:r w:rsidRPr="008343D7">
        <w:t xml:space="preserve">The lack of clarity around expected results </w:t>
      </w:r>
      <w:r w:rsidR="00510497">
        <w:t>may have been due to the innovative nature of the programme, or to</w:t>
      </w:r>
      <w:r w:rsidR="00C6480C">
        <w:t xml:space="preserve"> the</w:t>
      </w:r>
      <w:r w:rsidR="00510497">
        <w:t xml:space="preserve"> lack of certainty on fundamental questions about the purpose of the </w:t>
      </w:r>
      <w:r w:rsidR="005E75BF">
        <w:t>Fleming Fund</w:t>
      </w:r>
      <w:r w:rsidR="00510497">
        <w:t xml:space="preserve"> at the outset, but </w:t>
      </w:r>
      <w:r w:rsidRPr="008343D7">
        <w:t xml:space="preserve">has substantially undermined the clarity of strategic focus and effectiveness of implementation at the outcome level during </w:t>
      </w:r>
      <w:r w:rsidR="00222C91">
        <w:t>phase 1</w:t>
      </w:r>
      <w:r w:rsidRPr="008343D7">
        <w:t>. Through a lack of country-specific targets (not established due to an initial lack of detailed understanding of the status of countries</w:t>
      </w:r>
      <w:r w:rsidR="00AA6A7B">
        <w:t>’</w:t>
      </w:r>
      <w:r w:rsidRPr="008343D7">
        <w:t xml:space="preserve"> AMR surveillance and laboratory infrastructure, and the need to establish this through some implementation experience), the late development of a portfolio and country-level ToC and associated monitoring infrastructure, and the separation of accountability for the delivery of outputs from outcomes by the DHSC, the Fleming Fund did not equip itself with the ability to manage strategically and maintain focus on delivery against outcomes of interest. These challenges were exacerbated by the incentives for DHSC programme managers to focus on the immediate</w:t>
      </w:r>
      <w:r w:rsidR="00677137">
        <w:t>,</w:t>
      </w:r>
      <w:r w:rsidRPr="008343D7">
        <w:t xml:space="preserve"> set out in</w:t>
      </w:r>
      <w:r w:rsidR="008C540E">
        <w:t xml:space="preserve"> </w:t>
      </w:r>
      <w:r w:rsidR="00845AAA">
        <w:fldChar w:fldCharType="begin"/>
      </w:r>
      <w:r w:rsidR="00845AAA">
        <w:instrText xml:space="preserve"> REF _Ref144720801 \h </w:instrText>
      </w:r>
      <w:r w:rsidR="00845AAA">
        <w:fldChar w:fldCharType="separate"/>
      </w:r>
      <w:r w:rsidR="00076E67">
        <w:t xml:space="preserve">Box </w:t>
      </w:r>
      <w:r w:rsidR="00076E67">
        <w:rPr>
          <w:noProof/>
        </w:rPr>
        <w:t>11</w:t>
      </w:r>
      <w:r w:rsidR="00845AAA">
        <w:fldChar w:fldCharType="end"/>
      </w:r>
      <w:r w:rsidRPr="0000609E">
        <w:t>.</w:t>
      </w:r>
    </w:p>
    <w:p w14:paraId="1AA76518" w14:textId="069616F0" w:rsidR="00FF2998" w:rsidRPr="008343D7" w:rsidRDefault="00FF2998" w:rsidP="0000609E">
      <w:pPr>
        <w:pStyle w:val="ItadNormalText"/>
      </w:pPr>
      <w:r w:rsidRPr="008343D7">
        <w:t>As discussed above, fundamental questions about the purpose of the Fleming Fund should have been addressed upfront – such as what were priorities in terms of national policy, regulatory and behaviour change (and for which target audiences) and how AMR surveillance was expected to contribute to that.</w:t>
      </w:r>
      <w:r w:rsidR="00DC1D8D">
        <w:t xml:space="preserve"> </w:t>
      </w:r>
      <w:r w:rsidRPr="008343D7">
        <w:t>We note that this was not a strong focus of what DHSC commissioned the MA to deliver, as set out in the original ToR that the MA responded to – which prioritised generating additional data,</w:t>
      </w:r>
      <w:r w:rsidRPr="008343D7">
        <w:rPr>
          <w:sz w:val="20"/>
          <w:szCs w:val="20"/>
          <w:vertAlign w:val="superscript"/>
        </w:rPr>
        <w:footnoteReference w:id="187"/>
      </w:r>
      <w:r w:rsidRPr="008343D7">
        <w:t xml:space="preserve"> and that being clear on these points required at least some early implementation in each country. </w:t>
      </w:r>
      <w:r w:rsidR="009936DD">
        <w:t xml:space="preserve">Establishing </w:t>
      </w:r>
      <w:r w:rsidR="009936DD" w:rsidRPr="0044448E">
        <w:t>clear, long-term goals</w:t>
      </w:r>
      <w:r w:rsidR="009936DD">
        <w:t xml:space="preserve"> and mechanisms to</w:t>
      </w:r>
      <w:r w:rsidR="009936DD" w:rsidRPr="0044448E">
        <w:t xml:space="preserve"> </w:t>
      </w:r>
      <w:r w:rsidR="009936DD">
        <w:t xml:space="preserve">track and adapt </w:t>
      </w:r>
      <w:r w:rsidR="009936DD" w:rsidRPr="0044448E">
        <w:t xml:space="preserve">the steps required to achieve them </w:t>
      </w:r>
      <w:r w:rsidRPr="008343D7">
        <w:t xml:space="preserve">would have provided a strategic focus behind which data generation efforts aligned. This outcome-focused adaptation </w:t>
      </w:r>
      <w:r w:rsidRPr="008343D7" w:rsidDel="00F86F36">
        <w:t>is</w:t>
      </w:r>
      <w:r w:rsidRPr="008343D7">
        <w:t xml:space="preserve"> standard practice in developing programmatic interventions of this kind,</w:t>
      </w:r>
      <w:r w:rsidRPr="008343D7">
        <w:rPr>
          <w:sz w:val="20"/>
          <w:szCs w:val="20"/>
          <w:vertAlign w:val="superscript"/>
        </w:rPr>
        <w:footnoteReference w:id="188"/>
      </w:r>
      <w:r w:rsidRPr="008343D7">
        <w:t xml:space="preserve"> although not routinely implemented. Related to establishing clear expectations:</w:t>
      </w:r>
    </w:p>
    <w:p w14:paraId="22DE0E6E" w14:textId="37448F24" w:rsidR="00FF2998" w:rsidRPr="008343D7" w:rsidRDefault="00FF2998" w:rsidP="00FF32B0">
      <w:pPr>
        <w:pStyle w:val="ItadBullets"/>
      </w:pPr>
      <w:r w:rsidRPr="008343D7">
        <w:rPr>
          <w:rFonts w:eastAsia="Calibri"/>
        </w:rPr>
        <w:t xml:space="preserve">Establishing goals at a strategic level will help manage the risk of </w:t>
      </w:r>
      <w:r w:rsidRPr="008343D7">
        <w:t xml:space="preserve">rigidly maintaining focus on operational plans at the cost of strategic adaptation. The extent to which the DHSC systems and culture allow for this kind of adaptation needs careful consideration during </w:t>
      </w:r>
      <w:r w:rsidR="00AD1BE7">
        <w:t>phase 2</w:t>
      </w:r>
      <w:r w:rsidRPr="008343D7">
        <w:t>.</w:t>
      </w:r>
    </w:p>
    <w:p w14:paraId="3BDC5B17" w14:textId="45619D3F" w:rsidR="00FF2998" w:rsidRPr="008343D7" w:rsidRDefault="00FF2998" w:rsidP="00FF32B0">
      <w:pPr>
        <w:pStyle w:val="ItadBullets"/>
      </w:pPr>
      <w:r w:rsidRPr="008343D7">
        <w:t xml:space="preserve">Establishing expectations needs to be done with country counterparts (conclusion 11) and the </w:t>
      </w:r>
      <w:r w:rsidRPr="008343D7">
        <w:rPr>
          <w:rFonts w:eastAsia="Calibri"/>
        </w:rPr>
        <w:t>country investment strategy process</w:t>
      </w:r>
      <w:r w:rsidRPr="008343D7">
        <w:t xml:space="preserve"> provides a good opportunity to do this. However, given the advent of </w:t>
      </w:r>
      <w:r w:rsidR="00AD1BE7">
        <w:rPr>
          <w:noProof/>
        </w:rPr>
        <w:t>phase 2</w:t>
      </w:r>
      <w:r w:rsidRPr="008343D7">
        <w:t xml:space="preserve">, and expectations that exist for how </w:t>
      </w:r>
      <w:r w:rsidR="00AD1BE7">
        <w:rPr>
          <w:noProof/>
        </w:rPr>
        <w:t>phase 2</w:t>
      </w:r>
      <w:r w:rsidRPr="008343D7">
        <w:t xml:space="preserve"> will shift, there is a risk that </w:t>
      </w:r>
      <w:r w:rsidRPr="008343D7">
        <w:rPr>
          <w:rFonts w:eastAsia="Calibri"/>
        </w:rPr>
        <w:t>country investment strategy processes</w:t>
      </w:r>
      <w:r w:rsidRPr="008343D7">
        <w:t xml:space="preserve"> are overloaded and unable to deliver. In this scenario </w:t>
      </w:r>
      <w:r w:rsidR="00AA6A7B">
        <w:t>‘</w:t>
      </w:r>
      <w:r w:rsidRPr="008343D7">
        <w:t>delivering</w:t>
      </w:r>
      <w:r w:rsidR="00AA6A7B">
        <w:t>’</w:t>
      </w:r>
      <w:r w:rsidRPr="008343D7">
        <w:t xml:space="preserve"> key strategic shifts will be more challenging and so the importance of establishing clear, shared expectations cannot be overstated.</w:t>
      </w:r>
    </w:p>
    <w:p w14:paraId="00AC30DB" w14:textId="1B3C7125" w:rsidR="00FF2998" w:rsidRPr="008343D7" w:rsidRDefault="00FF2998" w:rsidP="0000609E">
      <w:pPr>
        <w:pStyle w:val="ItadNormalText"/>
        <w:rPr>
          <w:rFonts w:eastAsia="Calibri"/>
          <w:b/>
          <w:bCs/>
          <w:color w:val="588B46"/>
          <w:sz w:val="32"/>
          <w:szCs w:val="32"/>
        </w:rPr>
      </w:pPr>
      <w:r w:rsidRPr="008343D7">
        <w:t xml:space="preserve">Ultimately </w:t>
      </w:r>
      <w:r w:rsidR="00AD1BE7">
        <w:rPr>
          <w:noProof/>
        </w:rPr>
        <w:t>phase 2</w:t>
      </w:r>
      <w:r w:rsidRPr="008343D7">
        <w:t xml:space="preserve"> is short, and tackling AMR requires a long-term response, and it will be essential to define success for </w:t>
      </w:r>
      <w:r w:rsidR="00AD1BE7">
        <w:rPr>
          <w:noProof/>
        </w:rPr>
        <w:t>phase 2</w:t>
      </w:r>
      <w:r w:rsidRPr="008343D7">
        <w:t xml:space="preserve"> in ambitious but realistic terms; experience from </w:t>
      </w:r>
      <w:r w:rsidR="00222C91">
        <w:rPr>
          <w:noProof/>
        </w:rPr>
        <w:t>phase 1</w:t>
      </w:r>
      <w:r w:rsidRPr="008343D7">
        <w:t xml:space="preserve"> provides a clear basis for calibrating ambition appropriately.</w:t>
      </w:r>
      <w:bookmarkEnd w:id="418"/>
      <w:bookmarkEnd w:id="419"/>
      <w:r w:rsidRPr="008343D7">
        <w:rPr>
          <w:rFonts w:eastAsia="Calibri"/>
        </w:rPr>
        <w:br w:type="page"/>
      </w:r>
    </w:p>
    <w:p w14:paraId="68DAE586" w14:textId="6F49528D" w:rsidR="00FF2998" w:rsidRPr="008343D7" w:rsidRDefault="00FF2998" w:rsidP="008A5F96">
      <w:pPr>
        <w:pStyle w:val="ItadH1Numbered"/>
      </w:pPr>
      <w:bookmarkStart w:id="420" w:name="_Ref129081560"/>
      <w:bookmarkStart w:id="421" w:name="_Toc144715831"/>
      <w:r w:rsidRPr="008343D7">
        <w:t>Recommendations</w:t>
      </w:r>
      <w:bookmarkEnd w:id="420"/>
      <w:bookmarkEnd w:id="421"/>
    </w:p>
    <w:p w14:paraId="30A426B7" w14:textId="4CBB15EA" w:rsidR="00FF2998" w:rsidRPr="008343D7" w:rsidRDefault="00FF2998" w:rsidP="0092653F">
      <w:pPr>
        <w:pStyle w:val="ItadNormalText"/>
        <w:rPr>
          <w:rFonts w:ascii="Segoe UI" w:hAnsi="Segoe UI" w:cs="Segoe UI"/>
          <w:sz w:val="18"/>
          <w:szCs w:val="18"/>
          <w:lang w:eastAsia="en-GB"/>
        </w:rPr>
      </w:pPr>
      <w:r w:rsidRPr="008343D7">
        <w:rPr>
          <w:shd w:val="clear" w:color="auto" w:fill="FFFFFF"/>
          <w:lang w:eastAsia="en-GB"/>
        </w:rPr>
        <w:t xml:space="preserve">The </w:t>
      </w:r>
      <w:r w:rsidRPr="00354165">
        <w:rPr>
          <w:shd w:val="clear" w:color="auto" w:fill="FFFFFF"/>
          <w:lang w:eastAsia="en-GB"/>
        </w:rPr>
        <w:t>recommendations we present below follow from the findings and conclusions set out above</w:t>
      </w:r>
      <w:r w:rsidR="00BC2534" w:rsidRPr="00354165">
        <w:rPr>
          <w:shd w:val="clear" w:color="auto" w:fill="FFFFFF"/>
          <w:lang w:eastAsia="en-GB"/>
        </w:rPr>
        <w:t xml:space="preserve">, and summarised in Annex </w:t>
      </w:r>
      <w:r w:rsidR="00BA063A" w:rsidRPr="00354165">
        <w:rPr>
          <w:shd w:val="clear" w:color="auto" w:fill="FFFFFF"/>
          <w:lang w:eastAsia="en-GB"/>
        </w:rPr>
        <w:t>21</w:t>
      </w:r>
      <w:r w:rsidRPr="00354165">
        <w:rPr>
          <w:shd w:val="clear" w:color="auto" w:fill="FFFFFF"/>
          <w:lang w:eastAsia="en-GB"/>
        </w:rPr>
        <w:t xml:space="preserve">. They are a set of equal priorities and should be implemented as a </w:t>
      </w:r>
      <w:r w:rsidRPr="00354165">
        <w:rPr>
          <w:lang w:eastAsia="en-GB"/>
        </w:rPr>
        <w:t>package</w:t>
      </w:r>
      <w:r w:rsidRPr="00354165">
        <w:rPr>
          <w:shd w:val="clear" w:color="auto" w:fill="FFFFFF"/>
          <w:lang w:eastAsia="en-GB"/>
        </w:rPr>
        <w:t xml:space="preserve"> for the best results.</w:t>
      </w:r>
    </w:p>
    <w:p w14:paraId="246E020A" w14:textId="241FAE31" w:rsidR="00FF2998" w:rsidRPr="008343D7" w:rsidRDefault="00FF2998" w:rsidP="00FF2998">
      <w:pPr>
        <w:numPr>
          <w:ilvl w:val="0"/>
          <w:numId w:val="35"/>
        </w:numPr>
        <w:spacing w:after="120"/>
        <w:textAlignment w:val="baseline"/>
        <w:rPr>
          <w:rFonts w:eastAsia="Times New Roman" w:cs="Calibri"/>
          <w:b/>
          <w:bCs/>
          <w:color w:val="3B3B3C"/>
          <w:lang w:eastAsia="en-GB"/>
        </w:rPr>
      </w:pPr>
      <w:bookmarkStart w:id="422" w:name="_Hlk136507051"/>
      <w:r w:rsidRPr="008343D7">
        <w:rPr>
          <w:rFonts w:eastAsia="Times New Roman" w:cs="Calibri"/>
          <w:b/>
          <w:bCs/>
          <w:color w:val="3B3B3C"/>
          <w:lang w:eastAsia="en-GB"/>
        </w:rPr>
        <w:t xml:space="preserve">The DHSC and the MA should ensure that clear, ambitious, realistic goals for </w:t>
      </w:r>
      <w:r w:rsidR="00AD1BE7">
        <w:rPr>
          <w:rFonts w:eastAsia="Times New Roman" w:cs="Calibri"/>
          <w:b/>
          <w:bCs/>
          <w:color w:val="3B3B3C"/>
          <w:lang w:eastAsia="en-GB"/>
        </w:rPr>
        <w:t>phase 2</w:t>
      </w:r>
      <w:r w:rsidRPr="008343D7">
        <w:rPr>
          <w:rFonts w:eastAsia="Times New Roman" w:cs="Calibri"/>
          <w:b/>
          <w:bCs/>
          <w:color w:val="3B3B3C"/>
          <w:lang w:eastAsia="en-GB"/>
        </w:rPr>
        <w:t xml:space="preserve"> are in place from the outset, with targets to track progress. These should be established at the country and portfolio levels, based on understanding the current status of AMR surveillance systems and their use as developed during </w:t>
      </w:r>
      <w:r w:rsidR="00222C91">
        <w:rPr>
          <w:rFonts w:eastAsia="Times New Roman" w:cs="Calibri"/>
          <w:b/>
          <w:bCs/>
          <w:color w:val="3B3B3C"/>
          <w:lang w:eastAsia="en-GB"/>
        </w:rPr>
        <w:t>phase 1</w:t>
      </w:r>
      <w:r w:rsidRPr="008343D7">
        <w:rPr>
          <w:rFonts w:eastAsia="Times New Roman" w:cs="Calibri"/>
          <w:b/>
          <w:bCs/>
          <w:color w:val="3B3B3C"/>
          <w:lang w:eastAsia="en-GB"/>
        </w:rPr>
        <w:t xml:space="preserve">. </w:t>
      </w:r>
      <w:r w:rsidR="008D09A1" w:rsidRPr="00D03EB3">
        <w:rPr>
          <w:rFonts w:eastAsia="Times New Roman" w:cs="Calibri"/>
          <w:color w:val="3B3B3C"/>
          <w:lang w:eastAsia="en-GB"/>
        </w:rPr>
        <w:t>This</w:t>
      </w:r>
      <w:r w:rsidR="008D09A1">
        <w:rPr>
          <w:rFonts w:eastAsia="Times New Roman" w:cs="Calibri"/>
          <w:b/>
          <w:bCs/>
          <w:color w:val="3B3B3C"/>
          <w:lang w:eastAsia="en-GB"/>
        </w:rPr>
        <w:t xml:space="preserve"> </w:t>
      </w:r>
      <w:r w:rsidR="008D09A1">
        <w:rPr>
          <w:rFonts w:eastAsia="Times New Roman" w:cs="Calibri"/>
          <w:color w:val="3B3B3C"/>
          <w:lang w:eastAsia="en-GB"/>
        </w:rPr>
        <w:t xml:space="preserve">recommendation links to conclusion 9, and findings </w:t>
      </w:r>
      <w:r w:rsidR="00B67BD6">
        <w:rPr>
          <w:rFonts w:eastAsia="Times New Roman" w:cs="Calibri"/>
          <w:color w:val="3B3B3C"/>
          <w:lang w:eastAsia="en-GB"/>
        </w:rPr>
        <w:t>on</w:t>
      </w:r>
      <w:r w:rsidR="008D09A1">
        <w:rPr>
          <w:rFonts w:eastAsia="Times New Roman" w:cs="Calibri"/>
          <w:color w:val="3B3B3C"/>
          <w:lang w:eastAsia="en-GB"/>
        </w:rPr>
        <w:t xml:space="preserve"> </w:t>
      </w:r>
      <w:proofErr w:type="spellStart"/>
      <w:r w:rsidR="008D09A1">
        <w:rPr>
          <w:rFonts w:eastAsia="Times New Roman" w:cs="Calibri"/>
          <w:color w:val="3B3B3C"/>
          <w:lang w:eastAsia="en-GB"/>
        </w:rPr>
        <w:t>VfM</w:t>
      </w:r>
      <w:proofErr w:type="spellEnd"/>
      <w:r w:rsidR="00AA70BF">
        <w:rPr>
          <w:rFonts w:eastAsia="Times New Roman" w:cs="Calibri"/>
          <w:color w:val="3B3B3C"/>
          <w:lang w:eastAsia="en-GB"/>
        </w:rPr>
        <w:t xml:space="preserve"> (section </w:t>
      </w:r>
      <w:r w:rsidR="00AE4805">
        <w:rPr>
          <w:rFonts w:eastAsia="Times New Roman" w:cs="Calibri"/>
          <w:color w:val="3B3B3C"/>
          <w:lang w:eastAsia="en-GB"/>
        </w:rPr>
        <w:fldChar w:fldCharType="begin"/>
      </w:r>
      <w:r w:rsidR="00AE4805">
        <w:rPr>
          <w:rFonts w:eastAsia="Times New Roman" w:cs="Calibri"/>
          <w:color w:val="3B3B3C"/>
          <w:lang w:eastAsia="en-GB"/>
        </w:rPr>
        <w:instrText xml:space="preserve"> REF _Ref128743758 \r \h </w:instrText>
      </w:r>
      <w:r w:rsidR="00AE4805">
        <w:rPr>
          <w:rFonts w:eastAsia="Times New Roman" w:cs="Calibri"/>
          <w:color w:val="3B3B3C"/>
          <w:lang w:eastAsia="en-GB"/>
        </w:rPr>
      </w:r>
      <w:r w:rsidR="00AE4805">
        <w:rPr>
          <w:rFonts w:eastAsia="Times New Roman" w:cs="Calibri"/>
          <w:color w:val="3B3B3C"/>
          <w:lang w:eastAsia="en-GB"/>
        </w:rPr>
        <w:fldChar w:fldCharType="separate"/>
      </w:r>
      <w:r w:rsidR="00AE4805">
        <w:rPr>
          <w:rFonts w:eastAsia="Times New Roman" w:cs="Calibri"/>
          <w:color w:val="3B3B3C"/>
          <w:cs/>
          <w:lang w:eastAsia="en-GB"/>
        </w:rPr>
        <w:t>‎</w:t>
      </w:r>
      <w:r w:rsidR="00AE4805">
        <w:rPr>
          <w:rFonts w:eastAsia="Times New Roman" w:cs="Calibri"/>
          <w:color w:val="3B3B3C"/>
          <w:lang w:eastAsia="en-GB"/>
        </w:rPr>
        <w:t>2.3</w:t>
      </w:r>
      <w:r w:rsidR="00AE4805">
        <w:rPr>
          <w:rFonts w:eastAsia="Times New Roman" w:cs="Calibri"/>
          <w:color w:val="3B3B3C"/>
          <w:lang w:eastAsia="en-GB"/>
        </w:rPr>
        <w:fldChar w:fldCharType="end"/>
      </w:r>
      <w:r w:rsidR="00AE4805">
        <w:rPr>
          <w:rFonts w:eastAsia="Times New Roman" w:cs="Calibri"/>
          <w:color w:val="3B3B3C"/>
          <w:lang w:eastAsia="en-GB"/>
        </w:rPr>
        <w:t>).</w:t>
      </w:r>
      <w:r w:rsidR="008D09A1">
        <w:rPr>
          <w:rFonts w:eastAsia="Times New Roman" w:cs="Calibri"/>
          <w:color w:val="3B3B3C"/>
          <w:lang w:eastAsia="en-GB"/>
        </w:rPr>
        <w:t xml:space="preserve"> </w:t>
      </w:r>
      <w:r w:rsidRPr="008343D7">
        <w:rPr>
          <w:rFonts w:eastAsia="Times New Roman" w:cs="Calibri"/>
          <w:color w:val="3B3B3C"/>
          <w:lang w:eastAsia="en-GB"/>
        </w:rPr>
        <w:t xml:space="preserve">Key areas to cover are around the </w:t>
      </w:r>
      <w:r w:rsidR="00AD1BE7">
        <w:rPr>
          <w:rFonts w:eastAsia="Times New Roman" w:cs="Calibri"/>
          <w:color w:val="3B3B3C"/>
          <w:lang w:eastAsia="en-GB"/>
        </w:rPr>
        <w:t>phase 2</w:t>
      </w:r>
      <w:r w:rsidRPr="008343D7">
        <w:rPr>
          <w:rFonts w:eastAsia="Times New Roman" w:cs="Calibri"/>
          <w:color w:val="3B3B3C"/>
          <w:lang w:eastAsia="en-GB"/>
        </w:rPr>
        <w:t xml:space="preserve"> strategic shifts and key principles, particularly on the use of data (for clinical outcomes, national-level policy and behaviour change, and international-level sharing), and sustainability.</w:t>
      </w:r>
    </w:p>
    <w:p w14:paraId="2B50FF05" w14:textId="1E2A63BC" w:rsidR="00FF2998" w:rsidRPr="008343D7" w:rsidRDefault="00FF2998" w:rsidP="00FF2998">
      <w:pPr>
        <w:numPr>
          <w:ilvl w:val="0"/>
          <w:numId w:val="42"/>
        </w:numPr>
        <w:spacing w:after="120"/>
        <w:textAlignment w:val="baseline"/>
        <w:rPr>
          <w:rFonts w:eastAsia="Times New Roman" w:cs="Calibri"/>
          <w:color w:val="3B3B3C"/>
          <w:lang w:eastAsia="en-GB"/>
        </w:rPr>
      </w:pPr>
      <w:r w:rsidRPr="008343D7">
        <w:rPr>
          <w:rFonts w:eastAsia="Times New Roman" w:cs="Calibri"/>
          <w:color w:val="3B3B3C"/>
          <w:lang w:eastAsia="en-GB"/>
        </w:rPr>
        <w:t xml:space="preserve">The DHSC and the MA should agree on clear, well-defined (and differentiated as appropriate) expectations for what can be achieved during </w:t>
      </w:r>
      <w:r w:rsidR="00AD1BE7">
        <w:rPr>
          <w:rFonts w:eastAsia="Times New Roman" w:cs="Calibri"/>
          <w:color w:val="3B3B3C"/>
          <w:lang w:eastAsia="en-GB"/>
        </w:rPr>
        <w:t>phase 2</w:t>
      </w:r>
      <w:r w:rsidRPr="008343D7">
        <w:rPr>
          <w:rFonts w:eastAsia="Times New Roman" w:cs="Calibri"/>
          <w:color w:val="3B3B3C"/>
          <w:lang w:eastAsia="en-GB"/>
        </w:rPr>
        <w:t xml:space="preserve"> at the country and portfolio level of outcomes. This should be the basis for prioritising the most appropriate support in developing surveillance systems and the basis for holding the MA accountable for a functioning approach to managing outcomes.</w:t>
      </w:r>
    </w:p>
    <w:p w14:paraId="5D541DEF" w14:textId="5B40D9D8" w:rsidR="00FF2998" w:rsidRPr="008343D7" w:rsidRDefault="00FF2998" w:rsidP="00FF2998">
      <w:pPr>
        <w:numPr>
          <w:ilvl w:val="0"/>
          <w:numId w:val="42"/>
        </w:numPr>
        <w:spacing w:after="120"/>
        <w:textAlignment w:val="baseline"/>
        <w:rPr>
          <w:rFonts w:eastAsia="Times New Roman" w:cs="Calibri"/>
          <w:color w:val="3B3B3C"/>
          <w:lang w:eastAsia="en-GB"/>
        </w:rPr>
      </w:pPr>
      <w:r w:rsidRPr="008343D7">
        <w:rPr>
          <w:rFonts w:eastAsia="Times New Roman" w:cs="Calibri"/>
          <w:color w:val="3B3B3C"/>
          <w:lang w:eastAsia="en-GB"/>
        </w:rPr>
        <w:t xml:space="preserve">What needs to be sustained and how the MA will deliver this should be part of the agreement of the implementation plan. It is recommended that </w:t>
      </w:r>
      <w:r w:rsidR="00165469" w:rsidRPr="008343D7">
        <w:rPr>
          <w:rFonts w:eastAsia="Times New Roman" w:cs="Calibri"/>
          <w:color w:val="3B3B3C"/>
          <w:lang w:eastAsia="en-GB"/>
        </w:rPr>
        <w:t xml:space="preserve">policymakers and clinicians </w:t>
      </w:r>
      <w:r w:rsidR="00165469">
        <w:rPr>
          <w:rFonts w:eastAsia="Times New Roman" w:cs="Calibri"/>
          <w:color w:val="3B3B3C"/>
          <w:lang w:eastAsia="en-GB"/>
        </w:rPr>
        <w:t>should work</w:t>
      </w:r>
      <w:r w:rsidRPr="008343D7">
        <w:rPr>
          <w:rFonts w:eastAsia="Times New Roman" w:cs="Calibri"/>
          <w:color w:val="3B3B3C"/>
          <w:lang w:eastAsia="en-GB"/>
        </w:rPr>
        <w:t xml:space="preserve"> to ensure that AMR becomes a top</w:t>
      </w:r>
      <w:r w:rsidR="00C40B3E">
        <w:rPr>
          <w:rFonts w:eastAsia="Times New Roman" w:cs="Calibri"/>
          <w:color w:val="3B3B3C"/>
          <w:lang w:eastAsia="en-GB"/>
        </w:rPr>
        <w:t xml:space="preserve"> </w:t>
      </w:r>
      <w:r w:rsidRPr="008343D7">
        <w:rPr>
          <w:rFonts w:eastAsia="Times New Roman" w:cs="Calibri"/>
          <w:color w:val="3B3B3C"/>
          <w:lang w:eastAsia="en-GB"/>
        </w:rPr>
        <w:t>priority issue. This is a pre</w:t>
      </w:r>
      <w:r w:rsidR="00C40B3E">
        <w:rPr>
          <w:rFonts w:eastAsia="Times New Roman" w:cs="Calibri"/>
          <w:color w:val="3B3B3C"/>
          <w:lang w:eastAsia="en-GB"/>
        </w:rPr>
        <w:t>condition</w:t>
      </w:r>
      <w:r w:rsidRPr="008343D7">
        <w:rPr>
          <w:rFonts w:eastAsia="Times New Roman" w:cs="Calibri"/>
          <w:color w:val="3B3B3C"/>
          <w:lang w:eastAsia="en-GB"/>
        </w:rPr>
        <w:t xml:space="preserve"> for driving resource decision</w:t>
      </w:r>
      <w:r w:rsidR="00E278CD">
        <w:rPr>
          <w:rFonts w:eastAsia="Times New Roman" w:cs="Calibri"/>
          <w:color w:val="3B3B3C"/>
          <w:lang w:eastAsia="en-GB"/>
        </w:rPr>
        <w:t>-</w:t>
      </w:r>
      <w:r w:rsidRPr="008343D7">
        <w:rPr>
          <w:rFonts w:eastAsia="Times New Roman" w:cs="Calibri"/>
          <w:color w:val="3B3B3C"/>
          <w:lang w:eastAsia="en-GB"/>
        </w:rPr>
        <w:t>making within a government and at the facility level. So, at the national level</w:t>
      </w:r>
      <w:r w:rsidR="00165469">
        <w:rPr>
          <w:rFonts w:eastAsia="Times New Roman" w:cs="Calibri"/>
          <w:color w:val="3B3B3C"/>
          <w:lang w:eastAsia="en-GB"/>
        </w:rPr>
        <w:t>,</w:t>
      </w:r>
      <w:r w:rsidRPr="008343D7">
        <w:rPr>
          <w:rFonts w:eastAsia="Times New Roman" w:cs="Calibri"/>
          <w:color w:val="3B3B3C"/>
          <w:lang w:eastAsia="en-GB"/>
        </w:rPr>
        <w:t xml:space="preserve"> build on the finding that over half the focus countries have initiated significant policy and regulatory action on AMR at the national level since 2018 without significant analysis from </w:t>
      </w:r>
      <w:r w:rsidR="00165469">
        <w:rPr>
          <w:rFonts w:eastAsia="Times New Roman" w:cs="Calibri"/>
          <w:color w:val="3B3B3C"/>
          <w:lang w:eastAsia="en-GB"/>
        </w:rPr>
        <w:t xml:space="preserve">Fleming </w:t>
      </w:r>
      <w:r w:rsidRPr="008343D7">
        <w:rPr>
          <w:rFonts w:eastAsia="Times New Roman" w:cs="Calibri"/>
          <w:color w:val="3B3B3C"/>
          <w:lang w:eastAsia="en-GB"/>
        </w:rPr>
        <w:t>Fund investments. At the facility level</w:t>
      </w:r>
      <w:r w:rsidR="00165469">
        <w:rPr>
          <w:rFonts w:eastAsia="Times New Roman" w:cs="Calibri"/>
          <w:color w:val="3B3B3C"/>
          <w:lang w:eastAsia="en-GB"/>
        </w:rPr>
        <w:t>, on the other hand,</w:t>
      </w:r>
      <w:r w:rsidRPr="008343D7">
        <w:rPr>
          <w:rFonts w:eastAsia="Times New Roman" w:cs="Calibri"/>
          <w:color w:val="3B3B3C"/>
          <w:lang w:eastAsia="en-GB"/>
        </w:rPr>
        <w:t xml:space="preserve"> build on the finding that </w:t>
      </w:r>
      <w:r w:rsidR="00222C91">
        <w:rPr>
          <w:rFonts w:eastAsia="Times New Roman" w:cs="Calibri"/>
          <w:color w:val="3B3B3C"/>
          <w:lang w:eastAsia="en-GB"/>
        </w:rPr>
        <w:t>phase 1</w:t>
      </w:r>
      <w:r w:rsidRPr="008343D7">
        <w:rPr>
          <w:rFonts w:eastAsia="Times New Roman" w:cs="Calibri"/>
          <w:color w:val="3B3B3C"/>
          <w:lang w:eastAsia="en-GB"/>
        </w:rPr>
        <w:t xml:space="preserve"> interventions have started stimulating positive changes to practices and attitudes as clinicians and other stakeholders start to interact differently with improved laboratories as the precursor to </w:t>
      </w:r>
      <w:r w:rsidR="006F7AB1" w:rsidRPr="008343D7">
        <w:rPr>
          <w:rFonts w:eastAsia="Times New Roman" w:cs="Calibri"/>
          <w:color w:val="3B3B3C"/>
          <w:lang w:eastAsia="en-GB"/>
        </w:rPr>
        <w:t xml:space="preserve">budget </w:t>
      </w:r>
      <w:r w:rsidRPr="008343D7">
        <w:rPr>
          <w:rFonts w:eastAsia="Times New Roman" w:cs="Calibri"/>
          <w:color w:val="3B3B3C"/>
          <w:lang w:eastAsia="en-GB"/>
        </w:rPr>
        <w:t>discussions.</w:t>
      </w:r>
    </w:p>
    <w:p w14:paraId="7F0D3FB9" w14:textId="61F2164C" w:rsidR="00FF2998" w:rsidRPr="008343D7" w:rsidRDefault="00FF2998" w:rsidP="00FF2998">
      <w:pPr>
        <w:numPr>
          <w:ilvl w:val="0"/>
          <w:numId w:val="42"/>
        </w:numPr>
        <w:spacing w:after="120"/>
        <w:textAlignment w:val="baseline"/>
        <w:rPr>
          <w:rFonts w:eastAsia="Times New Roman" w:cs="Calibri"/>
          <w:color w:val="3B3B3C"/>
          <w:lang w:eastAsia="en-GB"/>
        </w:rPr>
      </w:pPr>
      <w:r w:rsidRPr="008343D7">
        <w:rPr>
          <w:rFonts w:eastAsia="Times New Roman" w:cs="Calibri"/>
          <w:color w:val="3B3B3C"/>
          <w:lang w:eastAsia="en-GB"/>
        </w:rPr>
        <w:t>The MA</w:t>
      </w:r>
      <w:r w:rsidR="00AA6A7B">
        <w:rPr>
          <w:rFonts w:eastAsia="Times New Roman" w:cs="Calibri"/>
          <w:color w:val="3B3B3C"/>
          <w:lang w:eastAsia="en-GB"/>
        </w:rPr>
        <w:t>’</w:t>
      </w:r>
      <w:r w:rsidRPr="008343D7">
        <w:rPr>
          <w:rFonts w:eastAsia="Times New Roman" w:cs="Calibri"/>
          <w:color w:val="3B3B3C"/>
          <w:lang w:eastAsia="en-GB"/>
        </w:rPr>
        <w:t xml:space="preserve">s </w:t>
      </w:r>
      <w:r w:rsidR="00165469" w:rsidRPr="008343D7">
        <w:rPr>
          <w:rFonts w:eastAsia="Times New Roman" w:cs="Calibri"/>
          <w:color w:val="3B3B3C"/>
          <w:lang w:eastAsia="en-GB"/>
        </w:rPr>
        <w:t xml:space="preserve">implementation plan </w:t>
      </w:r>
      <w:r w:rsidRPr="008343D7">
        <w:rPr>
          <w:rFonts w:eastAsia="Times New Roman" w:cs="Calibri"/>
          <w:color w:val="3B3B3C"/>
          <w:lang w:eastAsia="en-GB"/>
        </w:rPr>
        <w:t xml:space="preserve">should be based on </w:t>
      </w:r>
      <w:r w:rsidR="00222C91">
        <w:rPr>
          <w:rFonts w:eastAsia="Times New Roman" w:cs="Calibri"/>
          <w:color w:val="3B3B3C"/>
          <w:lang w:eastAsia="en-GB"/>
        </w:rPr>
        <w:t>phase 1</w:t>
      </w:r>
      <w:r w:rsidRPr="008343D7">
        <w:rPr>
          <w:rFonts w:eastAsia="Times New Roman" w:cs="Calibri"/>
          <w:color w:val="3B3B3C"/>
          <w:lang w:eastAsia="en-GB"/>
        </w:rPr>
        <w:t xml:space="preserve"> experience on both absor</w:t>
      </w:r>
      <w:r w:rsidRPr="00504E64">
        <w:rPr>
          <w:rFonts w:eastAsia="Times New Roman" w:cs="Calibri"/>
          <w:color w:val="3B3B3C"/>
          <w:lang w:eastAsia="en-GB"/>
        </w:rPr>
        <w:t>p</w:t>
      </w:r>
      <w:r w:rsidRPr="008343D7">
        <w:rPr>
          <w:rFonts w:eastAsia="Times New Roman" w:cs="Calibri"/>
          <w:color w:val="3B3B3C"/>
          <w:lang w:eastAsia="en-GB"/>
        </w:rPr>
        <w:t xml:space="preserve">tive capacity at the country level and how long individual grant development and approval and contracting take. The DHSC should verify </w:t>
      </w:r>
      <w:r w:rsidR="006F7AB1">
        <w:rPr>
          <w:rFonts w:eastAsia="Times New Roman" w:cs="Calibri"/>
          <w:color w:val="3B3B3C"/>
          <w:lang w:eastAsia="en-GB"/>
        </w:rPr>
        <w:t xml:space="preserve">that </w:t>
      </w:r>
      <w:r w:rsidRPr="008343D7">
        <w:rPr>
          <w:rFonts w:eastAsia="Times New Roman" w:cs="Calibri"/>
          <w:color w:val="3B3B3C"/>
          <w:lang w:eastAsia="en-GB"/>
        </w:rPr>
        <w:t>the agreed implementation plan is realistic. In turn, the DHSC should ensure that the trade-offs between the benefits of developing new grants and the additional transaction costs that come with this are fully weighed and documented.</w:t>
      </w:r>
      <w:bookmarkEnd w:id="422"/>
    </w:p>
    <w:p w14:paraId="3A529D9C" w14:textId="33E2FDB4" w:rsidR="00FF2998" w:rsidRPr="008343D7" w:rsidRDefault="00FF2998" w:rsidP="00FF2998">
      <w:pPr>
        <w:numPr>
          <w:ilvl w:val="0"/>
          <w:numId w:val="35"/>
        </w:numPr>
        <w:spacing w:after="120"/>
        <w:textAlignment w:val="baseline"/>
        <w:rPr>
          <w:rFonts w:eastAsia="Times New Roman" w:cs="Calibri"/>
          <w:b/>
          <w:bCs/>
          <w:color w:val="3B3B3C"/>
          <w:lang w:eastAsia="en-GB"/>
        </w:rPr>
      </w:pPr>
      <w:r w:rsidRPr="008343D7">
        <w:rPr>
          <w:rFonts w:eastAsia="Times New Roman" w:cs="Calibri"/>
          <w:b/>
          <w:bCs/>
          <w:color w:val="3B3B3C"/>
          <w:lang w:eastAsia="en-GB"/>
        </w:rPr>
        <w:t xml:space="preserve">The DHSC and MA should ensure </w:t>
      </w:r>
      <w:r w:rsidR="006F7AB1">
        <w:rPr>
          <w:rFonts w:eastAsia="Times New Roman" w:cs="Calibri"/>
          <w:b/>
          <w:bCs/>
          <w:color w:val="3B3B3C"/>
          <w:lang w:eastAsia="en-GB"/>
        </w:rPr>
        <w:t xml:space="preserve">that </w:t>
      </w:r>
      <w:r w:rsidRPr="008343D7">
        <w:rPr>
          <w:rFonts w:eastAsia="Times New Roman" w:cs="Calibri"/>
          <w:b/>
          <w:bCs/>
          <w:color w:val="3B3B3C"/>
          <w:lang w:eastAsia="en-GB"/>
        </w:rPr>
        <w:t>systems and processes for establishing expectations and tracking progress are proportionate, timely and sufficiently flexible to deal with uncertainty and the need for strategic adaptation. These must strike the right balance between strategic reflection and accountability and avoid focusing too heavily on tracking the implementation of inputs and activities.</w:t>
      </w:r>
      <w:r w:rsidR="001D5FD3">
        <w:rPr>
          <w:rFonts w:eastAsia="Times New Roman" w:cs="Calibri"/>
          <w:b/>
          <w:bCs/>
          <w:color w:val="3B3B3C"/>
          <w:lang w:eastAsia="en-GB"/>
        </w:rPr>
        <w:t xml:space="preserve"> </w:t>
      </w:r>
      <w:r w:rsidR="001D5FD3" w:rsidRPr="0081582A">
        <w:rPr>
          <w:rFonts w:eastAsia="Times New Roman" w:cs="Calibri"/>
          <w:color w:val="3B3B3C"/>
          <w:lang w:eastAsia="en-GB"/>
        </w:rPr>
        <w:t>This</w:t>
      </w:r>
      <w:r w:rsidR="001D5FD3">
        <w:rPr>
          <w:rFonts w:eastAsia="Times New Roman" w:cs="Calibri"/>
          <w:b/>
          <w:bCs/>
          <w:color w:val="3B3B3C"/>
          <w:lang w:eastAsia="en-GB"/>
        </w:rPr>
        <w:t xml:space="preserve"> </w:t>
      </w:r>
      <w:r w:rsidR="001D5FD3">
        <w:rPr>
          <w:rFonts w:eastAsia="Times New Roman" w:cs="Calibri"/>
          <w:color w:val="3B3B3C"/>
          <w:lang w:eastAsia="en-GB"/>
        </w:rPr>
        <w:t xml:space="preserve">recommendation links to conclusion </w:t>
      </w:r>
      <w:r w:rsidR="00F957E7">
        <w:rPr>
          <w:rFonts w:eastAsia="Times New Roman" w:cs="Calibri"/>
          <w:color w:val="3B3B3C"/>
          <w:lang w:eastAsia="en-GB"/>
        </w:rPr>
        <w:t>4</w:t>
      </w:r>
      <w:r w:rsidR="001D5FD3">
        <w:rPr>
          <w:rFonts w:eastAsia="Times New Roman" w:cs="Calibri"/>
          <w:color w:val="3B3B3C"/>
          <w:lang w:eastAsia="en-GB"/>
        </w:rPr>
        <w:t xml:space="preserve">, and findings </w:t>
      </w:r>
      <w:r w:rsidR="00B67BD6">
        <w:rPr>
          <w:rFonts w:eastAsia="Times New Roman" w:cs="Calibri"/>
          <w:color w:val="3B3B3C"/>
          <w:lang w:eastAsia="en-GB"/>
        </w:rPr>
        <w:t xml:space="preserve">on </w:t>
      </w:r>
      <w:proofErr w:type="spellStart"/>
      <w:r w:rsidR="001D5FD3">
        <w:rPr>
          <w:rFonts w:eastAsia="Times New Roman" w:cs="Calibri"/>
          <w:color w:val="3B3B3C"/>
          <w:lang w:eastAsia="en-GB"/>
        </w:rPr>
        <w:t>VfM</w:t>
      </w:r>
      <w:proofErr w:type="spellEnd"/>
      <w:r w:rsidR="001D5FD3">
        <w:rPr>
          <w:rFonts w:eastAsia="Times New Roman" w:cs="Calibri"/>
          <w:color w:val="3B3B3C"/>
          <w:lang w:eastAsia="en-GB"/>
        </w:rPr>
        <w:t xml:space="preserve"> (section </w:t>
      </w:r>
      <w:r w:rsidR="001D5FD3">
        <w:rPr>
          <w:rFonts w:eastAsia="Times New Roman" w:cs="Calibri"/>
          <w:color w:val="3B3B3C"/>
          <w:lang w:eastAsia="en-GB"/>
        </w:rPr>
        <w:fldChar w:fldCharType="begin"/>
      </w:r>
      <w:r w:rsidR="001D5FD3">
        <w:rPr>
          <w:rFonts w:eastAsia="Times New Roman" w:cs="Calibri"/>
          <w:color w:val="3B3B3C"/>
          <w:lang w:eastAsia="en-GB"/>
        </w:rPr>
        <w:instrText xml:space="preserve"> REF _Ref128743758 \r \h </w:instrText>
      </w:r>
      <w:r w:rsidR="001D5FD3">
        <w:rPr>
          <w:rFonts w:eastAsia="Times New Roman" w:cs="Calibri"/>
          <w:color w:val="3B3B3C"/>
          <w:lang w:eastAsia="en-GB"/>
        </w:rPr>
      </w:r>
      <w:r w:rsidR="001D5FD3">
        <w:rPr>
          <w:rFonts w:eastAsia="Times New Roman" w:cs="Calibri"/>
          <w:color w:val="3B3B3C"/>
          <w:lang w:eastAsia="en-GB"/>
        </w:rPr>
        <w:fldChar w:fldCharType="separate"/>
      </w:r>
      <w:r w:rsidR="001D5FD3">
        <w:rPr>
          <w:rFonts w:eastAsia="Times New Roman" w:cs="Calibri"/>
          <w:color w:val="3B3B3C"/>
          <w:cs/>
          <w:lang w:eastAsia="en-GB"/>
        </w:rPr>
        <w:t>‎</w:t>
      </w:r>
      <w:r w:rsidR="001D5FD3">
        <w:rPr>
          <w:rFonts w:eastAsia="Times New Roman" w:cs="Calibri"/>
          <w:color w:val="3B3B3C"/>
          <w:lang w:eastAsia="en-GB"/>
        </w:rPr>
        <w:t>2.3</w:t>
      </w:r>
      <w:r w:rsidR="001D5FD3">
        <w:rPr>
          <w:rFonts w:eastAsia="Times New Roman" w:cs="Calibri"/>
          <w:color w:val="3B3B3C"/>
          <w:lang w:eastAsia="en-GB"/>
        </w:rPr>
        <w:fldChar w:fldCharType="end"/>
      </w:r>
      <w:r w:rsidR="001D5FD3">
        <w:rPr>
          <w:rFonts w:eastAsia="Times New Roman" w:cs="Calibri"/>
          <w:color w:val="3B3B3C"/>
          <w:lang w:eastAsia="en-GB"/>
        </w:rPr>
        <w:t>).</w:t>
      </w:r>
    </w:p>
    <w:p w14:paraId="0E7537D3" w14:textId="1CBB0094" w:rsidR="00FF2998" w:rsidRPr="008343D7" w:rsidRDefault="00FF2998" w:rsidP="00FF2998">
      <w:pPr>
        <w:numPr>
          <w:ilvl w:val="0"/>
          <w:numId w:val="41"/>
        </w:numPr>
        <w:spacing w:after="120"/>
        <w:textAlignment w:val="baseline"/>
        <w:rPr>
          <w:rFonts w:eastAsia="Times New Roman" w:cs="Calibri"/>
          <w:color w:val="3B3B3C"/>
          <w:lang w:eastAsia="en-GB"/>
        </w:rPr>
      </w:pPr>
      <w:r w:rsidRPr="008343D7">
        <w:rPr>
          <w:rFonts w:eastAsia="Times New Roman" w:cs="Calibri"/>
          <w:color w:val="3B3B3C"/>
          <w:lang w:eastAsia="en-GB"/>
        </w:rPr>
        <w:t xml:space="preserve">The DHSC should ensure that specific challenges relating to the start-up of </w:t>
      </w:r>
      <w:r w:rsidR="00222C91">
        <w:rPr>
          <w:rFonts w:eastAsia="Times New Roman" w:cs="Calibri"/>
          <w:color w:val="3B3B3C"/>
          <w:lang w:eastAsia="en-GB"/>
        </w:rPr>
        <w:t>phase 1</w:t>
      </w:r>
      <w:r w:rsidRPr="008343D7">
        <w:rPr>
          <w:rFonts w:eastAsia="Times New Roman" w:cs="Calibri"/>
          <w:color w:val="3B3B3C"/>
          <w:lang w:eastAsia="en-GB"/>
        </w:rPr>
        <w:t xml:space="preserve"> are not replicated in </w:t>
      </w:r>
      <w:r w:rsidR="00AD1BE7">
        <w:rPr>
          <w:rFonts w:eastAsia="Times New Roman" w:cs="Calibri"/>
          <w:color w:val="3B3B3C"/>
          <w:lang w:eastAsia="en-GB"/>
        </w:rPr>
        <w:t>phase 2</w:t>
      </w:r>
      <w:r w:rsidRPr="008343D7">
        <w:rPr>
          <w:rFonts w:eastAsia="Times New Roman" w:cs="Calibri"/>
          <w:color w:val="3B3B3C"/>
          <w:lang w:eastAsia="en-GB"/>
        </w:rPr>
        <w:t xml:space="preserve"> – such as delays in contracting and in agreeing on implementation plans, an extended inception phase, delays in competitive tendering and grant placement, and contracting for outcomes. This may have implications for DHSC systems e.g. for contracting and tracking performance. DHSC (at </w:t>
      </w:r>
      <w:r w:rsidR="00165469">
        <w:rPr>
          <w:rFonts w:eastAsia="Times New Roman" w:cs="Calibri"/>
          <w:color w:val="3B3B3C"/>
          <w:lang w:eastAsia="en-GB"/>
        </w:rPr>
        <w:t xml:space="preserve">the </w:t>
      </w:r>
      <w:r w:rsidRPr="008343D7">
        <w:rPr>
          <w:rFonts w:eastAsia="Times New Roman" w:cs="Calibri"/>
          <w:color w:val="3B3B3C"/>
          <w:lang w:eastAsia="en-GB"/>
        </w:rPr>
        <w:t>organisational</w:t>
      </w:r>
      <w:r w:rsidR="00165469">
        <w:rPr>
          <w:rFonts w:eastAsia="Times New Roman" w:cs="Calibri"/>
          <w:color w:val="3B3B3C"/>
          <w:lang w:eastAsia="en-GB"/>
        </w:rPr>
        <w:t xml:space="preserve"> </w:t>
      </w:r>
      <w:r w:rsidRPr="008343D7">
        <w:rPr>
          <w:rFonts w:eastAsia="Times New Roman" w:cs="Calibri"/>
          <w:color w:val="3B3B3C"/>
          <w:lang w:eastAsia="en-GB"/>
        </w:rPr>
        <w:t>level, rather than at the level of the Fleming Fund team) should seek to learn from how FCDO and UK Health Security Agency have approached these issues with their internal systems and procedures.</w:t>
      </w:r>
    </w:p>
    <w:p w14:paraId="41EB5E70" w14:textId="1F4E51DB" w:rsidR="00FF2998" w:rsidRPr="008343D7" w:rsidRDefault="00FF2998" w:rsidP="00FF2998">
      <w:pPr>
        <w:numPr>
          <w:ilvl w:val="0"/>
          <w:numId w:val="41"/>
        </w:numPr>
        <w:spacing w:after="120"/>
        <w:textAlignment w:val="baseline"/>
        <w:rPr>
          <w:rFonts w:eastAsia="Times New Roman" w:cs="Calibri"/>
          <w:color w:val="3B3B3C"/>
          <w:lang w:eastAsia="en-GB"/>
        </w:rPr>
      </w:pPr>
      <w:r w:rsidRPr="008343D7">
        <w:rPr>
          <w:rFonts w:eastAsia="Times New Roman" w:cs="Calibri"/>
          <w:color w:val="3B3B3C"/>
          <w:lang w:eastAsia="en-GB"/>
        </w:rPr>
        <w:t xml:space="preserve">The VfM approach to delivering efficiency and economy under </w:t>
      </w:r>
      <w:r w:rsidR="00222C91">
        <w:rPr>
          <w:rFonts w:eastAsia="Times New Roman" w:cs="Calibri"/>
          <w:color w:val="3B3B3C"/>
          <w:lang w:eastAsia="en-GB"/>
        </w:rPr>
        <w:t>phase 1</w:t>
      </w:r>
      <w:r w:rsidRPr="008343D7">
        <w:rPr>
          <w:rFonts w:eastAsia="Times New Roman" w:cs="Calibri"/>
          <w:color w:val="3B3B3C"/>
          <w:lang w:eastAsia="en-GB"/>
        </w:rPr>
        <w:t xml:space="preserve"> should continue but the DHSC and the MA should ensure</w:t>
      </w:r>
      <w:r w:rsidR="006F7AB1">
        <w:rPr>
          <w:rFonts w:eastAsia="Times New Roman" w:cs="Calibri"/>
          <w:color w:val="3B3B3C"/>
          <w:lang w:eastAsia="en-GB"/>
        </w:rPr>
        <w:t xml:space="preserve"> that</w:t>
      </w:r>
      <w:r w:rsidRPr="008343D7">
        <w:rPr>
          <w:rFonts w:eastAsia="Times New Roman" w:cs="Calibri"/>
          <w:color w:val="3B3B3C"/>
          <w:lang w:eastAsia="en-GB"/>
        </w:rPr>
        <w:t xml:space="preserve"> they have internal systems and processes in place </w:t>
      </w:r>
      <w:r w:rsidR="006F7AB1">
        <w:rPr>
          <w:rFonts w:eastAsia="Times New Roman" w:cs="Calibri"/>
          <w:color w:val="3B3B3C"/>
          <w:lang w:eastAsia="en-GB"/>
        </w:rPr>
        <w:t>that are</w:t>
      </w:r>
      <w:r w:rsidR="006F7AB1" w:rsidRPr="008343D7">
        <w:rPr>
          <w:rFonts w:eastAsia="Times New Roman" w:cs="Calibri"/>
          <w:color w:val="3B3B3C"/>
          <w:lang w:eastAsia="en-GB"/>
        </w:rPr>
        <w:t xml:space="preserve"> </w:t>
      </w:r>
      <w:r w:rsidRPr="008343D7">
        <w:rPr>
          <w:rFonts w:eastAsia="Times New Roman" w:cs="Calibri"/>
          <w:color w:val="3B3B3C"/>
          <w:lang w:eastAsia="en-GB"/>
        </w:rPr>
        <w:t xml:space="preserve">fit for purpose (focused at the outcome level, based on clear, well-defined targets and indicators, based on evidence of what is and is not working as expected) which support strategic adaptation and managing for effectiveness. If the change in practice at the facility level becomes the main priority in </w:t>
      </w:r>
      <w:r w:rsidR="00AD1BE7">
        <w:rPr>
          <w:rFonts w:eastAsia="Times New Roman" w:cs="Calibri"/>
          <w:color w:val="3B3B3C"/>
          <w:lang w:eastAsia="en-GB"/>
        </w:rPr>
        <w:t>phase 2</w:t>
      </w:r>
      <w:r w:rsidRPr="008343D7">
        <w:rPr>
          <w:rFonts w:eastAsia="Times New Roman" w:cs="Calibri"/>
          <w:color w:val="3B3B3C"/>
          <w:lang w:eastAsia="en-GB"/>
        </w:rPr>
        <w:t>, the VfM approach should expand to examining the equity implications.</w:t>
      </w:r>
    </w:p>
    <w:p w14:paraId="7D92BEC8" w14:textId="2EBBC898" w:rsidR="00FF2998" w:rsidRPr="008343D7" w:rsidRDefault="00FF2998" w:rsidP="00FF2998">
      <w:pPr>
        <w:numPr>
          <w:ilvl w:val="0"/>
          <w:numId w:val="35"/>
        </w:numPr>
        <w:spacing w:after="160"/>
        <w:contextualSpacing/>
        <w:rPr>
          <w:rFonts w:eastAsia="Calibri"/>
          <w:b/>
          <w:bCs/>
          <w:color w:val="3B3B3C"/>
        </w:rPr>
      </w:pPr>
      <w:bookmarkStart w:id="423" w:name="_Hlk136507456"/>
      <w:r w:rsidRPr="008343D7">
        <w:rPr>
          <w:rFonts w:eastAsia="Calibri"/>
          <w:b/>
          <w:bCs/>
          <w:color w:val="3B3B3C"/>
        </w:rPr>
        <w:t>The process of establishing goals at the country level should be focused on understanding the priorities and needs of key decision</w:t>
      </w:r>
      <w:r w:rsidR="00D50F4C">
        <w:rPr>
          <w:rFonts w:eastAsia="Calibri"/>
          <w:b/>
          <w:bCs/>
          <w:color w:val="3B3B3C"/>
        </w:rPr>
        <w:t>-</w:t>
      </w:r>
      <w:r w:rsidRPr="008343D7">
        <w:rPr>
          <w:rFonts w:eastAsia="Calibri"/>
          <w:b/>
          <w:bCs/>
          <w:color w:val="3B3B3C"/>
        </w:rPr>
        <w:t xml:space="preserve">makers on AMR, recognising </w:t>
      </w:r>
      <w:r w:rsidRPr="00D50F4C">
        <w:rPr>
          <w:rFonts w:eastAsia="Calibri"/>
          <w:b/>
          <w:bCs/>
          <w:iCs/>
          <w:color w:val="3B3B3C"/>
        </w:rPr>
        <w:t>inter alia</w:t>
      </w:r>
      <w:r w:rsidRPr="008343D7">
        <w:rPr>
          <w:rFonts w:eastAsia="Calibri"/>
          <w:b/>
          <w:bCs/>
          <w:color w:val="3B3B3C"/>
        </w:rPr>
        <w:t xml:space="preserve"> that </w:t>
      </w:r>
      <w:r w:rsidR="00D50F4C">
        <w:rPr>
          <w:rFonts w:eastAsia="Calibri"/>
          <w:b/>
          <w:bCs/>
          <w:color w:val="3B3B3C"/>
        </w:rPr>
        <w:t>(</w:t>
      </w:r>
      <w:r w:rsidRPr="008343D7">
        <w:rPr>
          <w:rFonts w:eastAsia="Calibri"/>
          <w:b/>
          <w:bCs/>
          <w:color w:val="3B3B3C"/>
        </w:rPr>
        <w:t>a) AMR action will take place through multiple policy processes and that differentiation between HH and AH is of fundamental importance;</w:t>
      </w:r>
      <w:r w:rsidR="00936B28">
        <w:rPr>
          <w:rFonts w:eastAsia="Calibri"/>
          <w:b/>
          <w:bCs/>
          <w:color w:val="3B3B3C"/>
        </w:rPr>
        <w:t xml:space="preserve"> and</w:t>
      </w:r>
      <w:r w:rsidRPr="008343D7">
        <w:rPr>
          <w:rFonts w:eastAsia="Calibri"/>
          <w:b/>
          <w:bCs/>
          <w:color w:val="3B3B3C"/>
        </w:rPr>
        <w:t xml:space="preserve"> </w:t>
      </w:r>
      <w:r w:rsidR="00D50F4C">
        <w:rPr>
          <w:rFonts w:eastAsia="Calibri"/>
          <w:b/>
          <w:bCs/>
          <w:color w:val="3B3B3C"/>
        </w:rPr>
        <w:t>(</w:t>
      </w:r>
      <w:r w:rsidRPr="008343D7">
        <w:rPr>
          <w:rFonts w:eastAsia="Calibri"/>
          <w:b/>
          <w:bCs/>
          <w:color w:val="3B3B3C"/>
        </w:rPr>
        <w:t>b) that achieving higher-level goals requires action by other actors and therefore effective collaboration with key stakeholder groups.</w:t>
      </w:r>
      <w:r w:rsidR="00A442E9">
        <w:rPr>
          <w:rFonts w:eastAsia="Calibri"/>
          <w:b/>
          <w:bCs/>
          <w:color w:val="3B3B3C"/>
        </w:rPr>
        <w:t xml:space="preserve"> </w:t>
      </w:r>
      <w:r w:rsidR="00A442E9" w:rsidRPr="0081582A">
        <w:rPr>
          <w:rFonts w:eastAsia="Times New Roman" w:cs="Calibri"/>
          <w:color w:val="3B3B3C"/>
          <w:lang w:eastAsia="en-GB"/>
        </w:rPr>
        <w:t>This</w:t>
      </w:r>
      <w:r w:rsidR="00A442E9">
        <w:rPr>
          <w:rFonts w:eastAsia="Times New Roman" w:cs="Calibri"/>
          <w:b/>
          <w:bCs/>
          <w:color w:val="3B3B3C"/>
          <w:lang w:eastAsia="en-GB"/>
        </w:rPr>
        <w:t xml:space="preserve"> </w:t>
      </w:r>
      <w:r w:rsidR="00A442E9">
        <w:rPr>
          <w:rFonts w:eastAsia="Times New Roman" w:cs="Calibri"/>
          <w:color w:val="3B3B3C"/>
          <w:lang w:eastAsia="en-GB"/>
        </w:rPr>
        <w:t>recommendation links to conclusion</w:t>
      </w:r>
      <w:r w:rsidR="00B67BD6">
        <w:rPr>
          <w:rFonts w:eastAsia="Times New Roman" w:cs="Calibri"/>
          <w:color w:val="3B3B3C"/>
          <w:lang w:eastAsia="en-GB"/>
        </w:rPr>
        <w:t>s</w:t>
      </w:r>
      <w:r w:rsidR="00A442E9">
        <w:rPr>
          <w:rFonts w:eastAsia="Times New Roman" w:cs="Calibri"/>
          <w:color w:val="3B3B3C"/>
          <w:lang w:eastAsia="en-GB"/>
        </w:rPr>
        <w:t xml:space="preserve"> </w:t>
      </w:r>
      <w:r w:rsidR="00B67BD6">
        <w:rPr>
          <w:rFonts w:eastAsia="Times New Roman" w:cs="Calibri"/>
          <w:color w:val="3B3B3C"/>
          <w:lang w:eastAsia="en-GB"/>
        </w:rPr>
        <w:t>2,6 and 7</w:t>
      </w:r>
      <w:r w:rsidR="00A442E9">
        <w:rPr>
          <w:rFonts w:eastAsia="Times New Roman" w:cs="Calibri"/>
          <w:color w:val="3B3B3C"/>
          <w:lang w:eastAsia="en-GB"/>
        </w:rPr>
        <w:t xml:space="preserve">, and findings </w:t>
      </w:r>
      <w:r w:rsidR="003D294F">
        <w:rPr>
          <w:rFonts w:eastAsia="Times New Roman" w:cs="Calibri"/>
          <w:color w:val="3B3B3C"/>
          <w:lang w:eastAsia="en-GB"/>
        </w:rPr>
        <w:t>on use of AMR surveillance data</w:t>
      </w:r>
      <w:r w:rsidR="00A442E9">
        <w:rPr>
          <w:rFonts w:eastAsia="Times New Roman" w:cs="Calibri"/>
          <w:color w:val="3B3B3C"/>
          <w:lang w:eastAsia="en-GB"/>
        </w:rPr>
        <w:t xml:space="preserve"> (section</w:t>
      </w:r>
      <w:r w:rsidR="003D294F">
        <w:rPr>
          <w:rFonts w:eastAsia="Times New Roman" w:cs="Calibri"/>
          <w:color w:val="3B3B3C"/>
          <w:lang w:eastAsia="en-GB"/>
        </w:rPr>
        <w:t xml:space="preserve"> </w:t>
      </w:r>
      <w:r w:rsidR="003D294F">
        <w:rPr>
          <w:rFonts w:eastAsia="Times New Roman" w:cs="Calibri"/>
          <w:color w:val="3B3B3C"/>
          <w:lang w:eastAsia="en-GB"/>
        </w:rPr>
        <w:fldChar w:fldCharType="begin"/>
      </w:r>
      <w:r w:rsidR="003D294F">
        <w:rPr>
          <w:rFonts w:eastAsia="Times New Roman" w:cs="Calibri"/>
          <w:color w:val="3B3B3C"/>
          <w:lang w:eastAsia="en-GB"/>
        </w:rPr>
        <w:instrText xml:space="preserve"> REF _Ref129083432 \r \h </w:instrText>
      </w:r>
      <w:r w:rsidR="003D294F">
        <w:rPr>
          <w:rFonts w:eastAsia="Times New Roman" w:cs="Calibri"/>
          <w:color w:val="3B3B3C"/>
          <w:lang w:eastAsia="en-GB"/>
        </w:rPr>
      </w:r>
      <w:r w:rsidR="003D294F">
        <w:rPr>
          <w:rFonts w:eastAsia="Times New Roman" w:cs="Calibri"/>
          <w:color w:val="3B3B3C"/>
          <w:lang w:eastAsia="en-GB"/>
        </w:rPr>
        <w:fldChar w:fldCharType="separate"/>
      </w:r>
      <w:r w:rsidR="003D294F">
        <w:rPr>
          <w:rFonts w:eastAsia="Times New Roman" w:cs="Calibri"/>
          <w:color w:val="3B3B3C"/>
          <w:cs/>
          <w:lang w:eastAsia="en-GB"/>
        </w:rPr>
        <w:t>‎</w:t>
      </w:r>
      <w:r w:rsidR="003D294F">
        <w:rPr>
          <w:rFonts w:eastAsia="Times New Roman" w:cs="Calibri"/>
          <w:color w:val="3B3B3C"/>
          <w:lang w:eastAsia="en-GB"/>
        </w:rPr>
        <w:t>2.2</w:t>
      </w:r>
      <w:r w:rsidR="003D294F">
        <w:rPr>
          <w:rFonts w:eastAsia="Times New Roman" w:cs="Calibri"/>
          <w:color w:val="3B3B3C"/>
          <w:lang w:eastAsia="en-GB"/>
        </w:rPr>
        <w:fldChar w:fldCharType="end"/>
      </w:r>
      <w:r w:rsidR="00A442E9">
        <w:rPr>
          <w:rFonts w:eastAsia="Times New Roman" w:cs="Calibri"/>
          <w:color w:val="3B3B3C"/>
          <w:lang w:eastAsia="en-GB"/>
        </w:rPr>
        <w:t>).</w:t>
      </w:r>
    </w:p>
    <w:p w14:paraId="01AE0588" w14:textId="1AA6F5C9" w:rsidR="00FF2998" w:rsidRPr="008343D7" w:rsidRDefault="00FF2998" w:rsidP="00FF2998">
      <w:pPr>
        <w:numPr>
          <w:ilvl w:val="0"/>
          <w:numId w:val="40"/>
        </w:numPr>
        <w:spacing w:after="120"/>
        <w:textAlignment w:val="baseline"/>
        <w:rPr>
          <w:rFonts w:eastAsia="Times New Roman" w:cs="Calibri"/>
          <w:color w:val="3B3B3C"/>
          <w:lang w:eastAsia="en-GB"/>
        </w:rPr>
      </w:pPr>
      <w:r w:rsidRPr="008343D7">
        <w:rPr>
          <w:rFonts w:eastAsia="Times New Roman" w:cs="Calibri"/>
          <w:color w:val="3B3B3C"/>
          <w:lang w:eastAsia="en-GB"/>
        </w:rPr>
        <w:t>The DHSC and the MA should avoid overloading country investment strategy processes, create realistic expectations, and allow space for country-level dialogue to promote ownership and sustainability, internal and external coherence, and adaptation to changing contexts.</w:t>
      </w:r>
    </w:p>
    <w:p w14:paraId="0C16E416" w14:textId="122FCE7A" w:rsidR="00FF2998" w:rsidRPr="008343D7" w:rsidRDefault="00FF2998" w:rsidP="00FF2998">
      <w:pPr>
        <w:numPr>
          <w:ilvl w:val="0"/>
          <w:numId w:val="40"/>
        </w:numPr>
        <w:spacing w:after="120"/>
        <w:textAlignment w:val="baseline"/>
        <w:rPr>
          <w:rFonts w:eastAsia="Times New Roman" w:cs="Calibri"/>
          <w:color w:val="3B3B3C"/>
          <w:lang w:eastAsia="en-GB"/>
        </w:rPr>
      </w:pPr>
      <w:r w:rsidRPr="008343D7">
        <w:rPr>
          <w:rFonts w:eastAsia="Times New Roman" w:cs="Calibri"/>
          <w:color w:val="3B3B3C"/>
          <w:lang w:eastAsia="en-GB"/>
        </w:rPr>
        <w:t>The entire Fleming Fund (not just the MA) should work more politically (i.e. engaging with governments to understand their priorities, opportunities, incentives, decision-making processes and drivers of change) to ensure higher-level goals are in place, drawing on published literature to identify ways in which the Fleming Fund could be strengthened. Ensure PEAs are conducted sufficiently early to inform country strategy, and that the emphasis with PEAs is on the process as much as the analysis that emerges. Published literature points to changes that the Fleming Fund can seek to pursue with AMR surveillance systems to strengthen the use and uptake of AMR surveillance data:</w:t>
      </w:r>
    </w:p>
    <w:p w14:paraId="6538E3E1" w14:textId="4F10E979" w:rsidR="00FF2998" w:rsidRPr="008343D7" w:rsidRDefault="00FF2998" w:rsidP="00FF2998">
      <w:pPr>
        <w:numPr>
          <w:ilvl w:val="0"/>
          <w:numId w:val="30"/>
        </w:numPr>
        <w:tabs>
          <w:tab w:val="num" w:pos="142"/>
        </w:tabs>
        <w:spacing w:after="120"/>
        <w:ind w:left="1418" w:hanging="425"/>
        <w:textAlignment w:val="baseline"/>
        <w:rPr>
          <w:rFonts w:eastAsia="Times New Roman" w:cs="Calibri"/>
          <w:color w:val="3B3B3C"/>
          <w:lang w:eastAsia="en-GB"/>
        </w:rPr>
      </w:pPr>
      <w:r w:rsidRPr="008343D7">
        <w:rPr>
          <w:rFonts w:eastAsia="Times New Roman" w:cs="Calibri"/>
          <w:color w:val="3B3B3C"/>
          <w:lang w:eastAsia="en-GB"/>
        </w:rPr>
        <w:t>Be realistic about the strengths and limitations of NAPs as a tool for prioritisation, coordination, and driving the broader agenda forward.</w:t>
      </w:r>
    </w:p>
    <w:p w14:paraId="528B0EF0" w14:textId="56D9A7EA" w:rsidR="00FF2998" w:rsidRPr="008343D7" w:rsidRDefault="00FF2998" w:rsidP="00FF2998">
      <w:pPr>
        <w:numPr>
          <w:ilvl w:val="0"/>
          <w:numId w:val="31"/>
        </w:numPr>
        <w:tabs>
          <w:tab w:val="num" w:pos="142"/>
        </w:tabs>
        <w:spacing w:after="120"/>
        <w:ind w:left="1418" w:hanging="425"/>
        <w:textAlignment w:val="baseline"/>
        <w:rPr>
          <w:rFonts w:eastAsia="Times New Roman" w:cs="Calibri"/>
          <w:color w:val="3B3B3C"/>
          <w:lang w:eastAsia="en-GB"/>
        </w:rPr>
      </w:pPr>
      <w:r w:rsidRPr="008343D7">
        <w:rPr>
          <w:rFonts w:eastAsia="Times New Roman" w:cs="Calibri"/>
          <w:color w:val="3B3B3C"/>
          <w:lang w:eastAsia="en-GB"/>
        </w:rPr>
        <w:t>Be in a position to respond when opportunities arise (rather than having to react from a low starting point).</w:t>
      </w:r>
    </w:p>
    <w:p w14:paraId="3BC8E06F" w14:textId="770B977E" w:rsidR="00FF2998" w:rsidRPr="008343D7" w:rsidRDefault="00FF2998" w:rsidP="00FF2998">
      <w:pPr>
        <w:numPr>
          <w:ilvl w:val="0"/>
          <w:numId w:val="32"/>
        </w:numPr>
        <w:tabs>
          <w:tab w:val="num" w:pos="142"/>
        </w:tabs>
        <w:spacing w:after="120"/>
        <w:ind w:left="1418" w:hanging="425"/>
        <w:textAlignment w:val="baseline"/>
        <w:rPr>
          <w:rFonts w:eastAsia="Times New Roman" w:cs="Calibri"/>
          <w:color w:val="3B3B3C"/>
          <w:lang w:eastAsia="en-GB"/>
        </w:rPr>
      </w:pPr>
      <w:r w:rsidRPr="008343D7">
        <w:rPr>
          <w:rFonts w:eastAsia="Times New Roman" w:cs="Calibri"/>
          <w:color w:val="3B3B3C"/>
          <w:lang w:eastAsia="en-GB"/>
        </w:rPr>
        <w:t>Be proactive in terms of who the stakeholders are and identify potential policy entrepreneurs.</w:t>
      </w:r>
    </w:p>
    <w:p w14:paraId="2456D499" w14:textId="77777777" w:rsidR="00FF2998" w:rsidRPr="008343D7" w:rsidRDefault="00FF2998" w:rsidP="00FF2998">
      <w:pPr>
        <w:numPr>
          <w:ilvl w:val="0"/>
          <w:numId w:val="33"/>
        </w:numPr>
        <w:tabs>
          <w:tab w:val="num" w:pos="142"/>
        </w:tabs>
        <w:spacing w:after="120"/>
        <w:ind w:left="1418" w:hanging="425"/>
        <w:textAlignment w:val="baseline"/>
        <w:rPr>
          <w:rFonts w:eastAsia="Times New Roman" w:cs="Calibri"/>
          <w:color w:val="3B3B3C"/>
          <w:lang w:eastAsia="en-GB"/>
        </w:rPr>
      </w:pPr>
      <w:r w:rsidRPr="008343D7">
        <w:rPr>
          <w:rFonts w:eastAsia="Times New Roman" w:cs="Calibri"/>
          <w:color w:val="3B3B3C"/>
          <w:lang w:eastAsia="en-GB"/>
        </w:rPr>
        <w:t>Have a flexible and experimental approach, particularly on data sharing/information systems, organisational design, and development.</w:t>
      </w:r>
    </w:p>
    <w:p w14:paraId="3226B5FE" w14:textId="544C7335" w:rsidR="00FF2998" w:rsidRPr="008343D7" w:rsidRDefault="00FF2998" w:rsidP="00FF2998">
      <w:pPr>
        <w:numPr>
          <w:ilvl w:val="0"/>
          <w:numId w:val="39"/>
        </w:numPr>
        <w:spacing w:after="120"/>
        <w:textAlignment w:val="baseline"/>
        <w:rPr>
          <w:rFonts w:eastAsia="Times New Roman" w:cs="Calibri"/>
          <w:color w:val="3B3B3C"/>
          <w:lang w:eastAsia="en-GB"/>
        </w:rPr>
      </w:pPr>
      <w:r w:rsidRPr="008343D7">
        <w:rPr>
          <w:rFonts w:eastAsia="Times New Roman" w:cs="Calibri"/>
          <w:color w:val="3B3B3C"/>
          <w:lang w:eastAsia="en-GB"/>
        </w:rPr>
        <w:t>The MA and the DHSC should focus more on a) demand for ASTs and b) demand for/intended use of data to ensure that investments are strategically focused. Achieving intended results, especially in a way that is sustainable and presents good VfM, depends on linking data supply to AMR-related action or demand. This implies identifying opportunities that exist within multiple AMR-relevant policy agendas (e.g. for IPC, AMS, laboratory or broader health system strengthening), most of which are likely to depend on factors outside of AMR-specific governance structures. This could help maximise the use of AMR surveillance data even if there is a lack of overall progress in prioritising AMR.</w:t>
      </w:r>
    </w:p>
    <w:p w14:paraId="1220A4E6" w14:textId="5F8282D9" w:rsidR="00FF2998" w:rsidRPr="008343D7" w:rsidRDefault="00FF2998" w:rsidP="00FF2998">
      <w:pPr>
        <w:numPr>
          <w:ilvl w:val="0"/>
          <w:numId w:val="39"/>
        </w:numPr>
        <w:spacing w:after="120"/>
        <w:textAlignment w:val="baseline"/>
        <w:rPr>
          <w:rFonts w:eastAsia="Times New Roman" w:cs="Calibri"/>
          <w:color w:val="3B3B3C"/>
          <w:lang w:eastAsia="en-GB"/>
        </w:rPr>
      </w:pPr>
      <w:r w:rsidRPr="008343D7">
        <w:rPr>
          <w:rFonts w:eastAsia="Times New Roman" w:cs="Calibri"/>
          <w:color w:val="3B3B3C"/>
          <w:lang w:eastAsia="en-GB"/>
        </w:rPr>
        <w:t>If the focus</w:t>
      </w:r>
      <w:r w:rsidRPr="008343D7">
        <w:rPr>
          <w:rFonts w:eastAsia="Times New Roman" w:cs="Calibri"/>
          <w:b/>
          <w:bCs/>
          <w:color w:val="3B3B3C"/>
          <w:lang w:eastAsia="en-GB"/>
        </w:rPr>
        <w:t xml:space="preserve"> </w:t>
      </w:r>
      <w:r w:rsidRPr="008343D7">
        <w:rPr>
          <w:rFonts w:eastAsia="Times New Roman" w:cs="Calibri"/>
          <w:color w:val="3B3B3C"/>
          <w:lang w:eastAsia="en-GB"/>
        </w:rPr>
        <w:t xml:space="preserve">for use in </w:t>
      </w:r>
      <w:r w:rsidR="00AD1BE7">
        <w:rPr>
          <w:rFonts w:eastAsia="Times New Roman" w:cs="Calibri"/>
          <w:color w:val="3B3B3C"/>
          <w:lang w:eastAsia="en-GB"/>
        </w:rPr>
        <w:t>phase 2</w:t>
      </w:r>
      <w:r w:rsidRPr="008343D7">
        <w:rPr>
          <w:rFonts w:eastAsia="Times New Roman" w:cs="Calibri"/>
          <w:color w:val="3B3B3C"/>
          <w:lang w:eastAsia="en-GB"/>
        </w:rPr>
        <w:t xml:space="preserve"> is to include facility-level use, this should address known challenges of scaling up specific examples of use in individual facilities to ensure genuine systematic change.</w:t>
      </w:r>
    </w:p>
    <w:p w14:paraId="0962B3F2" w14:textId="7F5A3E55" w:rsidR="00FF2998" w:rsidRPr="008343D7" w:rsidRDefault="00FF2998" w:rsidP="00FF2998">
      <w:pPr>
        <w:numPr>
          <w:ilvl w:val="0"/>
          <w:numId w:val="39"/>
        </w:numPr>
        <w:spacing w:after="120"/>
        <w:textAlignment w:val="baseline"/>
        <w:rPr>
          <w:rFonts w:eastAsia="Times New Roman" w:cs="Calibri"/>
          <w:color w:val="3B3B3C"/>
          <w:lang w:eastAsia="en-GB"/>
        </w:rPr>
      </w:pPr>
      <w:r w:rsidRPr="008343D7">
        <w:rPr>
          <w:rFonts w:eastAsia="Times New Roman" w:cs="Calibri"/>
          <w:color w:val="3B3B3C"/>
          <w:shd w:val="clear" w:color="auto" w:fill="FFFFFF"/>
          <w:lang w:eastAsia="en-GB"/>
        </w:rPr>
        <w:t>The DHSC should build on its existing efforts to ensure external coherence both with other donors working directly on AMR, such as DFAT, CDC, USAID and World Bank (One Health), engaging with relevant decision</w:t>
      </w:r>
      <w:r w:rsidR="00D50F4C">
        <w:rPr>
          <w:rFonts w:eastAsia="Times New Roman" w:cs="Calibri"/>
          <w:color w:val="3B3B3C"/>
          <w:shd w:val="clear" w:color="auto" w:fill="FFFFFF"/>
          <w:lang w:eastAsia="en-GB"/>
        </w:rPr>
        <w:t>-</w:t>
      </w:r>
      <w:r w:rsidRPr="008343D7">
        <w:rPr>
          <w:rFonts w:eastAsia="Times New Roman" w:cs="Calibri"/>
          <w:color w:val="3B3B3C"/>
          <w:shd w:val="clear" w:color="auto" w:fill="FFFFFF"/>
          <w:lang w:eastAsia="en-GB"/>
        </w:rPr>
        <w:t xml:space="preserve">makers at the headquarters level and those within the broader </w:t>
      </w:r>
      <w:r w:rsidR="001F2B3D">
        <w:rPr>
          <w:rFonts w:eastAsia="Times New Roman" w:cs="Calibri"/>
          <w:color w:val="3B3B3C"/>
          <w:shd w:val="clear" w:color="auto" w:fill="FFFFFF"/>
          <w:lang w:eastAsia="en-GB"/>
        </w:rPr>
        <w:t>global health security</w:t>
      </w:r>
      <w:r w:rsidR="001F2B3D" w:rsidRPr="008343D7">
        <w:rPr>
          <w:rFonts w:eastAsia="Times New Roman" w:cs="Calibri"/>
          <w:color w:val="3B3B3C"/>
          <w:shd w:val="clear" w:color="auto" w:fill="FFFFFF"/>
          <w:lang w:eastAsia="en-GB"/>
        </w:rPr>
        <w:t xml:space="preserve"> </w:t>
      </w:r>
      <w:r w:rsidRPr="008343D7">
        <w:rPr>
          <w:rFonts w:eastAsia="Times New Roman" w:cs="Calibri"/>
          <w:color w:val="3B3B3C"/>
          <w:shd w:val="clear" w:color="auto" w:fill="FFFFFF"/>
          <w:lang w:eastAsia="en-GB"/>
        </w:rPr>
        <w:t>sphere and linking to relevant non-AMR</w:t>
      </w:r>
      <w:r w:rsidR="00E278CD">
        <w:rPr>
          <w:rFonts w:eastAsia="Times New Roman" w:cs="Calibri"/>
          <w:color w:val="3B3B3C"/>
          <w:shd w:val="clear" w:color="auto" w:fill="FFFFFF"/>
          <w:lang w:eastAsia="en-GB"/>
        </w:rPr>
        <w:t>-</w:t>
      </w:r>
      <w:r w:rsidRPr="008343D7">
        <w:rPr>
          <w:rFonts w:eastAsia="Times New Roman" w:cs="Calibri"/>
          <w:color w:val="3B3B3C"/>
          <w:shd w:val="clear" w:color="auto" w:fill="FFFFFF"/>
          <w:lang w:eastAsia="en-GB"/>
        </w:rPr>
        <w:t xml:space="preserve">specific interventions. The DHSC should set and track expectations or assumptions on the involvement of other donors and government partners in </w:t>
      </w:r>
      <w:r w:rsidR="0068228C">
        <w:rPr>
          <w:rFonts w:eastAsia="Times New Roman" w:cs="Calibri"/>
          <w:color w:val="3B3B3C"/>
          <w:shd w:val="clear" w:color="auto" w:fill="FFFFFF"/>
          <w:lang w:eastAsia="en-GB"/>
        </w:rPr>
        <w:t xml:space="preserve">the </w:t>
      </w:r>
      <w:r w:rsidRPr="008343D7">
        <w:rPr>
          <w:rFonts w:eastAsia="Times New Roman" w:cs="Calibri"/>
          <w:color w:val="3B3B3C"/>
          <w:shd w:val="clear" w:color="auto" w:fill="FFFFFF"/>
          <w:lang w:eastAsia="en-GB"/>
        </w:rPr>
        <w:t>country investment strategy development and review processes.</w:t>
      </w:r>
      <w:bookmarkEnd w:id="423"/>
    </w:p>
    <w:p w14:paraId="2A9DFAB8" w14:textId="6AC0CE87" w:rsidR="00FF2998" w:rsidRPr="008343D7" w:rsidRDefault="00FF2998" w:rsidP="00FF2998">
      <w:pPr>
        <w:numPr>
          <w:ilvl w:val="0"/>
          <w:numId w:val="34"/>
        </w:numPr>
        <w:tabs>
          <w:tab w:val="num" w:pos="502"/>
        </w:tabs>
        <w:spacing w:after="120"/>
        <w:ind w:left="502"/>
        <w:textAlignment w:val="baseline"/>
        <w:rPr>
          <w:rFonts w:eastAsia="Times New Roman" w:cs="Calibri"/>
          <w:b/>
          <w:bCs/>
          <w:color w:val="3B3B3C"/>
          <w:lang w:eastAsia="en-GB"/>
        </w:rPr>
      </w:pPr>
      <w:bookmarkStart w:id="424" w:name="_Hlk136507639"/>
      <w:r w:rsidRPr="008343D7">
        <w:rPr>
          <w:rFonts w:eastAsia="Times New Roman" w:cs="Calibri"/>
          <w:b/>
          <w:bCs/>
          <w:color w:val="3B3B3C"/>
          <w:lang w:eastAsia="en-GB"/>
        </w:rPr>
        <w:t>The Fleming Fund should make adaptations to or emphas</w:t>
      </w:r>
      <w:r w:rsidR="004E341C">
        <w:rPr>
          <w:rFonts w:eastAsia="Times New Roman" w:cs="Calibri"/>
          <w:b/>
          <w:bCs/>
          <w:color w:val="3B3B3C"/>
          <w:lang w:eastAsia="en-GB"/>
        </w:rPr>
        <w:t>i</w:t>
      </w:r>
      <w:r w:rsidRPr="008343D7">
        <w:rPr>
          <w:rFonts w:eastAsia="Times New Roman" w:cs="Calibri"/>
          <w:b/>
          <w:bCs/>
          <w:color w:val="3B3B3C"/>
          <w:lang w:eastAsia="en-GB"/>
        </w:rPr>
        <w:t>s</w:t>
      </w:r>
      <w:r w:rsidR="004E341C">
        <w:rPr>
          <w:rFonts w:eastAsia="Times New Roman" w:cs="Calibri"/>
          <w:b/>
          <w:bCs/>
          <w:color w:val="3B3B3C"/>
          <w:lang w:eastAsia="en-GB"/>
        </w:rPr>
        <w:t>e</w:t>
      </w:r>
      <w:r w:rsidRPr="008343D7">
        <w:rPr>
          <w:rFonts w:eastAsia="Times New Roman" w:cs="Calibri"/>
          <w:b/>
          <w:bCs/>
          <w:color w:val="3B3B3C"/>
          <w:lang w:eastAsia="en-GB"/>
        </w:rPr>
        <w:t xml:space="preserve"> </w:t>
      </w:r>
      <w:r w:rsidR="000C4E95" w:rsidRPr="008343D7">
        <w:rPr>
          <w:rFonts w:eastAsia="Times New Roman" w:cs="Calibri"/>
          <w:b/>
          <w:bCs/>
          <w:color w:val="3B3B3C"/>
          <w:lang w:eastAsia="en-GB"/>
        </w:rPr>
        <w:t xml:space="preserve">specific </w:t>
      </w:r>
      <w:r w:rsidR="000C4E95">
        <w:rPr>
          <w:rFonts w:eastAsia="Times New Roman" w:cs="Calibri"/>
          <w:b/>
          <w:bCs/>
          <w:color w:val="3B3B3C"/>
          <w:lang w:eastAsia="en-GB"/>
        </w:rPr>
        <w:t>aspects of</w:t>
      </w:r>
      <w:r w:rsidR="000C4E95" w:rsidRPr="008343D7">
        <w:rPr>
          <w:rFonts w:eastAsia="Times New Roman" w:cs="Calibri"/>
          <w:b/>
          <w:bCs/>
          <w:color w:val="3B3B3C"/>
          <w:lang w:eastAsia="en-GB"/>
        </w:rPr>
        <w:t xml:space="preserve"> </w:t>
      </w:r>
      <w:r w:rsidRPr="008343D7">
        <w:rPr>
          <w:rFonts w:eastAsia="Times New Roman" w:cs="Calibri"/>
          <w:b/>
          <w:bCs/>
          <w:color w:val="3B3B3C"/>
          <w:lang w:eastAsia="en-GB"/>
        </w:rPr>
        <w:t xml:space="preserve">its technical approach for </w:t>
      </w:r>
      <w:r w:rsidR="00AD1BE7">
        <w:rPr>
          <w:rFonts w:eastAsia="Times New Roman" w:cs="Calibri"/>
          <w:b/>
          <w:bCs/>
          <w:color w:val="3B3B3C"/>
          <w:lang w:eastAsia="en-GB"/>
        </w:rPr>
        <w:t>phase 2</w:t>
      </w:r>
      <w:r w:rsidRPr="008343D7">
        <w:rPr>
          <w:rFonts w:eastAsia="Times New Roman" w:cs="Calibri"/>
          <w:b/>
          <w:bCs/>
          <w:color w:val="3B3B3C"/>
          <w:lang w:eastAsia="en-GB"/>
        </w:rPr>
        <w:t xml:space="preserve">, that are supported by experience from </w:t>
      </w:r>
      <w:r w:rsidR="00222C91">
        <w:rPr>
          <w:rFonts w:eastAsia="Times New Roman" w:cs="Calibri"/>
          <w:b/>
          <w:bCs/>
          <w:color w:val="3B3B3C"/>
          <w:lang w:eastAsia="en-GB"/>
        </w:rPr>
        <w:t>phase 1</w:t>
      </w:r>
      <w:r w:rsidRPr="008343D7">
        <w:rPr>
          <w:rFonts w:eastAsia="Times New Roman" w:cs="Calibri"/>
          <w:b/>
          <w:bCs/>
          <w:color w:val="3B3B3C"/>
          <w:lang w:eastAsia="en-GB"/>
        </w:rPr>
        <w:t>. These should include</w:t>
      </w:r>
      <w:r w:rsidR="00A10C66">
        <w:rPr>
          <w:rFonts w:eastAsia="Times New Roman" w:cs="Calibri"/>
          <w:b/>
          <w:bCs/>
          <w:color w:val="3B3B3C"/>
          <w:lang w:eastAsia="en-GB"/>
        </w:rPr>
        <w:t xml:space="preserve"> </w:t>
      </w:r>
      <w:r w:rsidRPr="008343D7">
        <w:rPr>
          <w:rFonts w:eastAsia="Times New Roman" w:cs="Calibri"/>
          <w:b/>
          <w:bCs/>
          <w:color w:val="3B3B3C"/>
          <w:lang w:eastAsia="en-GB"/>
        </w:rPr>
        <w:t xml:space="preserve">focusing on AMU and other data sources, identifying informal approaches to One Health multisector collaboration, and maximising the prospects for sustaining laboratory functions. </w:t>
      </w:r>
      <w:r w:rsidR="00BA1334" w:rsidRPr="0081582A">
        <w:rPr>
          <w:rFonts w:eastAsia="Times New Roman" w:cs="Calibri"/>
          <w:color w:val="3B3B3C"/>
          <w:lang w:eastAsia="en-GB"/>
        </w:rPr>
        <w:t>This</w:t>
      </w:r>
      <w:r w:rsidR="00BA1334">
        <w:rPr>
          <w:rFonts w:eastAsia="Times New Roman" w:cs="Calibri"/>
          <w:b/>
          <w:bCs/>
          <w:color w:val="3B3B3C"/>
          <w:lang w:eastAsia="en-GB"/>
        </w:rPr>
        <w:t xml:space="preserve"> </w:t>
      </w:r>
      <w:r w:rsidR="00BA1334">
        <w:rPr>
          <w:rFonts w:eastAsia="Times New Roman" w:cs="Calibri"/>
          <w:color w:val="3B3B3C"/>
          <w:lang w:eastAsia="en-GB"/>
        </w:rPr>
        <w:t xml:space="preserve">recommendation links to conclusion </w:t>
      </w:r>
      <w:r w:rsidR="001A699F">
        <w:rPr>
          <w:rFonts w:eastAsia="Times New Roman" w:cs="Calibri"/>
          <w:color w:val="3B3B3C"/>
          <w:lang w:eastAsia="en-GB"/>
        </w:rPr>
        <w:t>5</w:t>
      </w:r>
      <w:r w:rsidR="00BA1334">
        <w:rPr>
          <w:rFonts w:eastAsia="Times New Roman" w:cs="Calibri"/>
          <w:color w:val="3B3B3C"/>
          <w:lang w:eastAsia="en-GB"/>
        </w:rPr>
        <w:t xml:space="preserve">, and findings </w:t>
      </w:r>
      <w:r w:rsidR="001A699F">
        <w:rPr>
          <w:rFonts w:eastAsia="Times New Roman" w:cs="Calibri"/>
          <w:color w:val="3B3B3C"/>
          <w:lang w:eastAsia="en-GB"/>
        </w:rPr>
        <w:t xml:space="preserve">on use of AMR </w:t>
      </w:r>
      <w:r w:rsidR="00BA1334">
        <w:rPr>
          <w:rFonts w:eastAsia="Times New Roman" w:cs="Calibri"/>
          <w:color w:val="3B3B3C"/>
          <w:lang w:eastAsia="en-GB"/>
        </w:rPr>
        <w:t xml:space="preserve">(section </w:t>
      </w:r>
      <w:r w:rsidR="00BA1334">
        <w:rPr>
          <w:rFonts w:eastAsia="Times New Roman" w:cs="Calibri"/>
          <w:color w:val="3B3B3C"/>
          <w:lang w:eastAsia="en-GB"/>
        </w:rPr>
        <w:fldChar w:fldCharType="begin"/>
      </w:r>
      <w:r w:rsidR="00BA1334">
        <w:rPr>
          <w:rFonts w:eastAsia="Times New Roman" w:cs="Calibri"/>
          <w:color w:val="3B3B3C"/>
          <w:lang w:eastAsia="en-GB"/>
        </w:rPr>
        <w:instrText xml:space="preserve"> REF _Ref128743758 \r \h </w:instrText>
      </w:r>
      <w:r w:rsidR="00BA1334">
        <w:rPr>
          <w:rFonts w:eastAsia="Times New Roman" w:cs="Calibri"/>
          <w:color w:val="3B3B3C"/>
          <w:lang w:eastAsia="en-GB"/>
        </w:rPr>
      </w:r>
      <w:r w:rsidR="00BA1334">
        <w:rPr>
          <w:rFonts w:eastAsia="Times New Roman" w:cs="Calibri"/>
          <w:color w:val="3B3B3C"/>
          <w:lang w:eastAsia="en-GB"/>
        </w:rPr>
        <w:fldChar w:fldCharType="separate"/>
      </w:r>
      <w:r w:rsidR="00BA1334">
        <w:rPr>
          <w:rFonts w:eastAsia="Times New Roman" w:cs="Calibri"/>
          <w:color w:val="3B3B3C"/>
          <w:cs/>
          <w:lang w:eastAsia="en-GB"/>
        </w:rPr>
        <w:t>‎</w:t>
      </w:r>
      <w:r w:rsidR="001A699F">
        <w:rPr>
          <w:rFonts w:eastAsia="Times New Roman" w:cs="Calibri"/>
          <w:color w:val="3B3B3C"/>
          <w:cs/>
          <w:lang w:eastAsia="en-GB"/>
        </w:rPr>
        <w:fldChar w:fldCharType="begin"/>
      </w:r>
      <w:r w:rsidR="001A699F">
        <w:rPr>
          <w:rFonts w:eastAsia="Times New Roman" w:cs="Calibri"/>
          <w:color w:val="3B3B3C"/>
          <w:lang w:eastAsia="en-GB"/>
        </w:rPr>
        <w:instrText xml:space="preserve"> REF _Ref129083432 \r \h </w:instrText>
      </w:r>
      <w:r w:rsidR="001A699F">
        <w:rPr>
          <w:rFonts w:eastAsia="Times New Roman" w:cs="Calibri"/>
          <w:color w:val="3B3B3C"/>
          <w:cs/>
          <w:lang w:eastAsia="en-GB"/>
        </w:rPr>
      </w:r>
      <w:r w:rsidR="001A699F">
        <w:rPr>
          <w:rFonts w:eastAsia="Times New Roman" w:cs="Calibri"/>
          <w:color w:val="3B3B3C"/>
          <w:cs/>
          <w:lang w:eastAsia="en-GB"/>
        </w:rPr>
        <w:fldChar w:fldCharType="separate"/>
      </w:r>
      <w:r w:rsidR="001A699F">
        <w:rPr>
          <w:rFonts w:eastAsia="Times New Roman" w:cs="Calibri"/>
          <w:color w:val="3B3B3C"/>
          <w:cs/>
          <w:lang w:eastAsia="en-GB"/>
        </w:rPr>
        <w:t>‎</w:t>
      </w:r>
      <w:r w:rsidR="001A699F">
        <w:rPr>
          <w:rFonts w:eastAsia="Times New Roman" w:cs="Calibri"/>
          <w:color w:val="3B3B3C"/>
          <w:lang w:eastAsia="en-GB"/>
        </w:rPr>
        <w:t>2.2</w:t>
      </w:r>
      <w:r w:rsidR="001A699F">
        <w:rPr>
          <w:rFonts w:eastAsia="Times New Roman" w:cs="Calibri"/>
          <w:color w:val="3B3B3C"/>
          <w:cs/>
          <w:lang w:eastAsia="en-GB"/>
        </w:rPr>
        <w:fldChar w:fldCharType="end"/>
      </w:r>
      <w:r w:rsidR="00BA1334">
        <w:rPr>
          <w:rFonts w:eastAsia="Times New Roman" w:cs="Calibri"/>
          <w:color w:val="3B3B3C"/>
          <w:lang w:eastAsia="en-GB"/>
        </w:rPr>
        <w:fldChar w:fldCharType="end"/>
      </w:r>
      <w:r w:rsidR="00BA1334">
        <w:rPr>
          <w:rFonts w:eastAsia="Times New Roman" w:cs="Calibri"/>
          <w:color w:val="3B3B3C"/>
          <w:lang w:eastAsia="en-GB"/>
        </w:rPr>
        <w:t>)</w:t>
      </w:r>
      <w:r w:rsidR="001A699F">
        <w:rPr>
          <w:rFonts w:eastAsia="Times New Roman" w:cs="Calibri"/>
          <w:color w:val="3B3B3C"/>
          <w:lang w:eastAsia="en-GB"/>
        </w:rPr>
        <w:t xml:space="preserve"> and sustainability (section </w:t>
      </w:r>
      <w:r w:rsidR="001A699F">
        <w:rPr>
          <w:rFonts w:eastAsia="Times New Roman" w:cs="Calibri"/>
          <w:color w:val="3B3B3C"/>
          <w:lang w:eastAsia="en-GB"/>
        </w:rPr>
        <w:fldChar w:fldCharType="begin"/>
      </w:r>
      <w:r w:rsidR="001A699F">
        <w:rPr>
          <w:rFonts w:eastAsia="Times New Roman" w:cs="Calibri"/>
          <w:color w:val="3B3B3C"/>
          <w:lang w:eastAsia="en-GB"/>
        </w:rPr>
        <w:instrText xml:space="preserve"> REF _Ref128749358 \r \h </w:instrText>
      </w:r>
      <w:r w:rsidR="001A699F">
        <w:rPr>
          <w:rFonts w:eastAsia="Times New Roman" w:cs="Calibri"/>
          <w:color w:val="3B3B3C"/>
          <w:lang w:eastAsia="en-GB"/>
        </w:rPr>
      </w:r>
      <w:r w:rsidR="001A699F">
        <w:rPr>
          <w:rFonts w:eastAsia="Times New Roman" w:cs="Calibri"/>
          <w:color w:val="3B3B3C"/>
          <w:lang w:eastAsia="en-GB"/>
        </w:rPr>
        <w:fldChar w:fldCharType="separate"/>
      </w:r>
      <w:r w:rsidR="001A699F">
        <w:rPr>
          <w:rFonts w:eastAsia="Times New Roman" w:cs="Calibri"/>
          <w:color w:val="3B3B3C"/>
          <w:cs/>
          <w:lang w:eastAsia="en-GB"/>
        </w:rPr>
        <w:t>‎</w:t>
      </w:r>
      <w:r w:rsidR="001A699F">
        <w:rPr>
          <w:rFonts w:eastAsia="Times New Roman" w:cs="Calibri"/>
          <w:color w:val="3B3B3C"/>
          <w:lang w:eastAsia="en-GB"/>
        </w:rPr>
        <w:t>2.3</w:t>
      </w:r>
      <w:r w:rsidR="001A699F">
        <w:rPr>
          <w:rFonts w:eastAsia="Times New Roman" w:cs="Calibri"/>
          <w:color w:val="3B3B3C"/>
          <w:lang w:eastAsia="en-GB"/>
        </w:rPr>
        <w:fldChar w:fldCharType="end"/>
      </w:r>
      <w:r w:rsidR="001A699F">
        <w:rPr>
          <w:rFonts w:eastAsia="Times New Roman" w:cs="Calibri"/>
          <w:color w:val="3B3B3C"/>
          <w:lang w:eastAsia="en-GB"/>
        </w:rPr>
        <w:t>)</w:t>
      </w:r>
      <w:r w:rsidR="00BA1334">
        <w:rPr>
          <w:rFonts w:eastAsia="Times New Roman" w:cs="Calibri"/>
          <w:color w:val="3B3B3C"/>
          <w:lang w:eastAsia="en-GB"/>
        </w:rPr>
        <w:t>.</w:t>
      </w:r>
    </w:p>
    <w:p w14:paraId="09A83A57" w14:textId="01C01333" w:rsidR="00FF2998" w:rsidRPr="008343D7" w:rsidRDefault="00FF2998" w:rsidP="00FF2998">
      <w:pPr>
        <w:numPr>
          <w:ilvl w:val="0"/>
          <w:numId w:val="38"/>
        </w:numPr>
        <w:spacing w:after="120"/>
        <w:textAlignment w:val="baseline"/>
        <w:rPr>
          <w:rFonts w:eastAsia="Times New Roman" w:cs="Calibri"/>
          <w:color w:val="3B3B3C"/>
          <w:lang w:eastAsia="en-GB"/>
        </w:rPr>
      </w:pPr>
      <w:r w:rsidRPr="008343D7">
        <w:rPr>
          <w:rFonts w:eastAsia="Times New Roman" w:cs="Calibri"/>
          <w:color w:val="3B3B3C"/>
          <w:lang w:eastAsia="en-GB"/>
        </w:rPr>
        <w:t>The MA should strengthen engagement in generating AMU data as a potentially influential source of data for decision</w:t>
      </w:r>
      <w:r w:rsidR="00D50F4C">
        <w:rPr>
          <w:rFonts w:eastAsia="Times New Roman" w:cs="Calibri"/>
          <w:color w:val="3B3B3C"/>
          <w:lang w:eastAsia="en-GB"/>
        </w:rPr>
        <w:t>-</w:t>
      </w:r>
      <w:r w:rsidRPr="008343D7">
        <w:rPr>
          <w:rFonts w:eastAsia="Times New Roman" w:cs="Calibri"/>
          <w:color w:val="3B3B3C"/>
          <w:lang w:eastAsia="en-GB"/>
        </w:rPr>
        <w:t>makers.</w:t>
      </w:r>
    </w:p>
    <w:p w14:paraId="15D2D8C0" w14:textId="40AD2C32" w:rsidR="00FF2998" w:rsidRPr="008343D7" w:rsidRDefault="00FF2998" w:rsidP="00FF2998">
      <w:pPr>
        <w:numPr>
          <w:ilvl w:val="0"/>
          <w:numId w:val="38"/>
        </w:numPr>
        <w:spacing w:after="120"/>
        <w:textAlignment w:val="baseline"/>
        <w:rPr>
          <w:rFonts w:eastAsia="Times New Roman" w:cs="Calibri"/>
          <w:color w:val="3B3B3C"/>
          <w:lang w:eastAsia="en-GB"/>
        </w:rPr>
      </w:pPr>
      <w:r w:rsidRPr="008343D7">
        <w:rPr>
          <w:rFonts w:eastAsia="Times New Roman" w:cs="Calibri"/>
          <w:color w:val="3B3B3C"/>
          <w:lang w:eastAsia="en-GB"/>
        </w:rPr>
        <w:t xml:space="preserve">The MA should move away from its current standardised approach to One Health towards a more flexible </w:t>
      </w:r>
      <w:r w:rsidR="00F55C0D">
        <w:rPr>
          <w:rFonts w:eastAsia="Times New Roman" w:cs="Calibri"/>
          <w:color w:val="3B3B3C"/>
          <w:lang w:eastAsia="en-GB"/>
        </w:rPr>
        <w:t>method</w:t>
      </w:r>
      <w:r w:rsidR="00F55C0D" w:rsidRPr="008343D7">
        <w:rPr>
          <w:rFonts w:eastAsia="Times New Roman" w:cs="Calibri"/>
          <w:color w:val="3B3B3C"/>
          <w:lang w:eastAsia="en-GB"/>
        </w:rPr>
        <w:t xml:space="preserve"> </w:t>
      </w:r>
      <w:r w:rsidRPr="008343D7">
        <w:rPr>
          <w:rFonts w:eastAsia="Times New Roman" w:cs="Calibri"/>
          <w:color w:val="3B3B3C"/>
          <w:lang w:eastAsia="en-GB"/>
        </w:rPr>
        <w:t xml:space="preserve">to cross-sector collaborations. Using </w:t>
      </w:r>
      <w:r w:rsidR="00FA29A2">
        <w:rPr>
          <w:rFonts w:eastAsia="Times New Roman" w:cs="Calibri"/>
          <w:color w:val="3B3B3C"/>
          <w:lang w:eastAsia="en-GB"/>
        </w:rPr>
        <w:t xml:space="preserve">a </w:t>
      </w:r>
      <w:r w:rsidRPr="008343D7">
        <w:rPr>
          <w:rFonts w:eastAsia="Times New Roman" w:cs="Calibri"/>
          <w:color w:val="3B3B3C"/>
          <w:lang w:eastAsia="en-GB"/>
        </w:rPr>
        <w:t>less formal way of collaborating, such as research networks, is likely to result in more effective One Health partnerships. In fostering this approach, the MA should build on its relevant experience with the Fleming Fellowships and consider the use of a challenge fund approach.</w:t>
      </w:r>
    </w:p>
    <w:p w14:paraId="54D1F99E" w14:textId="60085776" w:rsidR="00FF2998" w:rsidRPr="008343D7" w:rsidRDefault="00FF2998" w:rsidP="00FF2998">
      <w:pPr>
        <w:numPr>
          <w:ilvl w:val="0"/>
          <w:numId w:val="38"/>
        </w:numPr>
        <w:spacing w:after="120"/>
        <w:textAlignment w:val="baseline"/>
        <w:rPr>
          <w:rFonts w:eastAsia="Times New Roman" w:cs="Calibri"/>
          <w:color w:val="3B3B3C"/>
          <w:lang w:eastAsia="en-GB"/>
        </w:rPr>
      </w:pPr>
      <w:r w:rsidRPr="008343D7">
        <w:rPr>
          <w:rFonts w:eastAsia="Times New Roman" w:cs="Calibri"/>
          <w:color w:val="3B3B3C"/>
          <w:lang w:eastAsia="en-GB"/>
        </w:rPr>
        <w:t xml:space="preserve">The MA should continue to support AMR surveillance functions in the areas it focused on in </w:t>
      </w:r>
      <w:r w:rsidR="00222C91">
        <w:rPr>
          <w:rFonts w:eastAsia="Times New Roman" w:cs="Calibri"/>
          <w:color w:val="3B3B3C"/>
          <w:lang w:eastAsia="en-GB"/>
        </w:rPr>
        <w:t>phase 1</w:t>
      </w:r>
      <w:r w:rsidRPr="008343D7">
        <w:rPr>
          <w:rFonts w:eastAsia="Times New Roman" w:cs="Calibri"/>
          <w:color w:val="3B3B3C"/>
          <w:lang w:eastAsia="en-GB"/>
        </w:rPr>
        <w:t xml:space="preserve"> but give more priority to implications for sustainability in what is supported. In terms of laboratory infrastructure enhancement, the decisions on automating laboratory processes through the supply of sophisticated and expensive equipment and the supply of consumables and reagents should be reviewed. The approach to developing capacity should expand beyond training individuals </w:t>
      </w:r>
      <w:bookmarkStart w:id="425" w:name="_Hlk136507764"/>
      <w:r w:rsidRPr="008343D7">
        <w:rPr>
          <w:rFonts w:eastAsia="Times New Roman" w:cs="Calibri"/>
          <w:color w:val="3B3B3C"/>
          <w:lang w:eastAsia="en-GB"/>
        </w:rPr>
        <w:t xml:space="preserve">to </w:t>
      </w:r>
      <w:r w:rsidR="00936B28">
        <w:rPr>
          <w:rFonts w:eastAsia="Times New Roman" w:cs="Calibri"/>
          <w:color w:val="3B3B3C"/>
          <w:lang w:eastAsia="en-GB"/>
        </w:rPr>
        <w:t>developing</w:t>
      </w:r>
      <w:r w:rsidRPr="008343D7">
        <w:rPr>
          <w:rFonts w:eastAsia="Times New Roman" w:cs="Calibri"/>
          <w:color w:val="3B3B3C"/>
          <w:lang w:eastAsia="en-GB"/>
        </w:rPr>
        <w:t xml:space="preserve"> a sustainable </w:t>
      </w:r>
      <w:r w:rsidR="00F55C0D">
        <w:rPr>
          <w:rFonts w:eastAsia="Times New Roman" w:cs="Calibri"/>
          <w:color w:val="3B3B3C"/>
          <w:lang w:eastAsia="en-GB"/>
        </w:rPr>
        <w:t>way of</w:t>
      </w:r>
      <w:r w:rsidRPr="008343D7">
        <w:rPr>
          <w:rFonts w:eastAsia="Times New Roman" w:cs="Calibri"/>
          <w:color w:val="3B3B3C"/>
          <w:lang w:eastAsia="en-GB"/>
        </w:rPr>
        <w:t xml:space="preserve"> delivering such training, embedded in government systems.</w:t>
      </w:r>
      <w:bookmarkEnd w:id="424"/>
      <w:bookmarkEnd w:id="425"/>
    </w:p>
    <w:p w14:paraId="16620143" w14:textId="2421BF95" w:rsidR="00FF2998" w:rsidRPr="008343D7" w:rsidRDefault="00FF2998" w:rsidP="00FF2998">
      <w:pPr>
        <w:numPr>
          <w:ilvl w:val="0"/>
          <w:numId w:val="34"/>
        </w:numPr>
        <w:tabs>
          <w:tab w:val="num" w:pos="502"/>
        </w:tabs>
        <w:spacing w:after="120"/>
        <w:ind w:left="502"/>
        <w:textAlignment w:val="baseline"/>
        <w:rPr>
          <w:rFonts w:eastAsia="Times New Roman" w:cs="Calibri"/>
          <w:b/>
          <w:bCs/>
          <w:color w:val="3B3B3C"/>
          <w:lang w:eastAsia="en-GB"/>
        </w:rPr>
      </w:pPr>
      <w:bookmarkStart w:id="426" w:name="_Hlk136507841"/>
      <w:r w:rsidRPr="008343D7">
        <w:rPr>
          <w:rFonts w:eastAsia="Times New Roman" w:cs="Calibri"/>
          <w:b/>
          <w:bCs/>
          <w:color w:val="3B3B3C"/>
          <w:lang w:eastAsia="en-GB"/>
        </w:rPr>
        <w:t xml:space="preserve">The Fleming Fund should place greater emphasis on internal and external coherence and coordination from the outset of </w:t>
      </w:r>
      <w:r w:rsidR="00AD1BE7">
        <w:rPr>
          <w:rFonts w:eastAsia="Times New Roman" w:cs="Calibri"/>
          <w:b/>
          <w:bCs/>
          <w:color w:val="3B3B3C"/>
          <w:lang w:eastAsia="en-GB"/>
        </w:rPr>
        <w:t>phase 2</w:t>
      </w:r>
      <w:r w:rsidRPr="008343D7">
        <w:rPr>
          <w:rFonts w:eastAsia="Times New Roman" w:cs="Calibri"/>
          <w:b/>
          <w:bCs/>
          <w:color w:val="3B3B3C"/>
          <w:lang w:eastAsia="en-GB"/>
        </w:rPr>
        <w:t>, including strengthening AMRCCs and NAPs to play this role and their linkages to institutional homes.</w:t>
      </w:r>
      <w:r w:rsidR="00582808">
        <w:rPr>
          <w:rFonts w:eastAsia="Times New Roman" w:cs="Calibri"/>
          <w:b/>
          <w:bCs/>
          <w:color w:val="3B3B3C"/>
          <w:lang w:eastAsia="en-GB"/>
        </w:rPr>
        <w:t xml:space="preserve"> </w:t>
      </w:r>
      <w:r w:rsidR="00582808" w:rsidRPr="0081582A">
        <w:rPr>
          <w:rFonts w:eastAsia="Times New Roman" w:cs="Calibri"/>
          <w:color w:val="3B3B3C"/>
          <w:lang w:eastAsia="en-GB"/>
        </w:rPr>
        <w:t>This</w:t>
      </w:r>
      <w:r w:rsidR="00582808">
        <w:rPr>
          <w:rFonts w:eastAsia="Times New Roman" w:cs="Calibri"/>
          <w:b/>
          <w:bCs/>
          <w:color w:val="3B3B3C"/>
          <w:lang w:eastAsia="en-GB"/>
        </w:rPr>
        <w:t xml:space="preserve"> </w:t>
      </w:r>
      <w:r w:rsidR="00582808">
        <w:rPr>
          <w:rFonts w:eastAsia="Times New Roman" w:cs="Calibri"/>
          <w:color w:val="3B3B3C"/>
          <w:lang w:eastAsia="en-GB"/>
        </w:rPr>
        <w:t>recommendation links to</w:t>
      </w:r>
      <w:r w:rsidR="00494891">
        <w:rPr>
          <w:rFonts w:eastAsia="Times New Roman" w:cs="Calibri"/>
          <w:color w:val="3B3B3C"/>
          <w:lang w:eastAsia="en-GB"/>
        </w:rPr>
        <w:t xml:space="preserve"> conclusion 8 and</w:t>
      </w:r>
      <w:r w:rsidR="00582808">
        <w:rPr>
          <w:rFonts w:eastAsia="Times New Roman" w:cs="Calibri"/>
          <w:color w:val="3B3B3C"/>
          <w:lang w:eastAsia="en-GB"/>
        </w:rPr>
        <w:t xml:space="preserve"> findings </w:t>
      </w:r>
      <w:r w:rsidR="001976A8">
        <w:rPr>
          <w:rFonts w:eastAsia="Times New Roman" w:cs="Calibri"/>
          <w:color w:val="3B3B3C"/>
          <w:lang w:eastAsia="en-GB"/>
        </w:rPr>
        <w:t xml:space="preserve">on coherence and alignment </w:t>
      </w:r>
      <w:r w:rsidR="00354165">
        <w:rPr>
          <w:rFonts w:eastAsia="Times New Roman" w:cs="Calibri"/>
          <w:color w:val="3B3B3C"/>
          <w:lang w:eastAsia="en-GB"/>
        </w:rPr>
        <w:t xml:space="preserve">(section </w:t>
      </w:r>
      <w:r w:rsidR="00354165">
        <w:rPr>
          <w:rFonts w:eastAsia="Times New Roman" w:cs="Calibri"/>
          <w:color w:val="3B3B3C"/>
          <w:lang w:eastAsia="en-GB"/>
        </w:rPr>
        <w:fldChar w:fldCharType="begin"/>
      </w:r>
      <w:r w:rsidR="00354165">
        <w:rPr>
          <w:rFonts w:eastAsia="Times New Roman" w:cs="Calibri"/>
          <w:color w:val="3B3B3C"/>
          <w:lang w:eastAsia="en-GB"/>
        </w:rPr>
        <w:instrText xml:space="preserve"> REF _Ref128749358 \r \h </w:instrText>
      </w:r>
      <w:r w:rsidR="00354165">
        <w:rPr>
          <w:rFonts w:eastAsia="Times New Roman" w:cs="Calibri"/>
          <w:color w:val="3B3B3C"/>
          <w:lang w:eastAsia="en-GB"/>
        </w:rPr>
      </w:r>
      <w:r w:rsidR="00354165">
        <w:rPr>
          <w:rFonts w:eastAsia="Times New Roman" w:cs="Calibri"/>
          <w:color w:val="3B3B3C"/>
          <w:lang w:eastAsia="en-GB"/>
        </w:rPr>
        <w:fldChar w:fldCharType="separate"/>
      </w:r>
      <w:r w:rsidR="00354165">
        <w:rPr>
          <w:rFonts w:eastAsia="Times New Roman" w:cs="Calibri"/>
          <w:color w:val="3B3B3C"/>
          <w:cs/>
          <w:lang w:eastAsia="en-GB"/>
        </w:rPr>
        <w:t>‎</w:t>
      </w:r>
      <w:r w:rsidR="00354165">
        <w:rPr>
          <w:rFonts w:eastAsia="Times New Roman" w:cs="Calibri"/>
          <w:color w:val="3B3B3C"/>
          <w:lang w:eastAsia="en-GB"/>
        </w:rPr>
        <w:t>2.3</w:t>
      </w:r>
      <w:r w:rsidR="00354165">
        <w:rPr>
          <w:rFonts w:eastAsia="Times New Roman" w:cs="Calibri"/>
          <w:color w:val="3B3B3C"/>
          <w:lang w:eastAsia="en-GB"/>
        </w:rPr>
        <w:fldChar w:fldCharType="end"/>
      </w:r>
      <w:r w:rsidR="00354165">
        <w:rPr>
          <w:rFonts w:eastAsia="Times New Roman" w:cs="Calibri"/>
          <w:color w:val="3B3B3C"/>
          <w:lang w:eastAsia="en-GB"/>
        </w:rPr>
        <w:t>).</w:t>
      </w:r>
    </w:p>
    <w:p w14:paraId="48D7192B" w14:textId="775A8096" w:rsidR="00FF2998" w:rsidRPr="008343D7" w:rsidRDefault="00FF2998" w:rsidP="00FF2998">
      <w:pPr>
        <w:numPr>
          <w:ilvl w:val="0"/>
          <w:numId w:val="37"/>
        </w:numPr>
        <w:spacing w:after="120"/>
        <w:textAlignment w:val="baseline"/>
        <w:rPr>
          <w:rFonts w:eastAsia="Times New Roman" w:cs="Calibri"/>
          <w:color w:val="3B3B3C"/>
          <w:lang w:eastAsia="en-GB"/>
        </w:rPr>
      </w:pPr>
      <w:r w:rsidRPr="008343D7">
        <w:rPr>
          <w:rFonts w:eastAsia="Times New Roman" w:cs="Calibri"/>
          <w:color w:val="3B3B3C"/>
          <w:lang w:eastAsia="en-GB"/>
        </w:rPr>
        <w:t xml:space="preserve">The DHSC and the MA under </w:t>
      </w:r>
      <w:r w:rsidR="00AD1BE7">
        <w:rPr>
          <w:rFonts w:eastAsia="Times New Roman" w:cs="Calibri"/>
          <w:color w:val="3B3B3C"/>
          <w:lang w:eastAsia="en-GB"/>
        </w:rPr>
        <w:t>phase 2</w:t>
      </w:r>
      <w:r w:rsidRPr="008343D7">
        <w:rPr>
          <w:rFonts w:eastAsia="Times New Roman" w:cs="Calibri"/>
          <w:color w:val="3B3B3C"/>
          <w:lang w:eastAsia="en-GB"/>
        </w:rPr>
        <w:t xml:space="preserve"> should either provide more substantive support to strengthen AMRCCs and NAPs if not provided by others </w:t>
      </w:r>
      <w:r w:rsidRPr="008343D7">
        <w:rPr>
          <w:rFonts w:eastAsia="Calibri" w:cs="Calibri"/>
          <w:bCs/>
          <w:noProof/>
          <w:color w:val="3B3B3C"/>
        </w:rPr>
        <w:t xml:space="preserve">(although evidence would suggest this direction is </w:t>
      </w:r>
      <w:r w:rsidR="00637299">
        <w:rPr>
          <w:rFonts w:eastAsia="Calibri" w:cs="Calibri"/>
          <w:bCs/>
          <w:noProof/>
          <w:color w:val="3B3B3C"/>
        </w:rPr>
        <w:t>subject to</w:t>
      </w:r>
      <w:r w:rsidRPr="008343D7">
        <w:rPr>
          <w:rFonts w:eastAsia="Calibri" w:cs="Calibri"/>
          <w:bCs/>
          <w:noProof/>
          <w:color w:val="3B3B3C"/>
        </w:rPr>
        <w:t xml:space="preserve"> challenges</w:t>
      </w:r>
      <w:r w:rsidR="00941C38">
        <w:rPr>
          <w:rFonts w:eastAsia="Calibri" w:cs="Calibri"/>
          <w:bCs/>
          <w:noProof/>
          <w:color w:val="3B3B3C"/>
        </w:rPr>
        <w:t xml:space="preserve"> around mandate, ownership and </w:t>
      </w:r>
      <w:r w:rsidR="00F1060E">
        <w:rPr>
          <w:rFonts w:eastAsia="Calibri" w:cs="Calibri"/>
          <w:bCs/>
          <w:noProof/>
          <w:color w:val="3B3B3C"/>
        </w:rPr>
        <w:t xml:space="preserve">ensuring </w:t>
      </w:r>
      <w:r w:rsidR="00347FC4">
        <w:rPr>
          <w:rFonts w:eastAsia="Calibri" w:cs="Calibri"/>
          <w:bCs/>
          <w:noProof/>
          <w:color w:val="3B3B3C"/>
        </w:rPr>
        <w:t xml:space="preserve">effectiveness in terms of </w:t>
      </w:r>
      <w:r w:rsidR="00F1060E">
        <w:rPr>
          <w:rFonts w:eastAsia="Calibri" w:cs="Calibri"/>
          <w:bCs/>
          <w:noProof/>
          <w:color w:val="3B3B3C"/>
        </w:rPr>
        <w:t xml:space="preserve">contributing to </w:t>
      </w:r>
      <w:r w:rsidR="00347FC4">
        <w:rPr>
          <w:rFonts w:eastAsia="Calibri" w:cs="Calibri"/>
          <w:bCs/>
          <w:noProof/>
          <w:color w:val="3B3B3C"/>
        </w:rPr>
        <w:t>strategic goals</w:t>
      </w:r>
      <w:r w:rsidRPr="008343D7">
        <w:rPr>
          <w:rFonts w:eastAsia="Calibri" w:cs="Calibri"/>
          <w:bCs/>
          <w:noProof/>
          <w:color w:val="3B3B3C"/>
        </w:rPr>
        <w:t xml:space="preserve">) </w:t>
      </w:r>
      <w:r w:rsidRPr="008343D7">
        <w:rPr>
          <w:rFonts w:eastAsia="Times New Roman" w:cs="Calibri"/>
          <w:color w:val="3B3B3C"/>
          <w:lang w:eastAsia="en-GB"/>
        </w:rPr>
        <w:t>or pay greater attention to the political economy of decision</w:t>
      </w:r>
      <w:r w:rsidR="00E278CD">
        <w:rPr>
          <w:rFonts w:eastAsia="Times New Roman" w:cs="Calibri"/>
          <w:color w:val="3B3B3C"/>
          <w:lang w:eastAsia="en-GB"/>
        </w:rPr>
        <w:t>-</w:t>
      </w:r>
      <w:r w:rsidRPr="008343D7">
        <w:rPr>
          <w:rFonts w:eastAsia="Times New Roman" w:cs="Calibri"/>
          <w:color w:val="3B3B3C"/>
          <w:lang w:eastAsia="en-GB"/>
        </w:rPr>
        <w:t>making in each country, so as to link Fund support better into institutional (sectoral) homes of the AMR agenda where priorities are set (both within government and professional bodies).</w:t>
      </w:r>
    </w:p>
    <w:p w14:paraId="6EDD6388" w14:textId="0A2FD974" w:rsidR="0061371E" w:rsidRDefault="00FF2998" w:rsidP="00FF2998">
      <w:pPr>
        <w:numPr>
          <w:ilvl w:val="0"/>
          <w:numId w:val="37"/>
        </w:numPr>
        <w:spacing w:after="120"/>
        <w:textAlignment w:val="baseline"/>
        <w:rPr>
          <w:rFonts w:eastAsia="Times New Roman" w:cs="Calibri"/>
          <w:color w:val="3B3B3C"/>
          <w:lang w:eastAsia="en-GB"/>
        </w:rPr>
      </w:pPr>
      <w:r w:rsidRPr="008343D7">
        <w:rPr>
          <w:rFonts w:eastAsia="Times New Roman" w:cs="Calibri"/>
          <w:color w:val="3B3B3C"/>
          <w:lang w:eastAsia="en-GB"/>
        </w:rPr>
        <w:t>The MA should supplement country investment strategy processes, building on its evolving approach to supporting internal coherence between individual grantees working in a particular country (which is currently focused on information sharing to avoid duplication). This could be done by expanding the focus to look at opportunities to enhance synergy between grantees (joint planning and review of progress between all Fleming Fund grants) in order to enhance overall programme effectiveness.</w:t>
      </w:r>
      <w:bookmarkEnd w:id="426"/>
    </w:p>
    <w:p w14:paraId="45F5E606" w14:textId="09308F5C" w:rsidR="0061371E" w:rsidRDefault="0061371E" w:rsidP="0061371E">
      <w:pPr>
        <w:spacing w:after="120"/>
        <w:textAlignment w:val="baseline"/>
        <w:rPr>
          <w:rFonts w:eastAsia="Times New Roman" w:cs="Calibri"/>
          <w:color w:val="3B3B3C"/>
          <w:lang w:eastAsia="en-GB"/>
        </w:rPr>
      </w:pPr>
      <w:r>
        <w:rPr>
          <w:rFonts w:eastAsia="Times New Roman" w:cs="Calibri"/>
          <w:color w:val="3B3B3C"/>
          <w:lang w:eastAsia="en-GB"/>
        </w:rPr>
        <w:br w:type="page"/>
      </w:r>
    </w:p>
    <w:p w14:paraId="26F86EA0" w14:textId="77777777" w:rsidR="0061371E" w:rsidRDefault="0061371E" w:rsidP="0061371E">
      <w:pPr>
        <w:spacing w:after="120"/>
        <w:textAlignment w:val="baseline"/>
        <w:rPr>
          <w:rFonts w:eastAsia="Times New Roman" w:cs="Calibri"/>
          <w:color w:val="3B3B3C"/>
          <w:lang w:eastAsia="en-GB"/>
        </w:rPr>
      </w:pPr>
    </w:p>
    <w:p w14:paraId="7266CE60" w14:textId="77777777" w:rsidR="00FF2998" w:rsidRPr="008343D7" w:rsidRDefault="00FF2998" w:rsidP="00FF2998">
      <w:pPr>
        <w:spacing w:after="120"/>
        <w:textAlignment w:val="baseline"/>
        <w:rPr>
          <w:rFonts w:eastAsia="Times New Roman" w:cs="Calibri"/>
          <w:color w:val="3B3B3C"/>
          <w:lang w:eastAsia="en-GB"/>
        </w:rPr>
      </w:pPr>
    </w:p>
    <w:p w14:paraId="6D08254B" w14:textId="77777777" w:rsidR="00FF2998" w:rsidRDefault="00FF2998" w:rsidP="00FF2998"/>
    <w:p w14:paraId="6C8BA827" w14:textId="77777777" w:rsidR="00FF2998" w:rsidRPr="0098193B" w:rsidRDefault="00FF2998" w:rsidP="00FF2998">
      <w:pPr>
        <w:tabs>
          <w:tab w:val="left" w:pos="2955"/>
        </w:tabs>
      </w:pPr>
    </w:p>
    <w:p w14:paraId="663CF876" w14:textId="77777777" w:rsidR="00012EE7" w:rsidRPr="00485FD4" w:rsidRDefault="00012EE7" w:rsidP="00012EE7">
      <w:pPr>
        <w:rPr>
          <w:rFonts w:asciiTheme="minorHAnsi" w:hAnsiTheme="minorHAnsi" w:cstheme="minorHAnsi"/>
        </w:rPr>
      </w:pPr>
    </w:p>
    <w:p w14:paraId="7FF33EF0" w14:textId="4BC64B19" w:rsidR="001D260D" w:rsidRPr="00BD77FE" w:rsidRDefault="00937ADF" w:rsidP="00215994">
      <w:pPr>
        <w:pStyle w:val="Itadtabletext"/>
      </w:pPr>
      <w:r>
        <w:rPr>
          <w:noProof/>
        </w:rPr>
        <w:drawing>
          <wp:anchor distT="0" distB="0" distL="114300" distR="114300" simplePos="0" relativeHeight="251658240" behindDoc="0" locked="0" layoutInCell="1" allowOverlap="1" wp14:anchorId="25E1B95B" wp14:editId="51402053">
            <wp:simplePos x="0" y="0"/>
            <wp:positionH relativeFrom="page">
              <wp:align>left</wp:align>
            </wp:positionH>
            <wp:positionV relativeFrom="paragraph">
              <wp:posOffset>-917476</wp:posOffset>
            </wp:positionV>
            <wp:extent cx="7564863" cy="10699321"/>
            <wp:effectExtent l="0" t="0" r="0" b="698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564863" cy="10699321"/>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sectPr w:rsidR="001D260D" w:rsidRPr="00BD77FE" w:rsidSect="00093B76">
      <w:pgSz w:w="11900" w:h="16840"/>
      <w:pgMar w:top="1134" w:right="1410" w:bottom="1134" w:left="1191" w:header="720" w:footer="25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8A1EF" w14:textId="77777777" w:rsidR="00A85669" w:rsidRDefault="00A85669" w:rsidP="00967499">
      <w:r>
        <w:separator/>
      </w:r>
    </w:p>
    <w:p w14:paraId="61C91527" w14:textId="77777777" w:rsidR="00A85669" w:rsidRDefault="00A85669"/>
    <w:p w14:paraId="7A3D765F" w14:textId="77777777" w:rsidR="00A85669" w:rsidRDefault="00A85669"/>
  </w:endnote>
  <w:endnote w:type="continuationSeparator" w:id="0">
    <w:p w14:paraId="60946FFC" w14:textId="77777777" w:rsidR="00A85669" w:rsidRDefault="00A85669" w:rsidP="00967499">
      <w:r>
        <w:continuationSeparator/>
      </w:r>
    </w:p>
    <w:p w14:paraId="39990A16" w14:textId="77777777" w:rsidR="00A85669" w:rsidRDefault="00A85669"/>
    <w:p w14:paraId="3F24CB47" w14:textId="77777777" w:rsidR="00A85669" w:rsidRDefault="00A85669"/>
  </w:endnote>
  <w:endnote w:type="continuationNotice" w:id="1">
    <w:p w14:paraId="22CFBB16" w14:textId="77777777" w:rsidR="00A85669" w:rsidRDefault="00A856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9D397740-66F1-47EC-834C-F542A3F19640}"/>
    <w:embedBold r:id="rId2" w:fontKey="{D3E16DAB-A6F4-4233-A684-23D93E8EFF01}"/>
    <w:embedItalic r:id="rId3" w:fontKey="{A7B52095-670C-45C1-BB54-4EA73A63D03B}"/>
    <w:embedBoldItalic r:id="rId4" w:fontKey="{8B5B8FF3-F0B4-4804-9E0B-3E6FDDD3694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5" w:subsetted="1" w:fontKey="{0B2C2FD6-1836-4C9F-A549-7291C2E52A13}"/>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ubeOT">
    <w:altName w:val="Calibri"/>
    <w:charset w:val="00"/>
    <w:family w:val="swiss"/>
    <w:pitch w:val="variable"/>
    <w:sig w:usb0="800000EF" w:usb1="4000A04A" w:usb2="00000008" w:usb3="00000000" w:csb0="00000001" w:csb1="00000000"/>
  </w:font>
  <w:font w:name="Segoe UI">
    <w:panose1 w:val="020B0502040204020203"/>
    <w:charset w:val="00"/>
    <w:family w:val="swiss"/>
    <w:pitch w:val="variable"/>
    <w:sig w:usb0="E4002EFF" w:usb1="C000E47F" w:usb2="00000009" w:usb3="00000000" w:csb0="000001FF" w:csb1="00000000"/>
    <w:embedRegular r:id="rId6" w:subsetted="1" w:fontKey="{EECC51ED-4492-480D-A32F-47E28EF705E5}"/>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8C0B" w14:textId="3013EFDF" w:rsidR="00215994" w:rsidRPr="001E52D0" w:rsidRDefault="00215994" w:rsidP="00215994">
    <w:pPr>
      <w:pStyle w:val="ItadFooter"/>
    </w:pPr>
    <w:r w:rsidRPr="007360F4">
      <w:t>Itad</w:t>
    </w:r>
    <w:r w:rsidRPr="007360F4" w:rsidDel="007D2E99">
      <w:t xml:space="preserve"> </w:t>
    </w:r>
    <w:r>
      <w:fldChar w:fldCharType="begin"/>
    </w:r>
    <w:r>
      <w:instrText xml:space="preserve"> DATE \@ "d MMMM yyyy" </w:instrText>
    </w:r>
    <w:r>
      <w:fldChar w:fldCharType="separate"/>
    </w:r>
    <w:r w:rsidR="00B33BBD">
      <w:rPr>
        <w:noProof/>
      </w:rPr>
      <w:t>24 April 2024</w:t>
    </w:r>
    <w:r>
      <w:fldChar w:fldCharType="end"/>
    </w:r>
    <w:r w:rsidRPr="007360F4">
      <w:tab/>
    </w:r>
    <w:r w:rsidRPr="007360F4">
      <w:fldChar w:fldCharType="begin"/>
    </w:r>
    <w:r w:rsidRPr="007360F4">
      <w:instrText xml:space="preserve"> PAGE   \* MERGEFORMAT </w:instrText>
    </w:r>
    <w:r w:rsidRPr="007360F4">
      <w:fldChar w:fldCharType="separate"/>
    </w:r>
    <w:r>
      <w:rPr>
        <w:noProof/>
      </w:rPr>
      <w:t>8</w:t>
    </w:r>
    <w:r w:rsidRPr="007360F4">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2342C" w14:textId="77777777" w:rsidR="00215994" w:rsidRPr="007360F4" w:rsidRDefault="00215994" w:rsidP="00215994">
    <w:pPr>
      <w:pStyle w:val="ItadFooter"/>
    </w:pPr>
    <w:r w:rsidRPr="007360F4">
      <w:t xml:space="preserve">Itad </w:t>
    </w:r>
  </w:p>
  <w:p w14:paraId="7CE86255" w14:textId="1AAB41DB" w:rsidR="00215994" w:rsidRPr="007360F4" w:rsidRDefault="00215994" w:rsidP="00215994">
    <w:pPr>
      <w:pStyle w:val="ItadFooter"/>
    </w:pPr>
    <w:r>
      <w:fldChar w:fldCharType="begin"/>
    </w:r>
    <w:r>
      <w:instrText xml:space="preserve"> DATE \@ "d MMMM yyyy" </w:instrText>
    </w:r>
    <w:r>
      <w:fldChar w:fldCharType="separate"/>
    </w:r>
    <w:r w:rsidR="00B33BBD">
      <w:rPr>
        <w:noProof/>
      </w:rPr>
      <w:t>24 April 2024</w:t>
    </w:r>
    <w:r>
      <w:fldChar w:fldCharType="end"/>
    </w:r>
    <w:r w:rsidRPr="007360F4">
      <w:tab/>
    </w:r>
    <w:r w:rsidRPr="007360F4">
      <w:tab/>
    </w:r>
    <w:r w:rsidRPr="007360F4">
      <w:fldChar w:fldCharType="begin"/>
    </w:r>
    <w:r w:rsidRPr="007360F4">
      <w:instrText xml:space="preserve"> PAGE   \* MERGEFORMAT </w:instrText>
    </w:r>
    <w:r w:rsidRPr="007360F4">
      <w:fldChar w:fldCharType="separate"/>
    </w:r>
    <w:r>
      <w:rPr>
        <w:noProof/>
      </w:rPr>
      <w:t>1</w:t>
    </w:r>
    <w:r w:rsidRPr="007360F4">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3FF8B" w14:textId="77777777" w:rsidR="00215994" w:rsidRPr="00FF6773" w:rsidRDefault="00215994" w:rsidP="00215994">
    <w:pPr>
      <w:pStyle w:val="Itad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74D02" w14:textId="77777777" w:rsidR="00A85669" w:rsidRPr="009A300B" w:rsidRDefault="00A85669" w:rsidP="009A300B">
      <w:pPr>
        <w:pStyle w:val="Footer"/>
      </w:pPr>
      <w:r>
        <w:separator/>
      </w:r>
    </w:p>
  </w:footnote>
  <w:footnote w:type="continuationSeparator" w:id="0">
    <w:p w14:paraId="563E83A7" w14:textId="77777777" w:rsidR="00A85669" w:rsidRPr="00CA1D8F" w:rsidRDefault="00A85669" w:rsidP="00CA1D8F">
      <w:pPr>
        <w:pStyle w:val="Footer"/>
      </w:pPr>
    </w:p>
  </w:footnote>
  <w:footnote w:type="continuationNotice" w:id="1">
    <w:p w14:paraId="3116F199" w14:textId="77777777" w:rsidR="00A85669" w:rsidRDefault="00A85669"/>
  </w:footnote>
  <w:footnote w:id="2">
    <w:p w14:paraId="52E24A2A" w14:textId="3438313B" w:rsidR="00C02374" w:rsidRDefault="00C02374">
      <w:pPr>
        <w:pStyle w:val="FootnoteText"/>
      </w:pPr>
      <w:r>
        <w:rPr>
          <w:rStyle w:val="FootnoteReference"/>
        </w:rPr>
        <w:footnoteRef/>
      </w:r>
      <w:r>
        <w:t xml:space="preserve"> </w:t>
      </w:r>
      <w:r w:rsidRPr="00C02374">
        <w:t>https://amr-review.org/sites/default/files/160525_Final%20paper_with%20cover.pdf</w:t>
      </w:r>
    </w:p>
  </w:footnote>
  <w:footnote w:id="3">
    <w:p w14:paraId="459E295B" w14:textId="4CEE69D3" w:rsidR="00C37940" w:rsidRPr="00551F0C" w:rsidRDefault="00C37940" w:rsidP="00504E64">
      <w:pPr>
        <w:pStyle w:val="Itadfootnotestyle"/>
        <w:ind w:right="-478"/>
      </w:pPr>
      <w:r w:rsidRPr="00C64239">
        <w:rPr>
          <w:rStyle w:val="Error-Funotenzeichen61"/>
          <w:sz w:val="18"/>
          <w:szCs w:val="18"/>
        </w:rPr>
        <w:footnoteRef/>
      </w:r>
      <w:r w:rsidRPr="00C64239">
        <w:t xml:space="preserve"> </w:t>
      </w:r>
      <w:r w:rsidRPr="004F4677">
        <w:t xml:space="preserve">One Health is </w:t>
      </w:r>
      <w:r w:rsidR="00AE5B49">
        <w:t xml:space="preserve">a </w:t>
      </w:r>
      <w:r w:rsidRPr="004F4677">
        <w:t>multiple disciplin</w:t>
      </w:r>
      <w:r w:rsidR="00AE5B49">
        <w:t xml:space="preserve">ary effort </w:t>
      </w:r>
      <w:r w:rsidRPr="004F4677">
        <w:t xml:space="preserve">to attain optimal health for people, animals and the environment. </w:t>
      </w:r>
      <w:hyperlink r:id="rId1" w:history="1">
        <w:r w:rsidRPr="00E33260">
          <w:rPr>
            <w:rStyle w:val="Hyperlink1"/>
            <w:rFonts w:eastAsia="Calibri" w:cs="Calibri"/>
          </w:rPr>
          <w:t>https://www.avma.org/onehealth</w:t>
        </w:r>
      </w:hyperlink>
      <w:r w:rsidRPr="004F4677" w:rsidDel="007D2E99">
        <w:rPr>
          <w:color w:val="333333"/>
        </w:rPr>
        <w:t xml:space="preserve"> </w:t>
      </w:r>
    </w:p>
  </w:footnote>
  <w:footnote w:id="4">
    <w:p w14:paraId="27972499" w14:textId="00E48928" w:rsidR="00A116A3" w:rsidRDefault="00A116A3">
      <w:pPr>
        <w:pStyle w:val="FootnoteText"/>
      </w:pPr>
      <w:r>
        <w:rPr>
          <w:rStyle w:val="FootnoteReference"/>
        </w:rPr>
        <w:footnoteRef/>
      </w:r>
      <w:r>
        <w:t xml:space="preserve"> </w:t>
      </w:r>
      <w:r w:rsidRPr="00A116A3">
        <w:t>https://www.flemingfund.org/our-approach/programme-design/</w:t>
      </w:r>
    </w:p>
  </w:footnote>
  <w:footnote w:id="5">
    <w:p w14:paraId="05F33FAA" w14:textId="5359823E" w:rsidR="00610708" w:rsidRDefault="00610708">
      <w:pPr>
        <w:pStyle w:val="FootnoteText"/>
      </w:pPr>
      <w:r>
        <w:rPr>
          <w:rStyle w:val="FootnoteReference"/>
        </w:rPr>
        <w:footnoteRef/>
      </w:r>
      <w:r>
        <w:t xml:space="preserve"> </w:t>
      </w:r>
      <w:r w:rsidR="00BA74E2">
        <w:t xml:space="preserve">The Fleming Fund started in </w:t>
      </w:r>
      <w:r w:rsidR="002E7DAF">
        <w:t xml:space="preserve">23 countries (see </w:t>
      </w:r>
      <w:r w:rsidR="002E7DAF">
        <w:fldChar w:fldCharType="begin"/>
      </w:r>
      <w:r w:rsidR="002E7DAF">
        <w:instrText xml:space="preserve"> REF _Ref118206541 \h </w:instrText>
      </w:r>
      <w:r w:rsidR="002E7DAF">
        <w:fldChar w:fldCharType="separate"/>
      </w:r>
      <w:r w:rsidR="002E7DAF">
        <w:t xml:space="preserve">Figure </w:t>
      </w:r>
      <w:r w:rsidR="002E7DAF">
        <w:rPr>
          <w:noProof/>
        </w:rPr>
        <w:t>3</w:t>
      </w:r>
      <w:r w:rsidR="002E7DAF">
        <w:fldChar w:fldCharType="end"/>
      </w:r>
      <w:r w:rsidR="002E7DAF">
        <w:t>)</w:t>
      </w:r>
      <w:r w:rsidR="00D9195F">
        <w:t xml:space="preserve"> </w:t>
      </w:r>
      <w:r w:rsidR="00D9195F" w:rsidRPr="00D9195F">
        <w:t>but subsequently pulled out of Sri Lanka and Myanmar</w:t>
      </w:r>
      <w:r w:rsidR="001C01F4">
        <w:t>.</w:t>
      </w:r>
    </w:p>
  </w:footnote>
  <w:footnote w:id="6">
    <w:p w14:paraId="7025A0C4" w14:textId="15E022E8" w:rsidR="00041C53" w:rsidRPr="00D45ED9" w:rsidRDefault="00041C53">
      <w:pPr>
        <w:pStyle w:val="FootnoteText"/>
      </w:pPr>
      <w:r>
        <w:rPr>
          <w:rStyle w:val="FootnoteReference"/>
        </w:rPr>
        <w:footnoteRef/>
      </w:r>
      <w:r w:rsidRPr="00D45ED9">
        <w:t xml:space="preserve"> E.g. data on AM</w:t>
      </w:r>
      <w:r w:rsidR="00AB14E4">
        <w:t>C</w:t>
      </w:r>
      <w:r w:rsidRPr="008A5F96">
        <w:t>/</w:t>
      </w:r>
      <w:r w:rsidR="00AB14E4">
        <w:t>U</w:t>
      </w:r>
      <w:r w:rsidR="00D45ED9" w:rsidRPr="008A5F96">
        <w:t xml:space="preserve"> also inc</w:t>
      </w:r>
      <w:r w:rsidR="00D45ED9">
        <w:t>reased in some countries.</w:t>
      </w:r>
    </w:p>
  </w:footnote>
  <w:footnote w:id="7">
    <w:p w14:paraId="39872BC7" w14:textId="61401EEA" w:rsidR="003F1EFB" w:rsidRDefault="003F1EFB">
      <w:pPr>
        <w:pStyle w:val="FootnoteText"/>
      </w:pPr>
      <w:r>
        <w:rPr>
          <w:rStyle w:val="FootnoteReference"/>
        </w:rPr>
        <w:footnoteRef/>
      </w:r>
      <w:r>
        <w:t xml:space="preserve"> Contribution to drivers was rated against the following scale: </w:t>
      </w:r>
      <w:r w:rsidR="001A1E89">
        <w:t>vital / important / some / limited / none / negative</w:t>
      </w:r>
      <w:r w:rsidR="00180557">
        <w:t xml:space="preserve">. </w:t>
      </w:r>
      <w:r w:rsidR="00CE58BF">
        <w:t xml:space="preserve">See Annex </w:t>
      </w:r>
      <w:r w:rsidR="00851DE6">
        <w:t>3 section 1</w:t>
      </w:r>
      <w:r w:rsidR="00CE58BF">
        <w:t xml:space="preserve">.3.1 </w:t>
      </w:r>
      <w:r w:rsidR="00825CDF">
        <w:t>for more details on the methodology applie</w:t>
      </w:r>
      <w:r w:rsidR="004057C2">
        <w:t>d</w:t>
      </w:r>
      <w:r w:rsidR="00825CDF">
        <w:t xml:space="preserve"> and </w:t>
      </w:r>
      <w:r w:rsidR="00180557">
        <w:t>Annex 22</w:t>
      </w:r>
      <w:r w:rsidR="00C47BFD">
        <w:t xml:space="preserve"> for a visual summary</w:t>
      </w:r>
      <w:r w:rsidR="00825CDF">
        <w:t xml:space="preserve"> of the results</w:t>
      </w:r>
      <w:r w:rsidR="00C47BFD">
        <w:t>.</w:t>
      </w:r>
      <w:r w:rsidR="00DC1D8D">
        <w:t xml:space="preserve"> </w:t>
      </w:r>
    </w:p>
  </w:footnote>
  <w:footnote w:id="8">
    <w:p w14:paraId="6530F72B" w14:textId="77777777" w:rsidR="00C37940" w:rsidRPr="00CF1FF5" w:rsidRDefault="00C37940" w:rsidP="00853D7E">
      <w:pPr>
        <w:pStyle w:val="Itadfootnotestyle"/>
      </w:pPr>
      <w:r w:rsidRPr="00C64239">
        <w:rPr>
          <w:rStyle w:val="FootnoteReference"/>
          <w:sz w:val="18"/>
          <w:szCs w:val="18"/>
        </w:rPr>
        <w:footnoteRef/>
      </w:r>
      <w:r w:rsidRPr="00C64239">
        <w:t xml:space="preserve"> </w:t>
      </w:r>
      <w:r w:rsidRPr="00CF1FF5">
        <w:t>This assessment differs from MA reporting on data sharing because it is undertaken on a different basis.</w:t>
      </w:r>
    </w:p>
  </w:footnote>
  <w:footnote w:id="9">
    <w:p w14:paraId="2366CD75" w14:textId="77777777" w:rsidR="00272EE9" w:rsidRPr="00B95007" w:rsidRDefault="00272EE9" w:rsidP="00272EE9">
      <w:pPr>
        <w:pStyle w:val="Itadfootnotestyle"/>
      </w:pPr>
      <w:r w:rsidRPr="00F42A3A">
        <w:rPr>
          <w:rStyle w:val="FootnoteReference"/>
        </w:rPr>
        <w:footnoteRef/>
      </w:r>
      <w:r w:rsidRPr="00F42A3A">
        <w:t xml:space="preserve"> As </w:t>
      </w:r>
      <w:r w:rsidRPr="00340157">
        <w:t>discussed in section 3.1.</w:t>
      </w:r>
      <w:r>
        <w:t>1.</w:t>
      </w:r>
    </w:p>
  </w:footnote>
  <w:footnote w:id="10">
    <w:p w14:paraId="0262E782" w14:textId="77777777" w:rsidR="00444B77" w:rsidRDefault="00444B77" w:rsidP="00444B77">
      <w:pPr>
        <w:pStyle w:val="Itadfootnotestyle"/>
      </w:pPr>
      <w:r>
        <w:rPr>
          <w:rStyle w:val="FootnoteReference"/>
        </w:rPr>
        <w:footnoteRef/>
      </w:r>
      <w:r>
        <w:t xml:space="preserve"> </w:t>
      </w:r>
      <w:r w:rsidRPr="005450AC">
        <w:t>Kurowski, Christoph;</w:t>
      </w:r>
      <w:r>
        <w:t xml:space="preserve"> </w:t>
      </w:r>
      <w:r w:rsidRPr="005450AC">
        <w:t>Evans, David B;</w:t>
      </w:r>
      <w:r>
        <w:t xml:space="preserve"> </w:t>
      </w:r>
      <w:r w:rsidRPr="005450AC">
        <w:t>Tandon, Ajay;</w:t>
      </w:r>
      <w:r>
        <w:t xml:space="preserve"> </w:t>
      </w:r>
      <w:r w:rsidRPr="005450AC">
        <w:t>Eozenou, Patrick Hoang-Vu;</w:t>
      </w:r>
      <w:r>
        <w:t xml:space="preserve"> </w:t>
      </w:r>
      <w:r w:rsidRPr="005450AC">
        <w:t>Schmidt, Martin;</w:t>
      </w:r>
      <w:r>
        <w:t xml:space="preserve"> </w:t>
      </w:r>
      <w:r w:rsidRPr="005450AC">
        <w:t>Irwin, Alec;</w:t>
      </w:r>
      <w:r>
        <w:t xml:space="preserve"> </w:t>
      </w:r>
      <w:r w:rsidRPr="005450AC">
        <w:t>Salcedo Cain, Jewelwayne;</w:t>
      </w:r>
      <w:r>
        <w:t xml:space="preserve"> </w:t>
      </w:r>
      <w:r w:rsidRPr="005450AC">
        <w:t>Pambudi, Eko Setyo;</w:t>
      </w:r>
      <w:r>
        <w:t xml:space="preserve"> </w:t>
      </w:r>
      <w:r w:rsidRPr="005450AC">
        <w:t>Postolovska, Iryna.</w:t>
      </w:r>
      <w:r>
        <w:t xml:space="preserve"> </w:t>
      </w:r>
      <w:r w:rsidRPr="005450AC">
        <w:t>2021.</w:t>
      </w:r>
      <w:r>
        <w:t xml:space="preserve"> </w:t>
      </w:r>
      <w:r w:rsidRPr="005450AC">
        <w:t>From Double Shock to Double Recovery: Implications and Options for Health Financing in the Time of COVID-19.</w:t>
      </w:r>
      <w:r>
        <w:t xml:space="preserve"> </w:t>
      </w:r>
      <w:r w:rsidRPr="005450AC">
        <w:t>Health, Nutrition and Population Discussion Paper;</w:t>
      </w:r>
      <w:r>
        <w:t xml:space="preserve"> </w:t>
      </w:r>
      <w:r w:rsidRPr="005450AC">
        <w:t>©</w:t>
      </w:r>
      <w:r>
        <w:t xml:space="preserve"> </w:t>
      </w:r>
      <w:r w:rsidRPr="005450AC">
        <w:t>World Bank, Washington, DC.</w:t>
      </w:r>
      <w:r>
        <w:t xml:space="preserve"> </w:t>
      </w:r>
      <w:r w:rsidRPr="005450AC">
        <w:t>http://hdl.handle.net/10986/35298</w:t>
      </w:r>
    </w:p>
  </w:footnote>
  <w:footnote w:id="11">
    <w:p w14:paraId="27580C97" w14:textId="77777777" w:rsidR="00444B77" w:rsidRDefault="00444B77" w:rsidP="00444B77">
      <w:pPr>
        <w:pStyle w:val="FootnoteText"/>
      </w:pPr>
      <w:r>
        <w:rPr>
          <w:rStyle w:val="FootnoteReference"/>
        </w:rPr>
        <w:footnoteRef/>
      </w:r>
      <w:r>
        <w:t xml:space="preserve"> We note the </w:t>
      </w:r>
      <w:r w:rsidRPr="00651501">
        <w:t>Tricycle protocol could potentially play a role in providing a tried and tested model</w:t>
      </w:r>
      <w:r>
        <w:t>;</w:t>
      </w:r>
      <w:r w:rsidRPr="00651501">
        <w:t xml:space="preserve"> however, it was published in 2021, so not available for Fleming Fund use for the majority of phase 1.</w:t>
      </w:r>
      <w:r>
        <w:t xml:space="preserve"> </w:t>
      </w:r>
      <w:hyperlink r:id="rId2" w:history="1">
        <w:r w:rsidRPr="00FD0160">
          <w:rPr>
            <w:rStyle w:val="Hyperlink"/>
          </w:rPr>
          <w:t>https://apps.who.int/iris/handle/10665/340079</w:t>
        </w:r>
      </w:hyperlink>
      <w:r>
        <w:t xml:space="preserve"> </w:t>
      </w:r>
    </w:p>
  </w:footnote>
  <w:footnote w:id="12">
    <w:p w14:paraId="77E7D6B2" w14:textId="77777777" w:rsidR="00444B77" w:rsidRPr="00FD7A5C" w:rsidRDefault="00444B77" w:rsidP="00444B77">
      <w:pPr>
        <w:pStyle w:val="FootnoteText"/>
      </w:pPr>
      <w:r w:rsidRPr="00FD7A5C">
        <w:rPr>
          <w:rStyle w:val="FootnoteReference"/>
        </w:rPr>
        <w:footnoteRef/>
      </w:r>
      <w:r w:rsidRPr="00FD7A5C">
        <w:t xml:space="preserve"> </w:t>
      </w:r>
      <w:hyperlink r:id="rId3" w:history="1">
        <w:r w:rsidRPr="00FD7A5C">
          <w:rPr>
            <w:rStyle w:val="Hyperlink"/>
          </w:rPr>
          <w:t>https://apps.who.int/gb/ebwha/pdf_files/WHA75/A75_19-en.pdf</w:t>
        </w:r>
      </w:hyperlink>
      <w:r w:rsidRPr="00FD7A5C">
        <w:t xml:space="preserve"> </w:t>
      </w:r>
    </w:p>
  </w:footnote>
  <w:footnote w:id="13">
    <w:p w14:paraId="14245358" w14:textId="77777777" w:rsidR="00444B77" w:rsidRDefault="00444B77" w:rsidP="00444B77">
      <w:pPr>
        <w:pStyle w:val="FootnoteText"/>
      </w:pPr>
      <w:r w:rsidRPr="00FD7A5C">
        <w:rPr>
          <w:rStyle w:val="FootnoteReference"/>
        </w:rPr>
        <w:footnoteRef/>
      </w:r>
      <w:r w:rsidRPr="00FD7A5C">
        <w:t xml:space="preserve"> </w:t>
      </w:r>
      <w:hyperlink r:id="rId4" w:history="1">
        <w:r w:rsidRPr="00FD7A5C">
          <w:rPr>
            <w:rStyle w:val="Hyperlink"/>
          </w:rPr>
          <w:t>https://www.who.int/initiatives/tripartite-zoonosis-guide</w:t>
        </w:r>
      </w:hyperlink>
      <w:r w:rsidRPr="00FD7A5C">
        <w:t xml:space="preserve"> </w:t>
      </w:r>
    </w:p>
  </w:footnote>
  <w:footnote w:id="14">
    <w:p w14:paraId="509E0101" w14:textId="77777777" w:rsidR="00444B77" w:rsidRDefault="00444B77" w:rsidP="00444B77">
      <w:pPr>
        <w:pStyle w:val="FootnoteText"/>
      </w:pPr>
      <w:r>
        <w:rPr>
          <w:rStyle w:val="FootnoteReference"/>
        </w:rPr>
        <w:footnoteRef/>
      </w:r>
      <w:r>
        <w:t xml:space="preserve"> Purdah is a period of pre-election sensitivity when </w:t>
      </w:r>
      <w:r w:rsidRPr="00B96E32">
        <w:t>Government departments and councils will normally observe discretion about making new announcements or decisions that could influence voters</w:t>
      </w:r>
      <w:r>
        <w:t>.</w:t>
      </w:r>
      <w:r w:rsidRPr="00B96E32">
        <w:t xml:space="preserve"> </w:t>
      </w:r>
      <w:r w:rsidRPr="001D651D">
        <w:t>https://commonslibrary.parliament.uk/research-briefings/sn05262/</w:t>
      </w:r>
    </w:p>
  </w:footnote>
  <w:footnote w:id="15">
    <w:p w14:paraId="58995961" w14:textId="77777777" w:rsidR="00444B77" w:rsidRPr="00337662" w:rsidRDefault="00444B77" w:rsidP="00444B77">
      <w:pPr>
        <w:pStyle w:val="FootnoteText"/>
      </w:pPr>
      <w:r>
        <w:rPr>
          <w:rStyle w:val="FootnoteReference"/>
        </w:rPr>
        <w:footnoteRef/>
      </w:r>
      <w:r>
        <w:t xml:space="preserve"> </w:t>
      </w:r>
      <w:r w:rsidRPr="009E59A6">
        <w:t>https://icai.independent.gov.uk/wp-content/uploads/ICAI-report-DFIDs-approach-to-Delivering-Impact.pdf</w:t>
      </w:r>
    </w:p>
  </w:footnote>
  <w:footnote w:id="16">
    <w:p w14:paraId="0E06CC29" w14:textId="77777777" w:rsidR="00444B77" w:rsidRPr="000539C5" w:rsidRDefault="00444B77" w:rsidP="00444B77">
      <w:pPr>
        <w:pStyle w:val="FootnoteText"/>
      </w:pPr>
      <w:r>
        <w:rPr>
          <w:rStyle w:val="FootnoteReference"/>
        </w:rPr>
        <w:footnoteRef/>
      </w:r>
      <w:r>
        <w:t xml:space="preserve"> </w:t>
      </w:r>
      <w:r w:rsidRPr="001E1D03">
        <w:rPr>
          <w:rFonts w:eastAsia="Calibri" w:cs="Calibri"/>
          <w:color w:val="000000"/>
        </w:rPr>
        <w:t>ICAI</w:t>
      </w:r>
      <w:r>
        <w:rPr>
          <w:rFonts w:eastAsia="Calibri" w:cs="Calibri"/>
          <w:color w:val="000000"/>
        </w:rPr>
        <w:t>’</w:t>
      </w:r>
      <w:r w:rsidRPr="001E1D03">
        <w:rPr>
          <w:rFonts w:eastAsia="Calibri" w:cs="Calibri"/>
          <w:color w:val="000000"/>
        </w:rPr>
        <w:t>s 2018 review of</w:t>
      </w:r>
      <w:r w:rsidRPr="001E1D03">
        <w:rPr>
          <w:rFonts w:eastAsia="Calibri" w:cs="Calibri"/>
          <w:b/>
          <w:bCs/>
          <w:color w:val="000000"/>
        </w:rPr>
        <w:t xml:space="preserve"> </w:t>
      </w:r>
      <w:r w:rsidRPr="001E1D03">
        <w:rPr>
          <w:rFonts w:eastAsia="Calibri"/>
        </w:rPr>
        <w:t>DFID</w:t>
      </w:r>
      <w:r>
        <w:rPr>
          <w:rFonts w:eastAsia="Calibri"/>
        </w:rPr>
        <w:t>’</w:t>
      </w:r>
      <w:r w:rsidRPr="001E1D03">
        <w:rPr>
          <w:rFonts w:eastAsia="Calibri"/>
        </w:rPr>
        <w:t xml:space="preserve">s approach to </w:t>
      </w:r>
      <w:r>
        <w:rPr>
          <w:rFonts w:eastAsia="Calibri"/>
        </w:rPr>
        <w:t>VfM</w:t>
      </w:r>
      <w:r w:rsidRPr="001E1D03">
        <w:rPr>
          <w:rFonts w:eastAsia="Calibri"/>
        </w:rPr>
        <w:t xml:space="preserve"> in programme and portfolio management finds the same problem, as does a 2019 review of experience</w:t>
      </w:r>
      <w:r>
        <w:rPr>
          <w:rFonts w:eastAsia="Calibri"/>
        </w:rPr>
        <w:t>s</w:t>
      </w:r>
      <w:r w:rsidRPr="001E1D03">
        <w:rPr>
          <w:rFonts w:eastAsia="Calibri"/>
        </w:rPr>
        <w:t xml:space="preserve"> with </w:t>
      </w:r>
      <w:r>
        <w:rPr>
          <w:rFonts w:eastAsia="Calibri"/>
        </w:rPr>
        <w:t>results-based management</w:t>
      </w:r>
      <w:r w:rsidRPr="001E1D03">
        <w:rPr>
          <w:rFonts w:eastAsia="Calibri"/>
        </w:rPr>
        <w:t xml:space="preserve"> across development organisations.</w:t>
      </w:r>
      <w:r>
        <w:rPr>
          <w:rFonts w:eastAsia="Calibri"/>
        </w:rPr>
        <w:t xml:space="preserve"> </w:t>
      </w:r>
    </w:p>
  </w:footnote>
  <w:footnote w:id="17">
    <w:p w14:paraId="35D30647" w14:textId="77777777" w:rsidR="00444B77" w:rsidRPr="00E8773B" w:rsidRDefault="00444B77" w:rsidP="00444B77">
      <w:pPr>
        <w:pStyle w:val="Itadfootnotestyle"/>
      </w:pPr>
      <w:r w:rsidRPr="00E8773B">
        <w:rPr>
          <w:rStyle w:val="FootnoteReference"/>
          <w:sz w:val="16"/>
          <w:szCs w:val="16"/>
        </w:rPr>
        <w:footnoteRef/>
      </w:r>
      <w:r w:rsidRPr="00E8773B">
        <w:t xml:space="preserve"> DHSC Terms of Reference: Management Agent for The Fleming Fund – para 2.4 and 2.5, which lists eight indicative focus areas for the grants portfolio, only one of which mentions </w:t>
      </w:r>
      <w:r>
        <w:t>‘</w:t>
      </w:r>
      <w:r w:rsidRPr="00E8773B">
        <w:rPr>
          <w:rFonts w:eastAsia="Calibri"/>
          <w:lang w:val="en-US"/>
        </w:rPr>
        <w:t xml:space="preserve">Policy and advocacy work with national governments, using AMR data and analysis collected to make the case for </w:t>
      </w:r>
      <w:r>
        <w:rPr>
          <w:rFonts w:eastAsia="Calibri"/>
          <w:lang w:val="en-US"/>
        </w:rPr>
        <w:t>evidence-based</w:t>
      </w:r>
      <w:r w:rsidRPr="00E8773B">
        <w:rPr>
          <w:rFonts w:eastAsia="Calibri"/>
          <w:lang w:val="en-US"/>
        </w:rPr>
        <w:t xml:space="preserve"> public health interventions</w:t>
      </w:r>
      <w:r>
        <w:t>’</w:t>
      </w:r>
      <w:r w:rsidRPr="00E8773B">
        <w:t>.</w:t>
      </w:r>
    </w:p>
  </w:footnote>
  <w:footnote w:id="18">
    <w:p w14:paraId="38C8A569" w14:textId="77777777" w:rsidR="00CB229B" w:rsidRDefault="00CB229B" w:rsidP="00CB229B">
      <w:pPr>
        <w:pStyle w:val="FootnoteText"/>
      </w:pPr>
      <w:r>
        <w:rPr>
          <w:rStyle w:val="FootnoteReference"/>
        </w:rPr>
        <w:footnoteRef/>
      </w:r>
      <w:r>
        <w:t xml:space="preserve"> Workstreams 1 and 2 were outside the evaluation scope.</w:t>
      </w:r>
    </w:p>
  </w:footnote>
  <w:footnote w:id="19">
    <w:p w14:paraId="047E7049" w14:textId="7CE2DD34" w:rsidR="00CB229B" w:rsidRPr="00C64239" w:rsidRDefault="00CB229B" w:rsidP="00CB229B">
      <w:pPr>
        <w:pStyle w:val="Itadfootnotestyle"/>
      </w:pPr>
      <w:r w:rsidRPr="00C64239">
        <w:rPr>
          <w:rStyle w:val="Error-Funotenzeichen61"/>
          <w:sz w:val="18"/>
          <w:szCs w:val="18"/>
        </w:rPr>
        <w:footnoteRef/>
      </w:r>
      <w:r w:rsidRPr="00C64239">
        <w:t xml:space="preserve"> List EQs or focus areas</w:t>
      </w:r>
      <w:r w:rsidR="0057770E">
        <w:t>.</w:t>
      </w:r>
    </w:p>
  </w:footnote>
  <w:footnote w:id="20">
    <w:p w14:paraId="4B66DA39" w14:textId="7603DB46" w:rsidR="00AA2F7A" w:rsidRDefault="00AA2F7A" w:rsidP="00EB20DD">
      <w:pPr>
        <w:pStyle w:val="Itadfootnotestyle"/>
      </w:pPr>
      <w:r>
        <w:rPr>
          <w:rStyle w:val="FootnoteReference"/>
        </w:rPr>
        <w:footnoteRef/>
      </w:r>
      <w:r>
        <w:t xml:space="preserve"> The report has been written during the inception phase of Phase 2 of the programme but it does not </w:t>
      </w:r>
      <w:r w:rsidR="0067364F">
        <w:t xml:space="preserve">fully </w:t>
      </w:r>
      <w:r>
        <w:t>cover the extent to which the design of phase 2 responds to the findings, conclusions and recommendations of this summative report</w:t>
      </w:r>
      <w:r w:rsidR="00AD481A">
        <w:t xml:space="preserve"> as comprehensive details of phase 2 design were not available</w:t>
      </w:r>
      <w:r w:rsidR="00693C9D">
        <w:t xml:space="preserve"> in time</w:t>
      </w:r>
      <w:r>
        <w:t xml:space="preserve">. </w:t>
      </w:r>
    </w:p>
  </w:footnote>
  <w:footnote w:id="21">
    <w:p w14:paraId="630ADF2F" w14:textId="52DAAB2B" w:rsidR="00012EE7" w:rsidRPr="00C64239" w:rsidRDefault="00012EE7" w:rsidP="008C37A4">
      <w:pPr>
        <w:pStyle w:val="Itadfootnotestyle"/>
      </w:pPr>
      <w:r w:rsidRPr="00FF63B2">
        <w:rPr>
          <w:rStyle w:val="FootnoteReference"/>
          <w:sz w:val="18"/>
          <w:szCs w:val="18"/>
        </w:rPr>
        <w:footnoteRef/>
      </w:r>
      <w:r w:rsidRPr="00FF63B2">
        <w:t xml:space="preserve"> However, we have not structured the report using the EQs. A mapping of where EQs are covered in the report is included in Annex </w:t>
      </w:r>
      <w:r w:rsidR="001E630F">
        <w:t>5</w:t>
      </w:r>
      <w:r w:rsidRPr="00FF63B2">
        <w:t>.</w:t>
      </w:r>
    </w:p>
  </w:footnote>
  <w:footnote w:id="22">
    <w:p w14:paraId="3320F82C" w14:textId="5F4822FA" w:rsidR="00012EE7" w:rsidRPr="00C64239" w:rsidRDefault="00012EE7" w:rsidP="008C37A4">
      <w:pPr>
        <w:pStyle w:val="Itadfootnotestyle"/>
      </w:pPr>
      <w:r w:rsidRPr="00C64239">
        <w:rPr>
          <w:rStyle w:val="FootnoteReference"/>
          <w:sz w:val="18"/>
          <w:szCs w:val="18"/>
        </w:rPr>
        <w:footnoteRef/>
      </w:r>
      <w:r w:rsidRPr="00C64239">
        <w:t xml:space="preserve"> </w:t>
      </w:r>
      <w:r w:rsidR="00EB5C1C">
        <w:t xml:space="preserve">Phase </w:t>
      </w:r>
      <w:r w:rsidR="00222C91">
        <w:t>1</w:t>
      </w:r>
      <w:r w:rsidRPr="00C64239">
        <w:t xml:space="preserve"> of the Fleming Fund was subsequently extended to March 2023, and a second phase with £19</w:t>
      </w:r>
      <w:r w:rsidR="004677C3">
        <w:t>3.</w:t>
      </w:r>
      <w:r w:rsidRPr="00C64239">
        <w:t>5</w:t>
      </w:r>
      <w:r w:rsidR="009F513B">
        <w:t xml:space="preserve"> </w:t>
      </w:r>
      <w:r w:rsidRPr="00C64239">
        <w:t>m</w:t>
      </w:r>
      <w:r w:rsidR="009F513B">
        <w:t>illion</w:t>
      </w:r>
      <w:r w:rsidRPr="00C64239">
        <w:t xml:space="preserve"> investment over a </w:t>
      </w:r>
      <w:r w:rsidR="007E1E99" w:rsidRPr="00C64239">
        <w:t>three-year</w:t>
      </w:r>
      <w:r w:rsidRPr="00C64239">
        <w:t xml:space="preserve"> period (FY</w:t>
      </w:r>
      <w:r w:rsidR="004677C3">
        <w:t>20</w:t>
      </w:r>
      <w:r w:rsidRPr="00C64239">
        <w:t xml:space="preserve">23/24 </w:t>
      </w:r>
      <w:r w:rsidR="004677C3">
        <w:t>to</w:t>
      </w:r>
      <w:r w:rsidR="004677C3" w:rsidRPr="00C64239">
        <w:t xml:space="preserve"> </w:t>
      </w:r>
      <w:r w:rsidR="004677C3">
        <w:t>20</w:t>
      </w:r>
      <w:r w:rsidRPr="00C64239">
        <w:t>25/26) was approved in late 2021.</w:t>
      </w:r>
    </w:p>
  </w:footnote>
  <w:footnote w:id="23">
    <w:p w14:paraId="6BC17994" w14:textId="21FDEA58" w:rsidR="003F4A34" w:rsidRDefault="003F4A34" w:rsidP="00EB20DD">
      <w:pPr>
        <w:pStyle w:val="Itadfootnotestyle"/>
      </w:pPr>
      <w:r>
        <w:rPr>
          <w:rStyle w:val="FootnoteReference"/>
        </w:rPr>
        <w:footnoteRef/>
      </w:r>
      <w:r>
        <w:t xml:space="preserve"> </w:t>
      </w:r>
      <w:r w:rsidRPr="003F4A34">
        <w:t>One Health is the integrative effort of multiple disciplines working together locally, nationally</w:t>
      </w:r>
      <w:r w:rsidR="00EB5C1C">
        <w:t>,</w:t>
      </w:r>
      <w:r w:rsidRPr="003F4A34">
        <w:t xml:space="preserve"> and globally to attain optimal health for people, animals</w:t>
      </w:r>
      <w:r w:rsidR="00EB5C1C">
        <w:t>,</w:t>
      </w:r>
      <w:r w:rsidRPr="003F4A34">
        <w:t xml:space="preserve"> and the environment. https://www.avma.org/onehealth</w:t>
      </w:r>
    </w:p>
  </w:footnote>
  <w:footnote w:id="24">
    <w:p w14:paraId="12DD919E" w14:textId="653BF093" w:rsidR="00012EE7" w:rsidRPr="00C64239" w:rsidRDefault="00012EE7" w:rsidP="008C37A4">
      <w:pPr>
        <w:pStyle w:val="Itadfootnotestyle"/>
      </w:pPr>
      <w:r w:rsidRPr="00C64239">
        <w:rPr>
          <w:rStyle w:val="FootnoteReference"/>
          <w:sz w:val="18"/>
          <w:szCs w:val="18"/>
        </w:rPr>
        <w:footnoteRef/>
      </w:r>
      <w:r w:rsidRPr="00C64239">
        <w:t xml:space="preserve"> </w:t>
      </w:r>
      <w:r w:rsidR="00305850" w:rsidRPr="00305850">
        <w:t>Review on Antimicrobial Resistance.(20</w:t>
      </w:r>
      <w:r w:rsidR="00993D17">
        <w:t>16</w:t>
      </w:r>
      <w:r w:rsidR="00305850" w:rsidRPr="00305850">
        <w:t xml:space="preserve">). </w:t>
      </w:r>
      <w:r w:rsidR="00BD0981">
        <w:t>Chaired by Jim O</w:t>
      </w:r>
      <w:r w:rsidR="00AA6A7B">
        <w:t>’</w:t>
      </w:r>
      <w:r w:rsidR="00BD0981">
        <w:t>Neill</w:t>
      </w:r>
      <w:r w:rsidR="00305850" w:rsidRPr="00305850">
        <w:t>. Retrieved from Review on Antimicrobial Resistance: amr-review.org</w:t>
      </w:r>
    </w:p>
  </w:footnote>
  <w:footnote w:id="25">
    <w:p w14:paraId="25CAB429" w14:textId="5AC2D2A6" w:rsidR="00823721" w:rsidRDefault="00823721" w:rsidP="000E6E0E">
      <w:pPr>
        <w:pStyle w:val="FootnoteText"/>
      </w:pPr>
      <w:r w:rsidRPr="00D141C7">
        <w:rPr>
          <w:rStyle w:val="FootnoteReference"/>
        </w:rPr>
        <w:footnoteRef/>
      </w:r>
      <w:r w:rsidRPr="00D141C7">
        <w:t xml:space="preserve"> </w:t>
      </w:r>
      <w:r w:rsidRPr="00B96F12">
        <w:t>LMIC impact was DHSC</w:t>
      </w:r>
      <w:r w:rsidR="00AA6A7B">
        <w:t>’</w:t>
      </w:r>
      <w:r w:rsidR="000E6E0E" w:rsidRPr="007C439A">
        <w:t>s</w:t>
      </w:r>
      <w:r w:rsidRPr="007C439A">
        <w:t xml:space="preserve"> rationale for using ODA funding </w:t>
      </w:r>
      <w:r w:rsidR="001D297C" w:rsidRPr="007C439A">
        <w:t xml:space="preserve">for the Fleming Fund. </w:t>
      </w:r>
      <w:r w:rsidR="003D1FF3" w:rsidRPr="007C439A">
        <w:t xml:space="preserve">The burden of AMR in LMICs </w:t>
      </w:r>
      <w:r w:rsidR="001D297C" w:rsidRPr="007C439A">
        <w:t>has subseq</w:t>
      </w:r>
      <w:r w:rsidR="003D1FF3" w:rsidRPr="007C439A">
        <w:t>uen</w:t>
      </w:r>
      <w:r w:rsidR="001D297C" w:rsidRPr="007C439A">
        <w:t>t</w:t>
      </w:r>
      <w:r w:rsidR="003D1FF3" w:rsidRPr="007C439A">
        <w:t>l</w:t>
      </w:r>
      <w:r w:rsidR="001D297C" w:rsidRPr="007C439A">
        <w:t xml:space="preserve">y been </w:t>
      </w:r>
      <w:r w:rsidR="003D1FF3" w:rsidRPr="007C439A">
        <w:t xml:space="preserve">modelled </w:t>
      </w:r>
      <w:r w:rsidR="00F03444" w:rsidRPr="007C439A">
        <w:t xml:space="preserve">by </w:t>
      </w:r>
      <w:r w:rsidR="00EB5C1C" w:rsidRPr="00EB5C1C">
        <w:t>Global Research on Antimicrobial Resistance</w:t>
      </w:r>
      <w:r w:rsidR="00F03444" w:rsidRPr="007C439A">
        <w:t xml:space="preserve">, with findings </w:t>
      </w:r>
      <w:r w:rsidR="000E6E0E" w:rsidRPr="007C439A">
        <w:t>underlining the potential impact in these countries.</w:t>
      </w:r>
    </w:p>
  </w:footnote>
  <w:footnote w:id="26">
    <w:p w14:paraId="6F5A692A" w14:textId="1169D824" w:rsidR="00F027A1" w:rsidRDefault="00F027A1">
      <w:pPr>
        <w:pStyle w:val="FootnoteText"/>
      </w:pPr>
      <w:r>
        <w:rPr>
          <w:rStyle w:val="FootnoteReference"/>
        </w:rPr>
        <w:footnoteRef/>
      </w:r>
      <w:r>
        <w:t xml:space="preserve"> </w:t>
      </w:r>
      <w:r w:rsidR="00D97959">
        <w:t xml:space="preserve">Including the </w:t>
      </w:r>
      <w:r w:rsidR="00C3657C">
        <w:t>UK government</w:t>
      </w:r>
      <w:r w:rsidR="00AA6A7B">
        <w:t>’</w:t>
      </w:r>
      <w:r w:rsidR="00C3657C">
        <w:t xml:space="preserve">s </w:t>
      </w:r>
      <w:r w:rsidR="00D97959">
        <w:t>2015 aid strategy</w:t>
      </w:r>
      <w:r w:rsidR="00B30736">
        <w:t xml:space="preserve"> – </w:t>
      </w:r>
      <w:r w:rsidR="00C3657C" w:rsidRPr="00C3657C">
        <w:rPr>
          <w:i/>
          <w:iCs/>
        </w:rPr>
        <w:t>UK aid: tackling global challenges in the national interest</w:t>
      </w:r>
      <w:r w:rsidR="00C3657C">
        <w:t xml:space="preserve">; </w:t>
      </w:r>
      <w:r w:rsidR="00D97959">
        <w:t xml:space="preserve">and </w:t>
      </w:r>
      <w:r w:rsidR="00FA77A5">
        <w:t xml:space="preserve">2016 </w:t>
      </w:r>
      <w:r w:rsidR="00C3657C">
        <w:t xml:space="preserve">Fleming Fund </w:t>
      </w:r>
      <w:r w:rsidR="00FA77A5">
        <w:t>Business Case.</w:t>
      </w:r>
    </w:p>
  </w:footnote>
  <w:footnote w:id="27">
    <w:p w14:paraId="4A73ABBC" w14:textId="7CD42876" w:rsidR="00723229" w:rsidRDefault="00723229" w:rsidP="00896D4F">
      <w:pPr>
        <w:pStyle w:val="FootnoteText"/>
      </w:pPr>
      <w:r>
        <w:rPr>
          <w:rStyle w:val="FootnoteReference"/>
        </w:rPr>
        <w:footnoteRef/>
      </w:r>
      <w:r>
        <w:t xml:space="preserve"> DHSC contracted a range of direct grantees</w:t>
      </w:r>
      <w:r w:rsidR="00EC69BD">
        <w:t xml:space="preserve"> </w:t>
      </w:r>
      <w:r w:rsidR="00F12A30" w:rsidRPr="0A3BC318">
        <w:rPr>
          <w:rFonts w:eastAsia="Times New Roman" w:cstheme="minorBidi"/>
          <w:color w:val="3B3B3C" w:themeColor="text1"/>
          <w:lang w:eastAsia="en-GB"/>
        </w:rPr>
        <w:t xml:space="preserve">(e.g. to support the Commonwealth Partnership for Antimicrobial Stewardship (CWPAMS), to the Foundation for Innovative New Diagnostics (FIND), and the South Centre) during 2018/19, </w:t>
      </w:r>
      <w:r w:rsidR="00B94E92">
        <w:t xml:space="preserve">to deliver specific objectives. These are not within the scope of this evaluation, but did </w:t>
      </w:r>
      <w:r w:rsidR="00557E64">
        <w:t xml:space="preserve">make it more </w:t>
      </w:r>
      <w:r w:rsidR="00F12A30" w:rsidRPr="0A3BC318">
        <w:rPr>
          <w:rFonts w:eastAsia="Times New Roman" w:cstheme="minorBidi"/>
          <w:color w:val="3B3B3C" w:themeColor="text1"/>
          <w:lang w:eastAsia="en-GB"/>
        </w:rPr>
        <w:t>complicate</w:t>
      </w:r>
      <w:r w:rsidR="00557E64">
        <w:rPr>
          <w:rFonts w:eastAsia="Times New Roman" w:cstheme="minorBidi"/>
          <w:color w:val="3B3B3C" w:themeColor="text1"/>
          <w:lang w:eastAsia="en-GB"/>
        </w:rPr>
        <w:t xml:space="preserve">d to understand </w:t>
      </w:r>
      <w:r w:rsidR="00F12A30" w:rsidRPr="0A3BC318">
        <w:rPr>
          <w:rFonts w:eastAsia="Times New Roman" w:cstheme="minorBidi"/>
          <w:color w:val="3B3B3C" w:themeColor="text1"/>
          <w:lang w:eastAsia="en-GB"/>
        </w:rPr>
        <w:t xml:space="preserve">delivery </w:t>
      </w:r>
      <w:r w:rsidR="00896D4F">
        <w:rPr>
          <w:rFonts w:eastAsia="Times New Roman" w:cstheme="minorBidi"/>
          <w:color w:val="3B3B3C" w:themeColor="text1"/>
          <w:lang w:eastAsia="en-GB"/>
        </w:rPr>
        <w:t>outcomes delivered by the Fleming Fund</w:t>
      </w:r>
      <w:r w:rsidR="00F12A30" w:rsidRPr="0A3BC318">
        <w:rPr>
          <w:rFonts w:eastAsia="Times New Roman" w:cstheme="minorBidi"/>
          <w:color w:val="3B3B3C" w:themeColor="text1"/>
          <w:lang w:eastAsia="en-GB"/>
        </w:rPr>
        <w:t>.</w:t>
      </w:r>
    </w:p>
  </w:footnote>
  <w:footnote w:id="28">
    <w:p w14:paraId="592827E0" w14:textId="29E5818A" w:rsidR="00012EE7" w:rsidRPr="003520AA" w:rsidRDefault="00012EE7" w:rsidP="00853D7E">
      <w:pPr>
        <w:pStyle w:val="Itadfootnotestyle"/>
      </w:pPr>
      <w:r>
        <w:rPr>
          <w:rStyle w:val="FootnoteReference"/>
        </w:rPr>
        <w:footnoteRef/>
      </w:r>
      <w:r>
        <w:t xml:space="preserve"> </w:t>
      </w:r>
      <w:r w:rsidRPr="003520AA">
        <w:t>Note that the ordering of workstreams in Figure 2 differs from the order of workstreams presented in the evaluation T</w:t>
      </w:r>
      <w:r w:rsidR="00141CF6">
        <w:t>o</w:t>
      </w:r>
      <w:r w:rsidRPr="003520AA">
        <w:t>R (Annex 1) but the content across the five workstreams remains the same.</w:t>
      </w:r>
    </w:p>
  </w:footnote>
  <w:footnote w:id="29">
    <w:p w14:paraId="748E8F2B" w14:textId="69953A89" w:rsidR="00012EE7" w:rsidRPr="003520AA" w:rsidRDefault="00012EE7" w:rsidP="00853D7E">
      <w:pPr>
        <w:pStyle w:val="Itadfootnotestyle"/>
      </w:pPr>
      <w:r w:rsidRPr="003520AA">
        <w:rPr>
          <w:rStyle w:val="FootnoteReference"/>
          <w:sz w:val="18"/>
          <w:szCs w:val="18"/>
        </w:rPr>
        <w:footnoteRef/>
      </w:r>
      <w:r w:rsidRPr="003520AA">
        <w:t xml:space="preserve"> Workstream 1 was implemented by the London School of Hygiene and Tropical Medicine; </w:t>
      </w:r>
      <w:r w:rsidR="00083937">
        <w:t>w</w:t>
      </w:r>
      <w:r w:rsidRPr="003520AA">
        <w:t xml:space="preserve">orkstream 2 was through WHO, FAO and OIE (now WOAH); </w:t>
      </w:r>
      <w:r w:rsidR="00083937">
        <w:t>w</w:t>
      </w:r>
      <w:r w:rsidRPr="003520AA">
        <w:t>orkstream 5 was implemented by Itad, culminating in this summative report.</w:t>
      </w:r>
      <w:r w:rsidRPr="003520AA" w:rsidDel="00141CF6">
        <w:t xml:space="preserve"> </w:t>
      </w:r>
      <w:r w:rsidRPr="003520AA">
        <w:t xml:space="preserve">DHSC also commissioned a number of global grants (see section </w:t>
      </w:r>
      <w:r w:rsidR="003A466E">
        <w:t>1.2</w:t>
      </w:r>
      <w:r w:rsidRPr="003520AA">
        <w:t xml:space="preserve"> for more details).</w:t>
      </w:r>
    </w:p>
  </w:footnote>
  <w:footnote w:id="30">
    <w:p w14:paraId="1C1759D0" w14:textId="40109558" w:rsidR="00012EE7" w:rsidRPr="00C64239" w:rsidRDefault="00012EE7" w:rsidP="00853D7E">
      <w:pPr>
        <w:pStyle w:val="Itadfootnotestyle"/>
      </w:pPr>
      <w:r w:rsidRPr="003520AA">
        <w:rPr>
          <w:rStyle w:val="FootnoteReference"/>
          <w:sz w:val="18"/>
          <w:szCs w:val="18"/>
        </w:rPr>
        <w:footnoteRef/>
      </w:r>
      <w:r w:rsidRPr="003520AA">
        <w:t xml:space="preserve"> </w:t>
      </w:r>
      <w:r w:rsidRPr="001C57AC">
        <w:t xml:space="preserve">The distinction between outputs and outcomes is important in terms of findings on effectiveness in section </w:t>
      </w:r>
      <w:r w:rsidRPr="001C57AC">
        <w:fldChar w:fldCharType="begin"/>
      </w:r>
      <w:r w:rsidRPr="001C57AC">
        <w:instrText xml:space="preserve"> REF _Ref118235720 \r \h  \* MERGEFORMAT </w:instrText>
      </w:r>
      <w:r w:rsidRPr="001C57AC">
        <w:fldChar w:fldCharType="separate"/>
      </w:r>
      <w:r w:rsidR="00CA1256" w:rsidRPr="001C57AC">
        <w:t>2.3.</w:t>
      </w:r>
      <w:r w:rsidRPr="001C57AC">
        <w:fldChar w:fldCharType="end"/>
      </w:r>
      <w:r w:rsidRPr="001C57AC" w:rsidDel="002662CD">
        <w:t xml:space="preserve"> </w:t>
      </w:r>
      <w:r w:rsidR="001C57AC" w:rsidRPr="001C57AC">
        <w:t xml:space="preserve">See Vol.II, Annex 18 for </w:t>
      </w:r>
      <w:r w:rsidRPr="001C57AC">
        <w:t>a visual overview of outputs and outcomes.</w:t>
      </w:r>
    </w:p>
  </w:footnote>
  <w:footnote w:id="31">
    <w:p w14:paraId="2AD7075E" w14:textId="04B9751D" w:rsidR="0003171B" w:rsidRDefault="0003171B">
      <w:pPr>
        <w:pStyle w:val="FootnoteText"/>
      </w:pPr>
      <w:r>
        <w:rPr>
          <w:rStyle w:val="FootnoteReference"/>
        </w:rPr>
        <w:footnoteRef/>
      </w:r>
      <w:r>
        <w:t xml:space="preserve"> As noted below, a portfolio-level ToC was developed in </w:t>
      </w:r>
      <w:r w:rsidR="00DA00A5">
        <w:t>mid-2019</w:t>
      </w:r>
      <w:r w:rsidR="00242364">
        <w:t xml:space="preserve"> after phase 1 implementation had commenced.</w:t>
      </w:r>
    </w:p>
  </w:footnote>
  <w:footnote w:id="32">
    <w:p w14:paraId="46DD3756" w14:textId="1971F5A4" w:rsidR="00012EE7" w:rsidRPr="00851A5F" w:rsidRDefault="00012EE7" w:rsidP="00853D7E">
      <w:pPr>
        <w:pStyle w:val="Itadfootnotestyle"/>
      </w:pPr>
      <w:r w:rsidRPr="00C64239">
        <w:rPr>
          <w:rStyle w:val="FootnoteReference"/>
          <w:sz w:val="18"/>
          <w:szCs w:val="18"/>
        </w:rPr>
        <w:footnoteRef/>
      </w:r>
      <w:r w:rsidRPr="00C64239">
        <w:t xml:space="preserve"> </w:t>
      </w:r>
      <w:r w:rsidR="007E1E99" w:rsidRPr="00C64239">
        <w:t>E.g.</w:t>
      </w:r>
      <w:r w:rsidRPr="00C64239">
        <w:t xml:space="preserve"> </w:t>
      </w:r>
      <w:r w:rsidRPr="00853D7E">
        <w:t>Mali and Burkina Faso</w:t>
      </w:r>
      <w:r w:rsidRPr="00C64239">
        <w:t xml:space="preserve"> have all experienced security situations making it difficult for the MA to operate as required.</w:t>
      </w:r>
      <w:r w:rsidDel="007D2E99">
        <w:t xml:space="preserve"> </w:t>
      </w:r>
    </w:p>
  </w:footnote>
  <w:footnote w:id="33">
    <w:p w14:paraId="2D9E2AC8" w14:textId="435E0A83" w:rsidR="00DA332D" w:rsidRPr="00B82DCC" w:rsidRDefault="00DA332D">
      <w:pPr>
        <w:pStyle w:val="FootnoteText"/>
      </w:pPr>
      <w:r>
        <w:rPr>
          <w:rStyle w:val="FootnoteReference"/>
        </w:rPr>
        <w:footnoteRef/>
      </w:r>
      <w:r w:rsidR="001B4B88">
        <w:t xml:space="preserve"> The </w:t>
      </w:r>
      <w:r w:rsidR="002B40B0">
        <w:t>23 Fleming Fund countries which received some form of support:</w:t>
      </w:r>
      <w:r w:rsidRPr="00B82DCC">
        <w:t xml:space="preserve"> </w:t>
      </w:r>
      <w:r w:rsidR="00AE7B05" w:rsidRPr="00B82DCC">
        <w:t xml:space="preserve">Sierra Leone, </w:t>
      </w:r>
      <w:r w:rsidR="00A65357" w:rsidRPr="00B82DCC">
        <w:t>Ghana, Senegal</w:t>
      </w:r>
      <w:r w:rsidR="00A65357" w:rsidRPr="00975397">
        <w:t>, Zambia, Tanzania, Kenya, Bhutan, Bangladesh,</w:t>
      </w:r>
      <w:r w:rsidR="00A65357">
        <w:t xml:space="preserve"> Indonesia, Laos, Pakistan, Nigeria, Uganda, Nepal, Timor-Leste, Vietnam,</w:t>
      </w:r>
      <w:r w:rsidR="00910981">
        <w:t xml:space="preserve"> </w:t>
      </w:r>
      <w:r w:rsidR="00AE7B05" w:rsidRPr="00B82DCC">
        <w:t xml:space="preserve">Myanmar, </w:t>
      </w:r>
      <w:r w:rsidR="00037B71" w:rsidRPr="008A5F96">
        <w:t xml:space="preserve">Zimbabwe, </w:t>
      </w:r>
      <w:r w:rsidR="00981BEB">
        <w:t xml:space="preserve">India, </w:t>
      </w:r>
      <w:r w:rsidR="008A0230">
        <w:t xml:space="preserve">Sri Lanka, </w:t>
      </w:r>
      <w:r w:rsidR="003F2B3E">
        <w:t>Malawi</w:t>
      </w:r>
      <w:r w:rsidR="00941C5B">
        <w:t>, Eswatini</w:t>
      </w:r>
      <w:r w:rsidR="002B40B0">
        <w:t xml:space="preserve"> and</w:t>
      </w:r>
      <w:r w:rsidR="00941C5B">
        <w:t xml:space="preserve"> </w:t>
      </w:r>
      <w:r w:rsidR="00B91D25">
        <w:t>P</w:t>
      </w:r>
      <w:r w:rsidR="00B91D25" w:rsidRPr="00B91D25">
        <w:t xml:space="preserve">apua </w:t>
      </w:r>
      <w:r w:rsidR="00B91D25">
        <w:t>N</w:t>
      </w:r>
      <w:r w:rsidR="00B91D25" w:rsidRPr="00B91D25">
        <w:t xml:space="preserve">ew </w:t>
      </w:r>
      <w:r w:rsidR="00B91D25">
        <w:t>G</w:t>
      </w:r>
      <w:r w:rsidR="00B91D25" w:rsidRPr="00B91D25">
        <w:t>uinea</w:t>
      </w:r>
      <w:r w:rsidR="00D51972">
        <w:t xml:space="preserve"> (see </w:t>
      </w:r>
      <w:r w:rsidR="00D51972">
        <w:fldChar w:fldCharType="begin"/>
      </w:r>
      <w:r w:rsidR="00D51972">
        <w:instrText xml:space="preserve"> REF _Ref118206541 \h </w:instrText>
      </w:r>
      <w:r w:rsidR="00D51972">
        <w:fldChar w:fldCharType="separate"/>
      </w:r>
      <w:r w:rsidR="00D51972">
        <w:t xml:space="preserve">Figure </w:t>
      </w:r>
      <w:r w:rsidR="00D51972">
        <w:rPr>
          <w:noProof/>
        </w:rPr>
        <w:t>3</w:t>
      </w:r>
      <w:r w:rsidR="00D51972">
        <w:fldChar w:fldCharType="end"/>
      </w:r>
      <w:r w:rsidR="00D51972">
        <w:t>)</w:t>
      </w:r>
      <w:r w:rsidR="00803F81">
        <w:t>.</w:t>
      </w:r>
      <w:r w:rsidR="00DA4CCE">
        <w:t xml:space="preserve"> </w:t>
      </w:r>
      <w:r w:rsidR="00303BF4">
        <w:t>As noted above, t</w:t>
      </w:r>
      <w:r w:rsidR="00DA4CCE" w:rsidRPr="656B41BF">
        <w:rPr>
          <w:rFonts w:asciiTheme="minorHAnsi" w:hAnsiTheme="minorHAnsi" w:cstheme="minorBidi"/>
        </w:rPr>
        <w:t xml:space="preserve">he Fleming Fund </w:t>
      </w:r>
      <w:r w:rsidR="00DA4CCE" w:rsidRPr="656B41BF">
        <w:rPr>
          <w:rFonts w:asciiTheme="minorHAnsi" w:hAnsiTheme="minorHAnsi" w:cstheme="minorBidi"/>
          <w:b/>
        </w:rPr>
        <w:t xml:space="preserve">started </w:t>
      </w:r>
      <w:r w:rsidR="00DA4CCE" w:rsidRPr="656B41BF">
        <w:rPr>
          <w:rFonts w:asciiTheme="minorHAnsi" w:hAnsiTheme="minorHAnsi" w:cstheme="minorBidi"/>
          <w:b/>
          <w:bCs/>
        </w:rPr>
        <w:t xml:space="preserve">country grants </w:t>
      </w:r>
      <w:r w:rsidR="00DA4CCE" w:rsidRPr="656B41BF">
        <w:rPr>
          <w:rFonts w:asciiTheme="minorHAnsi" w:hAnsiTheme="minorHAnsi" w:cstheme="minorBidi"/>
        </w:rPr>
        <w:t>in</w:t>
      </w:r>
      <w:r w:rsidR="00303BF4">
        <w:rPr>
          <w:rFonts w:asciiTheme="minorHAnsi" w:hAnsiTheme="minorHAnsi" w:cstheme="minorBidi"/>
        </w:rPr>
        <w:t xml:space="preserve"> these</w:t>
      </w:r>
      <w:r w:rsidR="00DA4CCE" w:rsidRPr="656B41BF">
        <w:rPr>
          <w:rFonts w:asciiTheme="minorHAnsi" w:hAnsiTheme="minorHAnsi" w:cstheme="minorBidi"/>
        </w:rPr>
        <w:t xml:space="preserve"> 23 countries but subsequently pulled out of Sri Lanka and Myanmar</w:t>
      </w:r>
      <w:r w:rsidR="00303BF4">
        <w:rPr>
          <w:rFonts w:asciiTheme="minorHAnsi" w:hAnsiTheme="minorHAnsi" w:cstheme="minorBidi"/>
        </w:rPr>
        <w:t>.</w:t>
      </w:r>
    </w:p>
  </w:footnote>
  <w:footnote w:id="34">
    <w:p w14:paraId="2BF3DD33" w14:textId="443A6B49" w:rsidR="0CB71AAA" w:rsidRDefault="0CB71AAA" w:rsidP="0CB71AAA">
      <w:pPr>
        <w:pStyle w:val="Itadfootnotestyle"/>
      </w:pPr>
      <w:r w:rsidRPr="0CB71AAA">
        <w:rPr>
          <w:rStyle w:val="FootnoteReference"/>
          <w:sz w:val="18"/>
          <w:szCs w:val="18"/>
        </w:rPr>
        <w:footnoteRef/>
      </w:r>
      <w:r>
        <w:t xml:space="preserve"> The LSHTM roadmap, published in 2017, was designed for use in </w:t>
      </w:r>
      <w:r w:rsidR="001B4B88">
        <w:t>LMIC</w:t>
      </w:r>
      <w:r>
        <w:t xml:space="preserve"> settings. Seale, A., Gordon, N., &amp; Islam, J. e. (2017). AMR Surveillance in low and middle-income settings</w:t>
      </w:r>
      <w:r w:rsidR="00B30736">
        <w:t xml:space="preserve"> – </w:t>
      </w:r>
      <w:r>
        <w:t xml:space="preserve">A roadmap for participation in the Global Antimicrobial Surveillance System (GLASS). Wellcome Open Research, 2(92). Available at: </w:t>
      </w:r>
      <w:hyperlink r:id="rId5">
        <w:r w:rsidRPr="001B4B88">
          <w:rPr>
            <w:rStyle w:val="Hyperlink"/>
          </w:rPr>
          <w:t>https://researchonline.lshtm.ac.uk/id/eprint/4574689/</w:t>
        </w:r>
      </w:hyperlink>
      <w:r w:rsidRPr="001B4B88">
        <w:t xml:space="preserve"> </w:t>
      </w:r>
      <w:r>
        <w:t xml:space="preserve">There was no equivalent developed for AH at the same time. </w:t>
      </w:r>
    </w:p>
  </w:footnote>
  <w:footnote w:id="35">
    <w:p w14:paraId="22AA061E" w14:textId="6B7943DF" w:rsidR="00D85AB0" w:rsidRDefault="00D85AB0">
      <w:pPr>
        <w:pStyle w:val="FootnoteText"/>
      </w:pPr>
      <w:r>
        <w:rPr>
          <w:rStyle w:val="FootnoteReference"/>
        </w:rPr>
        <w:footnoteRef/>
      </w:r>
      <w:r>
        <w:t xml:space="preserve"> </w:t>
      </w:r>
      <w:r w:rsidR="006F355A" w:rsidRPr="00E66416">
        <w:t>Living in a relationship in which one organism derives food or other benefits from another organism without hurting or helping it</w:t>
      </w:r>
      <w:r w:rsidR="00E66416" w:rsidRPr="00E66416">
        <w:t>. https://www.rxlist.com/commensal/definition.htm</w:t>
      </w:r>
    </w:p>
  </w:footnote>
  <w:footnote w:id="36">
    <w:p w14:paraId="65B0B638" w14:textId="3721E065" w:rsidR="0CB71AAA" w:rsidRDefault="0CB71AAA" w:rsidP="0CB71AAA">
      <w:pPr>
        <w:pStyle w:val="Itadfootnotestyle"/>
      </w:pPr>
      <w:r w:rsidRPr="0CB71AAA">
        <w:rPr>
          <w:rStyle w:val="FootnoteReference"/>
          <w:sz w:val="18"/>
          <w:szCs w:val="18"/>
        </w:rPr>
        <w:footnoteRef/>
      </w:r>
      <w:r>
        <w:t xml:space="preserve"> As discussed in section </w:t>
      </w:r>
      <w:r>
        <w:fldChar w:fldCharType="begin"/>
      </w:r>
      <w:r>
        <w:instrText xml:space="preserve"> REF _Ref118235742 \r \h  \* MERGEFORMAT </w:instrText>
      </w:r>
      <w:r>
        <w:fldChar w:fldCharType="separate"/>
      </w:r>
      <w:r>
        <w:t>1.5</w:t>
      </w:r>
      <w:r>
        <w:fldChar w:fldCharType="end"/>
      </w:r>
      <w:r>
        <w:t>, DHSC also contracted a number of direct grants that were not under the management of the MA team.</w:t>
      </w:r>
    </w:p>
  </w:footnote>
  <w:footnote w:id="37">
    <w:p w14:paraId="36022F4E" w14:textId="67A73694" w:rsidR="0CB71AAA" w:rsidRDefault="0CB71AAA" w:rsidP="0CB71AAA">
      <w:pPr>
        <w:pStyle w:val="Itadfootnotestyle"/>
      </w:pPr>
      <w:r w:rsidRPr="0CB71AAA">
        <w:rPr>
          <w:rStyle w:val="FootnoteReference"/>
          <w:sz w:val="18"/>
          <w:szCs w:val="18"/>
        </w:rPr>
        <w:footnoteRef/>
      </w:r>
      <w:r>
        <w:t xml:space="preserve"> RGs were defined through expert consultation in the form of a SurveyMonkey.</w:t>
      </w:r>
    </w:p>
  </w:footnote>
  <w:footnote w:id="38">
    <w:p w14:paraId="53FF436D" w14:textId="584E247E" w:rsidR="0CB71AAA" w:rsidRDefault="0CB71AAA" w:rsidP="0CB71AAA">
      <w:pPr>
        <w:pStyle w:val="Itadfootnotestyle"/>
      </w:pPr>
      <w:r w:rsidRPr="0CB71AAA">
        <w:rPr>
          <w:rStyle w:val="FootnoteReference"/>
          <w:sz w:val="18"/>
          <w:szCs w:val="18"/>
        </w:rPr>
        <w:footnoteRef/>
      </w:r>
      <w:r w:rsidR="4EF651D4">
        <w:t xml:space="preserve"> For example, initial versions of some NAPs did not specify which laboratories would serve the function of national reference laboratories (NRLs). </w:t>
      </w:r>
    </w:p>
  </w:footnote>
  <w:footnote w:id="39">
    <w:p w14:paraId="1EFC5DDD" w14:textId="1B9D6951" w:rsidR="0CB71AAA" w:rsidRDefault="0CB71AAA" w:rsidP="0CB71AAA">
      <w:pPr>
        <w:pStyle w:val="FootnoteText"/>
      </w:pPr>
      <w:r w:rsidRPr="0CB71AAA">
        <w:rPr>
          <w:rStyle w:val="FootnoteReference"/>
        </w:rPr>
        <w:footnoteRef/>
      </w:r>
      <w:r>
        <w:t xml:space="preserve"> These are taken from the MA</w:t>
      </w:r>
      <w:r w:rsidR="00AA6A7B">
        <w:t>’</w:t>
      </w:r>
      <w:r>
        <w:t>s implementation plan (v2.5, 2018), which did not (and could not have been expected to) take into account the implications of subsequent political changes in the UK and the COVID-19 pandemic. We also note that these were not used as key metrics for reporting: a results framework was developed midway through phase 1 which has been the focus of reporting since 2019, along with KPIs. See sections 2.1.2-3 and Vol. II, Annex 8 for more on KPI data.</w:t>
      </w:r>
    </w:p>
  </w:footnote>
  <w:footnote w:id="40">
    <w:p w14:paraId="2F08118A" w14:textId="69838D66" w:rsidR="0CB71AAA" w:rsidRDefault="0CB71AAA" w:rsidP="0CB71AAA">
      <w:pPr>
        <w:pStyle w:val="FootnoteText"/>
      </w:pPr>
      <w:r w:rsidRPr="0CB71AAA">
        <w:rPr>
          <w:rStyle w:val="FootnoteReference"/>
        </w:rPr>
        <w:footnoteRef/>
      </w:r>
      <w:r>
        <w:t xml:space="preserve"> </w:t>
      </w:r>
      <w:r w:rsidRPr="0CB71AAA">
        <w:rPr>
          <w:rFonts w:asciiTheme="minorHAnsi" w:hAnsiTheme="minorHAnsi" w:cstheme="minorBidi"/>
        </w:rPr>
        <w:t>We note, however, that the evaluation cut-off for data collection was the end of June 2022 and, whilst we have attempted to note where further progress is expected to end in December 2022, most of our analysis reflects progress to June 2022.</w:t>
      </w:r>
      <w:r w:rsidRPr="0CB71AAA">
        <w:rPr>
          <w:rFonts w:asciiTheme="minorHAnsi" w:hAnsiTheme="minorHAnsi" w:cstheme="minorBidi"/>
          <w:sz w:val="22"/>
          <w:szCs w:val="22"/>
        </w:rPr>
        <w:t xml:space="preserve"> </w:t>
      </w:r>
    </w:p>
  </w:footnote>
  <w:footnote w:id="41">
    <w:p w14:paraId="03128A1F" w14:textId="5039149C" w:rsidR="0CB71AAA" w:rsidRDefault="0CB71AAA" w:rsidP="0CB71AAA">
      <w:pPr>
        <w:pStyle w:val="FootnoteText"/>
        <w:rPr>
          <w:rStyle w:val="ItadfootnotestyleChar"/>
        </w:rPr>
      </w:pPr>
      <w:r w:rsidRPr="0CB71AAA">
        <w:rPr>
          <w:rStyle w:val="FootnoteReference"/>
          <w:rFonts w:cstheme="minorBidi"/>
        </w:rPr>
        <w:footnoteRef/>
      </w:r>
      <w:r w:rsidRPr="0CB71AAA">
        <w:rPr>
          <w:rFonts w:asciiTheme="minorHAnsi" w:hAnsiTheme="minorHAnsi" w:cstheme="minorBidi"/>
        </w:rPr>
        <w:t xml:space="preserve"> </w:t>
      </w:r>
      <w:r w:rsidRPr="0CB71AAA">
        <w:rPr>
          <w:rStyle w:val="cf01"/>
          <w:rFonts w:asciiTheme="minorHAnsi" w:hAnsiTheme="minorHAnsi" w:cstheme="minorBidi"/>
          <w:sz w:val="16"/>
          <w:szCs w:val="16"/>
        </w:rPr>
        <w:t xml:space="preserve">IP </w:t>
      </w:r>
      <w:r w:rsidRPr="0CB71AAA">
        <w:rPr>
          <w:rStyle w:val="ItadfootnotestyleChar"/>
        </w:rPr>
        <w:t xml:space="preserve">states that </w:t>
      </w:r>
      <w:r w:rsidR="00103A03">
        <w:rPr>
          <w:rStyle w:val="ItadfootnotestyleChar"/>
        </w:rPr>
        <w:t>‘</w:t>
      </w:r>
      <w:r w:rsidRPr="0CB71AAA">
        <w:rPr>
          <w:rStyle w:val="ItadfootnotestyleChar"/>
        </w:rPr>
        <w:t>the programme aims to have active grants in all 24 countries by the end of 2019. This assumes a start date of October 2017 for implementation. The original end date of the Fleming Fund was March 2021.</w:t>
      </w:r>
    </w:p>
  </w:footnote>
  <w:footnote w:id="42">
    <w:p w14:paraId="7F7297DE" w14:textId="77777777" w:rsidR="00B96E32" w:rsidRDefault="00B96E32" w:rsidP="00B96E32">
      <w:pPr>
        <w:pStyle w:val="FootnoteText"/>
      </w:pPr>
      <w:r>
        <w:rPr>
          <w:rStyle w:val="FootnoteReference"/>
        </w:rPr>
        <w:footnoteRef/>
      </w:r>
      <w:r>
        <w:t xml:space="preserve"> Purdah is a period of pre-election sensitivity when </w:t>
      </w:r>
      <w:r w:rsidRPr="00B96E32">
        <w:t>Government departments and councils will normally observe discretion about making new announcements or decisions that could influence voters</w:t>
      </w:r>
      <w:r>
        <w:t>.</w:t>
      </w:r>
      <w:r w:rsidRPr="00B96E32">
        <w:t xml:space="preserve"> </w:t>
      </w:r>
      <w:r w:rsidRPr="001D651D">
        <w:t>https://commonslibrary.parliament.uk/research-briefings/sn05262/</w:t>
      </w:r>
    </w:p>
  </w:footnote>
  <w:footnote w:id="43">
    <w:p w14:paraId="5C090500" w14:textId="154FD626" w:rsidR="0CB71AAA" w:rsidRDefault="0CB71AAA">
      <w:r w:rsidRPr="0CB71AAA">
        <w:rPr>
          <w:rStyle w:val="FootnoteReference"/>
        </w:rPr>
        <w:footnoteRef/>
      </w:r>
      <w:r>
        <w:t xml:space="preserve"> </w:t>
      </w:r>
      <w:r w:rsidRPr="0CB71AAA">
        <w:rPr>
          <w:sz w:val="16"/>
          <w:szCs w:val="16"/>
        </w:rPr>
        <w:t>S</w:t>
      </w:r>
      <w:r w:rsidRPr="0CB71AAA">
        <w:rPr>
          <w:rFonts w:eastAsia="Times New Roman" w:cstheme="minorBidi"/>
          <w:sz w:val="16"/>
          <w:szCs w:val="16"/>
          <w:lang w:eastAsia="en-GB"/>
        </w:rPr>
        <w:t>coping and positioning work took longer than the six months initially expected, with delays in start</w:t>
      </w:r>
      <w:r w:rsidR="009856BC">
        <w:rPr>
          <w:rFonts w:eastAsia="Times New Roman" w:cstheme="minorBidi"/>
          <w:sz w:val="16"/>
          <w:szCs w:val="16"/>
          <w:lang w:eastAsia="en-GB"/>
        </w:rPr>
        <w:t>-</w:t>
      </w:r>
      <w:r w:rsidRPr="0CB71AAA">
        <w:rPr>
          <w:rFonts w:eastAsia="Times New Roman" w:cstheme="minorBidi"/>
          <w:sz w:val="16"/>
          <w:szCs w:val="16"/>
          <w:lang w:eastAsia="en-GB"/>
        </w:rPr>
        <w:t>up of grants ranging from 1</w:t>
      </w:r>
      <w:r w:rsidR="009856BC">
        <w:rPr>
          <w:rFonts w:eastAsia="Times New Roman" w:cstheme="minorBidi"/>
          <w:sz w:val="16"/>
          <w:szCs w:val="16"/>
          <w:lang w:eastAsia="en-GB"/>
        </w:rPr>
        <w:t>–</w:t>
      </w:r>
      <w:r w:rsidRPr="0CB71AAA">
        <w:rPr>
          <w:rFonts w:eastAsia="Times New Roman" w:cstheme="minorBidi"/>
          <w:sz w:val="16"/>
          <w:szCs w:val="16"/>
          <w:lang w:eastAsia="en-GB"/>
        </w:rPr>
        <w:t>20 months and averaging 6</w:t>
      </w:r>
      <w:r w:rsidR="009856BC">
        <w:rPr>
          <w:rFonts w:eastAsia="Times New Roman" w:cstheme="minorBidi"/>
          <w:sz w:val="16"/>
          <w:szCs w:val="16"/>
          <w:lang w:eastAsia="en-GB"/>
        </w:rPr>
        <w:t>–</w:t>
      </w:r>
      <w:r w:rsidRPr="0CB71AAA">
        <w:rPr>
          <w:rFonts w:eastAsia="Times New Roman" w:cstheme="minorBidi"/>
          <w:sz w:val="16"/>
          <w:szCs w:val="16"/>
          <w:lang w:eastAsia="en-GB"/>
        </w:rPr>
        <w:t>25 months.</w:t>
      </w:r>
    </w:p>
  </w:footnote>
  <w:footnote w:id="44">
    <w:p w14:paraId="32047673" w14:textId="77777777" w:rsidR="00880CDC" w:rsidRDefault="00880CDC" w:rsidP="00880CDC">
      <w:pPr>
        <w:pStyle w:val="Itadfootnotestyle"/>
      </w:pPr>
      <w:r w:rsidRPr="0CB71AAA">
        <w:rPr>
          <w:rStyle w:val="FootnoteReference"/>
          <w:rFonts w:ascii="Calibri" w:hAnsi="Calibri"/>
          <w:sz w:val="16"/>
          <w:szCs w:val="16"/>
        </w:rPr>
        <w:footnoteRef/>
      </w:r>
      <w:r>
        <w:t xml:space="preserve"> E.g. the MA seems to have started taking learning from professional fellowships into account in the early Policy Fellows implementation, for example encouraging better tailoring of ToRs to country priorities.</w:t>
      </w:r>
    </w:p>
  </w:footnote>
  <w:footnote w:id="45">
    <w:p w14:paraId="7040E1A2" w14:textId="77777777" w:rsidR="00880CDC" w:rsidRDefault="00880CDC" w:rsidP="00DD7C3B">
      <w:pPr>
        <w:pStyle w:val="Itadfootnotestyle"/>
      </w:pPr>
      <w:r w:rsidRPr="0CB71AAA">
        <w:rPr>
          <w:rStyle w:val="FootnoteReference"/>
          <w:rFonts w:ascii="Calibri" w:hAnsi="Calibri"/>
          <w:sz w:val="16"/>
          <w:szCs w:val="16"/>
        </w:rPr>
        <w:footnoteRef/>
      </w:r>
      <w:r>
        <w:t xml:space="preserve"> As noted in section </w:t>
      </w:r>
      <w:r>
        <w:fldChar w:fldCharType="begin"/>
      </w:r>
      <w:r>
        <w:instrText xml:space="preserve"> REF _Ref118235770 \r \h  \* MERGEFORMAT </w:instrText>
      </w:r>
      <w:r>
        <w:fldChar w:fldCharType="separate"/>
      </w:r>
      <w:r>
        <w:t>1.1</w:t>
      </w:r>
      <w:r>
        <w:fldChar w:fldCharType="end"/>
      </w:r>
      <w:r>
        <w:t xml:space="preserve">, these direct grants are outside the </w:t>
      </w:r>
      <w:r w:rsidRPr="00DD7C3B">
        <w:t>scope</w:t>
      </w:r>
      <w:r>
        <w:t xml:space="preserve"> of our evaluation.</w:t>
      </w:r>
    </w:p>
  </w:footnote>
  <w:footnote w:id="46">
    <w:p w14:paraId="041CE51D" w14:textId="5C4E5A83" w:rsidR="00880CDC" w:rsidRDefault="00880CDC" w:rsidP="00DD7C3B">
      <w:pPr>
        <w:pStyle w:val="Itadfootnotestyle"/>
      </w:pPr>
      <w:r w:rsidRPr="0CB71AAA">
        <w:rPr>
          <w:rStyle w:val="FootnoteReference"/>
        </w:rPr>
        <w:footnoteRef/>
      </w:r>
      <w:r>
        <w:t xml:space="preserve"> For which grants were made to both the </w:t>
      </w:r>
      <w:r w:rsidRPr="0CB71AAA">
        <w:rPr>
          <w:lang w:eastAsia="en-GB"/>
        </w:rPr>
        <w:t>Commonwealth Pharmaceutical Association and the Tropical Health and Education Trust (THET).</w:t>
      </w:r>
    </w:p>
  </w:footnote>
  <w:footnote w:id="47">
    <w:p w14:paraId="638E3451" w14:textId="77777777" w:rsidR="00880CDC" w:rsidRPr="00DD7C3B" w:rsidRDefault="00880CDC" w:rsidP="00DD7C3B">
      <w:pPr>
        <w:pStyle w:val="Itadfootnotestyle"/>
      </w:pPr>
      <w:r w:rsidRPr="0CB71AAA">
        <w:rPr>
          <w:rStyle w:val="FootnoteReference"/>
          <w:rFonts w:ascii="Calibri" w:hAnsi="Calibri"/>
          <w:sz w:val="16"/>
          <w:szCs w:val="16"/>
        </w:rPr>
        <w:footnoteRef/>
      </w:r>
      <w:r>
        <w:t xml:space="preserve"> </w:t>
      </w:r>
      <w:r w:rsidRPr="00DD7C3B">
        <w:t>At times more than five different implementers were present at the country level, with no single voice, which increased transaction costs and potential for confusion for country stakeholders, acknowledged by the MA team as early as December 2018 (DPE Tanzania).</w:t>
      </w:r>
    </w:p>
  </w:footnote>
  <w:footnote w:id="48">
    <w:p w14:paraId="75CBD9AE" w14:textId="3567B7E2" w:rsidR="0CB71AAA" w:rsidRDefault="0CB71AAA" w:rsidP="004323DA">
      <w:pPr>
        <w:pStyle w:val="Itadfootnotestyle"/>
      </w:pPr>
      <w:r w:rsidRPr="0CB71AAA">
        <w:rPr>
          <w:rStyle w:val="FootnoteReference"/>
        </w:rPr>
        <w:footnoteRef/>
      </w:r>
      <w:r>
        <w:t xml:space="preserve"> Findings from research conducted by Itad on </w:t>
      </w:r>
      <w:r w:rsidR="00103A03">
        <w:t>‘</w:t>
      </w:r>
      <w:r>
        <w:t>Remote Delivery during COVID-19: Lessons learned from best practice and from Fleming Fund implementing partners</w:t>
      </w:r>
      <w:r w:rsidR="00AA6A7B">
        <w:t>’</w:t>
      </w:r>
      <w:r>
        <w:t xml:space="preserve"> experience</w:t>
      </w:r>
      <w:r w:rsidR="00103A03">
        <w:t>’</w:t>
      </w:r>
      <w:r>
        <w:t xml:space="preserve">. Submitted to the DHSC in 2022. </w:t>
      </w:r>
    </w:p>
  </w:footnote>
  <w:footnote w:id="49">
    <w:p w14:paraId="07F5E888" w14:textId="3B29A9D2" w:rsidR="0CB71AAA" w:rsidRDefault="0CB71AAA" w:rsidP="004323DA">
      <w:pPr>
        <w:pStyle w:val="Itadfootnotestyle"/>
      </w:pPr>
      <w:r w:rsidRPr="0CB71AAA">
        <w:rPr>
          <w:rStyle w:val="FootnoteReference"/>
        </w:rPr>
        <w:footnoteRef/>
      </w:r>
      <w:r>
        <w:t xml:space="preserve"> Loft, P., &amp; Brien, P. (2021). Reducing the UK</w:t>
      </w:r>
      <w:r w:rsidR="00AA6A7B">
        <w:t>’</w:t>
      </w:r>
      <w:r>
        <w:t>s aid spend in 2021. House of Commons Library. Available at: https://commonslibrary.parliament.uk/research-briefings/cbp-9224/</w:t>
      </w:r>
    </w:p>
  </w:footnote>
  <w:footnote w:id="50">
    <w:p w14:paraId="17AC047D" w14:textId="421867E4" w:rsidR="0CB71AAA" w:rsidRDefault="0CB71AAA" w:rsidP="004323DA">
      <w:pPr>
        <w:pStyle w:val="Itadfootnotestyle"/>
      </w:pPr>
      <w:r w:rsidRPr="0CB71AAA">
        <w:rPr>
          <w:rStyle w:val="FootnoteReference"/>
        </w:rPr>
        <w:footnoteRef/>
      </w:r>
      <w:r>
        <w:t xml:space="preserve"> There were two spending </w:t>
      </w:r>
      <w:r w:rsidRPr="004323DA">
        <w:t>reviews</w:t>
      </w:r>
      <w:r>
        <w:t xml:space="preserve"> during the period covered by phase 1. </w:t>
      </w:r>
    </w:p>
  </w:footnote>
  <w:footnote w:id="51">
    <w:p w14:paraId="08F505C4" w14:textId="08599B07" w:rsidR="0CB71AAA" w:rsidRDefault="0CB71AAA" w:rsidP="004323DA">
      <w:pPr>
        <w:pStyle w:val="Itadfootnotestyle"/>
      </w:pPr>
      <w:r w:rsidRPr="0CB71AAA">
        <w:rPr>
          <w:rStyle w:val="FootnoteReference"/>
          <w:rFonts w:ascii="Calibri" w:hAnsi="Calibri"/>
          <w:sz w:val="16"/>
          <w:szCs w:val="16"/>
        </w:rPr>
        <w:footnoteRef/>
      </w:r>
      <w:r w:rsidRPr="0CB71AAA">
        <w:rPr>
          <w:vertAlign w:val="superscript"/>
        </w:rPr>
        <w:t xml:space="preserve"> </w:t>
      </w:r>
      <w:r>
        <w:t>World Health Organisation. (2021, November 17). Antimicrobial Resistance. Retrieved from World Health Organisation: https://www.who.int/news-room/fact-sheets/detail/antimicrobial-resistance</w:t>
      </w:r>
    </w:p>
  </w:footnote>
  <w:footnote w:id="52">
    <w:p w14:paraId="59A7586E" w14:textId="27790868" w:rsidR="0CB71AAA" w:rsidRDefault="0CB71AAA" w:rsidP="0CB71AAA">
      <w:pPr>
        <w:pStyle w:val="Itadfootnotestyle"/>
      </w:pPr>
      <w:r w:rsidRPr="0CB71AAA">
        <w:rPr>
          <w:rStyle w:val="FootnoteReference"/>
          <w:rFonts w:ascii="Calibri" w:hAnsi="Calibri"/>
          <w:sz w:val="16"/>
          <w:szCs w:val="16"/>
        </w:rPr>
        <w:footnoteRef/>
      </w:r>
      <w:r>
        <w:t xml:space="preserve"> WHO; FAO of the United Nations; UNEP; WOAH. (2022). Antimicrobial Resistance Multi-Partner Trust Fund annual report 2021. Geneva: UN MPTF Office.</w:t>
      </w:r>
    </w:p>
  </w:footnote>
  <w:footnote w:id="53">
    <w:p w14:paraId="4DEF9E5A" w14:textId="60435FC2" w:rsidR="0CB71AAA" w:rsidRDefault="0CB71AAA" w:rsidP="0CB71AAA">
      <w:pPr>
        <w:pStyle w:val="Itadfootnotestyle"/>
      </w:pPr>
      <w:r w:rsidRPr="0CB71AAA">
        <w:rPr>
          <w:rStyle w:val="FootnoteReference"/>
          <w:rFonts w:ascii="Calibri" w:hAnsi="Calibri"/>
          <w:sz w:val="16"/>
          <w:szCs w:val="16"/>
        </w:rPr>
        <w:footnoteRef/>
      </w:r>
      <w:r>
        <w:t xml:space="preserve"> World Health Organisation. (2020, August 10). Global Leaders Group ToR. Retrieved from World Health Organisation: https://www.who.int/news-room/articles-detail/global-leaders-group-terms-of-reference</w:t>
      </w:r>
    </w:p>
  </w:footnote>
  <w:footnote w:id="54">
    <w:p w14:paraId="48117AF7" w14:textId="2C54299F" w:rsidR="0037056C" w:rsidRDefault="0037056C" w:rsidP="002B782D">
      <w:pPr>
        <w:pStyle w:val="Itadfootnotestyle"/>
      </w:pPr>
      <w:r>
        <w:rPr>
          <w:rStyle w:val="FootnoteReference"/>
        </w:rPr>
        <w:footnoteRef/>
      </w:r>
      <w:r>
        <w:t xml:space="preserve"> Although in practice this is </w:t>
      </w:r>
      <w:r w:rsidR="009913C6">
        <w:t xml:space="preserve">limited to the start of country-level implementation in August 2018 up to mid-2022 </w:t>
      </w:r>
      <w:r w:rsidR="007C235A">
        <w:t xml:space="preserve">which was the cut-off point for </w:t>
      </w:r>
      <w:r w:rsidR="009913C6">
        <w:t>data collection for the evaluation summative report</w:t>
      </w:r>
      <w:r w:rsidR="007C235A">
        <w:t>.</w:t>
      </w:r>
    </w:p>
  </w:footnote>
  <w:footnote w:id="55">
    <w:p w14:paraId="4E061640" w14:textId="793785D2" w:rsidR="00CB19D5" w:rsidRDefault="00CB19D5">
      <w:pPr>
        <w:pStyle w:val="FootnoteText"/>
      </w:pPr>
      <w:r>
        <w:rPr>
          <w:rStyle w:val="FootnoteReference"/>
        </w:rPr>
        <w:footnoteRef/>
      </w:r>
      <w:r>
        <w:t xml:space="preserve"> </w:t>
      </w:r>
      <w:r w:rsidR="001A6ACF">
        <w:t>In most countries t</w:t>
      </w:r>
      <w:r w:rsidR="00565F62">
        <w:t xml:space="preserve">here </w:t>
      </w:r>
      <w:r w:rsidR="001A6ACF">
        <w:t>wer</w:t>
      </w:r>
      <w:r w:rsidR="00565F62">
        <w:t xml:space="preserve">e limited relevant informants </w:t>
      </w:r>
      <w:r w:rsidR="001A6ACF">
        <w:t xml:space="preserve">with sufficient knowledge of AMR surveillance and/or Fleming Fund support. Potential inclusion was on basis of </w:t>
      </w:r>
      <w:r w:rsidR="003258D5">
        <w:t xml:space="preserve">understanding and ability to provide informed perspective on Fleming Fund design and implementation. </w:t>
      </w:r>
      <w:r>
        <w:t xml:space="preserve">Categories included </w:t>
      </w:r>
      <w:r w:rsidR="00652294">
        <w:t xml:space="preserve">those involved in implementation (country grantee, laboratory staff), intended users of AMR data (policymakers), </w:t>
      </w:r>
      <w:r w:rsidR="00F27498">
        <w:t xml:space="preserve">other key stakeholders involved in supporting AMR surveillance (UN bodies, other donors, </w:t>
      </w:r>
      <w:r w:rsidR="00945410">
        <w:t>civil society organisations</w:t>
      </w:r>
      <w:r w:rsidR="00F27498">
        <w:t>)</w:t>
      </w:r>
      <w:r w:rsidR="00B535EF">
        <w:t>, and MA/DHSC staff. Similar categories applied across both AH and HH sectors.</w:t>
      </w:r>
    </w:p>
  </w:footnote>
  <w:footnote w:id="56">
    <w:p w14:paraId="0BEDE831" w14:textId="1ADBF846" w:rsidR="001305E1" w:rsidRPr="00FF090A" w:rsidRDefault="001305E1" w:rsidP="008A5F96">
      <w:pPr>
        <w:pStyle w:val="Itadfootnotestyle"/>
      </w:pPr>
      <w:r>
        <w:rPr>
          <w:rStyle w:val="FootnoteReference"/>
        </w:rPr>
        <w:footnoteRef/>
      </w:r>
      <w:r>
        <w:t xml:space="preserve"> </w:t>
      </w:r>
      <w:r w:rsidRPr="00FF090A">
        <w:t xml:space="preserve">Snowball </w:t>
      </w:r>
      <w:r>
        <w:t>s</w:t>
      </w:r>
      <w:r w:rsidRPr="00FF090A">
        <w:t xml:space="preserve">ampling is an </w:t>
      </w:r>
      <w:r>
        <w:t>approach</w:t>
      </w:r>
      <w:r w:rsidRPr="00FF090A">
        <w:t xml:space="preserve"> for </w:t>
      </w:r>
      <w:r>
        <w:t>identifying KIs</w:t>
      </w:r>
      <w:r w:rsidRPr="00FF090A">
        <w:t>.</w:t>
      </w:r>
      <w:r w:rsidR="00DC1D8D">
        <w:t xml:space="preserve"> </w:t>
      </w:r>
      <w:r w:rsidRPr="00FF090A">
        <w:t xml:space="preserve">The process begins by asking </w:t>
      </w:r>
      <w:r w:rsidR="00F74242">
        <w:t>well-situated</w:t>
      </w:r>
      <w:r w:rsidRPr="00FF090A">
        <w:t xml:space="preserve"> people </w:t>
      </w:r>
      <w:r w:rsidR="00103A03">
        <w:t>‘</w:t>
      </w:r>
      <w:r w:rsidRPr="00FF090A">
        <w:t>Whom should I talk to?</w:t>
      </w:r>
      <w:r w:rsidR="00103A03">
        <w:t>’</w:t>
      </w:r>
      <w:r w:rsidRPr="00FF090A">
        <w:t xml:space="preserve"> By asking a number of people who else to talk with, the snowball gets bigger and bigger as you accumulate new information</w:t>
      </w:r>
      <w:r>
        <w:t xml:space="preserve"> on relevant KIs</w:t>
      </w:r>
      <w:r w:rsidRPr="00FF090A">
        <w:t xml:space="preserve">. </w:t>
      </w:r>
      <w:r w:rsidRPr="00FF090A">
        <w:rPr>
          <w:shd w:val="clear" w:color="auto" w:fill="FFFFFF"/>
        </w:rPr>
        <w:t>Patton M Q, (2002)</w:t>
      </w:r>
      <w:r w:rsidR="005450AC">
        <w:rPr>
          <w:shd w:val="clear" w:color="auto" w:fill="FFFFFF"/>
        </w:rPr>
        <w:t xml:space="preserve"> </w:t>
      </w:r>
      <w:r w:rsidRPr="00FF090A">
        <w:rPr>
          <w:i/>
          <w:iCs/>
          <w:shd w:val="clear" w:color="auto" w:fill="FFFFFF"/>
        </w:rPr>
        <w:t>Qualitative Research and Evaluation Options (</w:t>
      </w:r>
      <w:r w:rsidRPr="00FF090A">
        <w:rPr>
          <w:shd w:val="clear" w:color="auto" w:fill="FFFFFF"/>
        </w:rPr>
        <w:t>3</w:t>
      </w:r>
      <w:r w:rsidRPr="001D1F7D">
        <w:rPr>
          <w:shd w:val="clear" w:color="auto" w:fill="FFFFFF"/>
        </w:rPr>
        <w:t>rd</w:t>
      </w:r>
      <w:r w:rsidR="005450AC">
        <w:rPr>
          <w:shd w:val="clear" w:color="auto" w:fill="FFFFFF"/>
        </w:rPr>
        <w:t xml:space="preserve"> </w:t>
      </w:r>
      <w:r w:rsidRPr="00FF090A">
        <w:rPr>
          <w:shd w:val="clear" w:color="auto" w:fill="FFFFFF"/>
        </w:rPr>
        <w:t>ed.) Thousand Oaks, California. Sage Publications</w:t>
      </w:r>
    </w:p>
  </w:footnote>
  <w:footnote w:id="57">
    <w:p w14:paraId="40F154ED" w14:textId="6D4107A2" w:rsidR="001305E1" w:rsidRPr="008D7F10" w:rsidRDefault="001305E1" w:rsidP="008A5F96">
      <w:pPr>
        <w:pStyle w:val="Itadfootnotestyle"/>
      </w:pPr>
      <w:r w:rsidRPr="008D7F10">
        <w:rPr>
          <w:rStyle w:val="FootnoteReference"/>
          <w:rFonts w:cstheme="minorHAnsi"/>
        </w:rPr>
        <w:footnoteRef/>
      </w:r>
      <w:r w:rsidRPr="008D7F10">
        <w:t xml:space="preserve"> </w:t>
      </w:r>
      <w:r w:rsidRPr="004F4677">
        <w:rPr>
          <w:shd w:val="clear" w:color="auto" w:fill="FFFFFF"/>
        </w:rPr>
        <w:t xml:space="preserve">The literature often talks about reaching </w:t>
      </w:r>
      <w:r w:rsidR="00AA6A7B">
        <w:rPr>
          <w:shd w:val="clear" w:color="auto" w:fill="FFFFFF"/>
        </w:rPr>
        <w:t>‘</w:t>
      </w:r>
      <w:r w:rsidRPr="004F4677">
        <w:rPr>
          <w:shd w:val="clear" w:color="auto" w:fill="FFFFFF"/>
        </w:rPr>
        <w:t>analytic saturation point</w:t>
      </w:r>
      <w:r w:rsidR="00AA6A7B">
        <w:rPr>
          <w:shd w:val="clear" w:color="auto" w:fill="FFFFFF"/>
        </w:rPr>
        <w:t>’</w:t>
      </w:r>
      <w:r w:rsidRPr="004F4677">
        <w:rPr>
          <w:shd w:val="clear" w:color="auto" w:fill="FFFFFF"/>
        </w:rPr>
        <w:t xml:space="preserve"> – the point during the analysis of the data where the same themes are recurring, and no new insights are given by additional sources of data.</w:t>
      </w:r>
      <w:r w:rsidR="005450AC">
        <w:rPr>
          <w:shd w:val="clear" w:color="auto" w:fill="FFFFFF"/>
        </w:rPr>
        <w:t xml:space="preserve"> </w:t>
      </w:r>
    </w:p>
  </w:footnote>
  <w:footnote w:id="58">
    <w:p w14:paraId="587B49B0" w14:textId="64C7E2D9" w:rsidR="00E4001A" w:rsidRDefault="00E4001A" w:rsidP="00A12329">
      <w:pPr>
        <w:pStyle w:val="Itadfootnotestyle"/>
      </w:pPr>
      <w:r>
        <w:rPr>
          <w:rStyle w:val="FootnoteReference"/>
        </w:rPr>
        <w:footnoteRef/>
      </w:r>
      <w:r>
        <w:t xml:space="preserve"> </w:t>
      </w:r>
      <w:r w:rsidRPr="008A5F96">
        <w:t>It should be noted that the main analytical methods used in the summative evaluation have changed from what was outlined in the inception report. The analytical methods used were selected to best answer the EQs and the overarching evaluation objective</w:t>
      </w:r>
      <w:r w:rsidR="00746542">
        <w:t>.</w:t>
      </w:r>
    </w:p>
  </w:footnote>
  <w:footnote w:id="59">
    <w:p w14:paraId="440D4823" w14:textId="77777777" w:rsidR="00CE31E6" w:rsidRDefault="00CE31E6" w:rsidP="00CE31E6">
      <w:pPr>
        <w:pStyle w:val="FootnoteText"/>
      </w:pPr>
      <w:r>
        <w:rPr>
          <w:rStyle w:val="FootnoteReference"/>
        </w:rPr>
        <w:footnoteRef/>
      </w:r>
      <w:r>
        <w:t xml:space="preserve"> </w:t>
      </w:r>
      <w:r w:rsidRPr="0083517D">
        <w:t>https://www.gov.uk/government/publications/dfid-ethical-guidance-for-research-evaluation-and-monitoring-activities</w:t>
      </w:r>
    </w:p>
  </w:footnote>
  <w:footnote w:id="60">
    <w:p w14:paraId="21C9749B" w14:textId="058E5A6C" w:rsidR="0012408A" w:rsidRDefault="0012408A">
      <w:pPr>
        <w:pStyle w:val="FootnoteText"/>
      </w:pPr>
      <w:r>
        <w:rPr>
          <w:rStyle w:val="FootnoteReference"/>
        </w:rPr>
        <w:footnoteRef/>
      </w:r>
      <w:r>
        <w:t xml:space="preserve"> </w:t>
      </w:r>
      <w:r w:rsidRPr="0012408A">
        <w:t>Wave 1 (Q1 2022) Bangladesh, Bhutan, Indonesia, Nigeria, Senegal, Sierra Leone, Vietnam and Timor</w:t>
      </w:r>
      <w:r w:rsidR="00AA498E">
        <w:t>-</w:t>
      </w:r>
      <w:r w:rsidRPr="0012408A">
        <w:t>Leste. Wave 2 (Q2&amp;3 2022) Kenya, Nepal, Uganda, Ghana, Tanzania, Zambia, Pakistan and Laos.</w:t>
      </w:r>
    </w:p>
  </w:footnote>
  <w:footnote w:id="61">
    <w:p w14:paraId="14C0D51A" w14:textId="59E75619" w:rsidR="00012EE7" w:rsidRPr="00551F0C" w:rsidRDefault="00012EE7" w:rsidP="00BD6F03">
      <w:pPr>
        <w:pStyle w:val="Itadfootnotestyle"/>
      </w:pPr>
      <w:r w:rsidRPr="00C64239">
        <w:rPr>
          <w:rStyle w:val="FootnoteReference"/>
          <w:sz w:val="18"/>
          <w:szCs w:val="18"/>
        </w:rPr>
        <w:footnoteRef/>
      </w:r>
      <w:r w:rsidRPr="00C64239">
        <w:t xml:space="preserve"> For more detail on stakeholder participation, </w:t>
      </w:r>
      <w:r w:rsidRPr="003758F5">
        <w:t xml:space="preserve">see Vol. II, Annex </w:t>
      </w:r>
      <w:r w:rsidR="009C2A48">
        <w:t>16</w:t>
      </w:r>
      <w:r w:rsidR="00AA498E">
        <w:t>.</w:t>
      </w:r>
    </w:p>
  </w:footnote>
  <w:footnote w:id="62">
    <w:p w14:paraId="7D64245B" w14:textId="355023CB" w:rsidR="00420B38" w:rsidRDefault="00420B38">
      <w:pPr>
        <w:pStyle w:val="FootnoteText"/>
      </w:pPr>
      <w:r>
        <w:rPr>
          <w:rStyle w:val="FootnoteReference"/>
        </w:rPr>
        <w:footnoteRef/>
      </w:r>
      <w:r>
        <w:t xml:space="preserve"> Such as the production of </w:t>
      </w:r>
      <w:r w:rsidR="00D04C8C">
        <w:t>findings, conclusions and recommendations in different formats</w:t>
      </w:r>
      <w:r w:rsidR="001A5F60">
        <w:t xml:space="preserve"> to promote accessibility.</w:t>
      </w:r>
      <w:r w:rsidR="00D04C8C">
        <w:t xml:space="preserve"> </w:t>
      </w:r>
    </w:p>
  </w:footnote>
  <w:footnote w:id="63">
    <w:p w14:paraId="2C335994" w14:textId="579479DE" w:rsidR="00AF4A35" w:rsidRDefault="00AF4A35">
      <w:pPr>
        <w:pStyle w:val="FootnoteText"/>
      </w:pPr>
      <w:r>
        <w:rPr>
          <w:rStyle w:val="FootnoteReference"/>
        </w:rPr>
        <w:footnoteRef/>
      </w:r>
      <w:r>
        <w:t xml:space="preserve"> </w:t>
      </w:r>
      <w:r w:rsidR="002B3DDC">
        <w:t>S</w:t>
      </w:r>
      <w:r>
        <w:t>ee section 1.2 for more on the LSHTM roadmap</w:t>
      </w:r>
    </w:p>
  </w:footnote>
  <w:footnote w:id="64">
    <w:p w14:paraId="55863F25" w14:textId="3D567A88" w:rsidR="00FE500F" w:rsidRPr="008A5F96" w:rsidRDefault="00FE500F" w:rsidP="002B3DDC">
      <w:pPr>
        <w:pStyle w:val="Itadfootnotestyle"/>
        <w:rPr>
          <w:rStyle w:val="ItadfootnotestyleChar"/>
        </w:rPr>
      </w:pPr>
      <w:r w:rsidRPr="00821B62">
        <w:rPr>
          <w:rStyle w:val="FootnoteReference"/>
        </w:rPr>
        <w:footnoteRef/>
      </w:r>
      <w:r w:rsidRPr="00821B62">
        <w:t xml:space="preserve"> </w:t>
      </w:r>
      <w:r w:rsidRPr="008A5F96">
        <w:rPr>
          <w:rStyle w:val="ItadfootnotestyleChar"/>
        </w:rPr>
        <w:t xml:space="preserve">Contribution to drivers was rated against the following scale: Vital / Important / Some / Limited / None. See Annex </w:t>
      </w:r>
      <w:r>
        <w:rPr>
          <w:rStyle w:val="ItadfootnotestyleChar"/>
        </w:rPr>
        <w:t xml:space="preserve">3 section </w:t>
      </w:r>
      <w:r w:rsidRPr="008A5F96">
        <w:rPr>
          <w:rStyle w:val="ItadfootnotestyleChar"/>
        </w:rPr>
        <w:t xml:space="preserve">1.3.1 for more detail. </w:t>
      </w:r>
    </w:p>
  </w:footnote>
  <w:footnote w:id="65">
    <w:p w14:paraId="2A1804CF" w14:textId="6797783C" w:rsidR="00FF2998" w:rsidRPr="008A5F96" w:rsidRDefault="00FF2998" w:rsidP="002B3DDC">
      <w:pPr>
        <w:pStyle w:val="Itadfootnotestyle"/>
        <w:rPr>
          <w:rStyle w:val="ItadfootnotestyleChar"/>
        </w:rPr>
      </w:pPr>
      <w:r>
        <w:rPr>
          <w:rStyle w:val="FootnoteReference"/>
        </w:rPr>
        <w:footnoteRef/>
      </w:r>
      <w:r>
        <w:t xml:space="preserve"> </w:t>
      </w:r>
      <w:r w:rsidRPr="008A5F96">
        <w:rPr>
          <w:rStyle w:val="ItadfootnotestyleChar"/>
        </w:rPr>
        <w:t xml:space="preserve">Data collated during </w:t>
      </w:r>
      <w:r w:rsidR="00D53EA4">
        <w:rPr>
          <w:rStyle w:val="ItadfootnotestyleChar"/>
        </w:rPr>
        <w:t xml:space="preserve">the </w:t>
      </w:r>
      <w:r w:rsidRPr="008A5F96">
        <w:rPr>
          <w:rStyle w:val="ItadfootnotestyleChar"/>
        </w:rPr>
        <w:t>second round of evaluation data collection (2019/20).</w:t>
      </w:r>
    </w:p>
  </w:footnote>
  <w:footnote w:id="66">
    <w:p w14:paraId="682FD933" w14:textId="02C8D516" w:rsidR="00A037CF" w:rsidRDefault="00A037CF" w:rsidP="002B3DDC">
      <w:pPr>
        <w:pStyle w:val="Itadfootnotestyle"/>
      </w:pPr>
      <w:r>
        <w:rPr>
          <w:rStyle w:val="FootnoteReference"/>
        </w:rPr>
        <w:footnoteRef/>
      </w:r>
      <w:r>
        <w:t xml:space="preserve"> </w:t>
      </w:r>
      <w:r w:rsidR="00016049">
        <w:t>Although as shown in Vol. II, Annex 8.1, table 2</w:t>
      </w:r>
      <w:r w:rsidR="000E0D53">
        <w:t>5</w:t>
      </w:r>
      <w:r w:rsidR="00016049">
        <w:t xml:space="preserve">, </w:t>
      </w:r>
      <w:r w:rsidR="00016049" w:rsidRPr="000E0D53">
        <w:t>four countries reported</w:t>
      </w:r>
      <w:r w:rsidR="00016049">
        <w:t xml:space="preserve"> disbursement of government funding.</w:t>
      </w:r>
    </w:p>
  </w:footnote>
  <w:footnote w:id="67">
    <w:p w14:paraId="58C9138B" w14:textId="77777777" w:rsidR="00B30736" w:rsidRDefault="00B30736" w:rsidP="002B3DDC">
      <w:pPr>
        <w:pStyle w:val="Itadfootnotestyle"/>
      </w:pPr>
      <w:r>
        <w:rPr>
          <w:rStyle w:val="FootnoteReference"/>
        </w:rPr>
        <w:footnoteRef/>
      </w:r>
      <w:r>
        <w:t xml:space="preserve"> See Vol. II, Annex 8.1, table 25.</w:t>
      </w:r>
    </w:p>
  </w:footnote>
  <w:footnote w:id="68">
    <w:p w14:paraId="767D4087" w14:textId="77777777" w:rsidR="00FF2998" w:rsidRPr="008A5F96" w:rsidRDefault="00FF2998" w:rsidP="002B3DDC">
      <w:pPr>
        <w:pStyle w:val="Itadfootnotestyle"/>
        <w:rPr>
          <w:rStyle w:val="ItadfootnotestyleChar"/>
        </w:rPr>
      </w:pPr>
      <w:r>
        <w:rPr>
          <w:rStyle w:val="FootnoteReference"/>
        </w:rPr>
        <w:footnoteRef/>
      </w:r>
      <w:r>
        <w:t xml:space="preserve"> </w:t>
      </w:r>
      <w:r w:rsidRPr="008A5F96">
        <w:rPr>
          <w:rStyle w:val="ItadfootnotestyleChar"/>
        </w:rPr>
        <w:t>One Health Trust. (2022). GARP. Retrieved from One Health Trust: https://onehealthtrust.org/projects/global-antibiotic-resistance-partnership/</w:t>
      </w:r>
    </w:p>
  </w:footnote>
  <w:footnote w:id="69">
    <w:p w14:paraId="250EF6CF" w14:textId="2F3EFBF5" w:rsidR="00FF2998" w:rsidRPr="00390A84" w:rsidRDefault="00FF2998" w:rsidP="002B3DDC">
      <w:pPr>
        <w:pStyle w:val="Itadfootnotestyle"/>
      </w:pPr>
      <w:r>
        <w:rPr>
          <w:rStyle w:val="FootnoteReference"/>
        </w:rPr>
        <w:footnoteRef/>
      </w:r>
      <w:r>
        <w:t xml:space="preserve"> </w:t>
      </w:r>
      <w:r w:rsidR="00DF042E">
        <w:rPr>
          <w:rStyle w:val="ItadfootnotestyleChar"/>
        </w:rPr>
        <w:t>Ibid.</w:t>
      </w:r>
      <w:r w:rsidRPr="008A5F96">
        <w:rPr>
          <w:rStyle w:val="ItadfootnotestyleChar"/>
        </w:rPr>
        <w:t xml:space="preserve"> These all noted varying degrees of research data on AMR trends in both HH and AH (albeit less in AH).</w:t>
      </w:r>
    </w:p>
  </w:footnote>
  <w:footnote w:id="70">
    <w:p w14:paraId="4A1F2895" w14:textId="147AE6E4" w:rsidR="00FF2998" w:rsidRPr="008A5F96" w:rsidRDefault="00FF2998" w:rsidP="00FF2998">
      <w:pPr>
        <w:pStyle w:val="FootnoteText"/>
        <w:rPr>
          <w:rStyle w:val="ItadfootnotestyleChar"/>
        </w:rPr>
      </w:pPr>
      <w:r>
        <w:rPr>
          <w:rStyle w:val="FootnoteReference"/>
        </w:rPr>
        <w:footnoteRef/>
      </w:r>
      <w:r>
        <w:t xml:space="preserve"> </w:t>
      </w:r>
      <w:r w:rsidRPr="008A5F96">
        <w:rPr>
          <w:rStyle w:val="ItadfootnotestyleChar"/>
        </w:rPr>
        <w:t>Data</w:t>
      </w:r>
      <w:r w:rsidRPr="008A5F96" w:rsidDel="00E3708B">
        <w:rPr>
          <w:rStyle w:val="ItadfootnotestyleChar"/>
        </w:rPr>
        <w:t xml:space="preserve"> </w:t>
      </w:r>
      <w:r w:rsidRPr="008A5F96">
        <w:rPr>
          <w:rStyle w:val="ItadfootnotestyleChar"/>
        </w:rPr>
        <w:t xml:space="preserve">was mostly self-reported by CGs, and we have seen a few of the laboratory assessments </w:t>
      </w:r>
      <w:r w:rsidR="00D53EA4" w:rsidRPr="008A5F96">
        <w:rPr>
          <w:rStyle w:val="ItadfootnotestyleChar"/>
        </w:rPr>
        <w:t>that</w:t>
      </w:r>
      <w:r w:rsidRPr="008A5F96">
        <w:rPr>
          <w:rStyle w:val="ItadfootnotestyleChar"/>
        </w:rPr>
        <w:t xml:space="preserve"> the MA/CG teams were meant to complete (although the MA notes these were done for almost all sites during scoping or shortly afterward). Data on quality at baseline is also lacking for Fleming Fund sites that were added during CG implementation. See Vol. II, Annex 8 for more details.</w:t>
      </w:r>
    </w:p>
  </w:footnote>
  <w:footnote w:id="71">
    <w:p w14:paraId="2864BD9D" w14:textId="42FAEB48" w:rsidR="00FF2998" w:rsidRPr="00551F0C" w:rsidRDefault="00FF2998" w:rsidP="00FF2998">
      <w:pPr>
        <w:pStyle w:val="FootnoteText"/>
      </w:pPr>
      <w:r>
        <w:rPr>
          <w:rStyle w:val="FootnoteReference"/>
        </w:rPr>
        <w:footnoteRef/>
      </w:r>
      <w:r>
        <w:t xml:space="preserve"> </w:t>
      </w:r>
      <w:r w:rsidRPr="006B53D0">
        <w:rPr>
          <w:rStyle w:val="ItadfootnotestyleChar"/>
        </w:rPr>
        <w:t>E</w:t>
      </w:r>
      <w:r w:rsidR="001F2B3D" w:rsidRPr="006B53D0">
        <w:rPr>
          <w:rStyle w:val="ItadfootnotestyleChar"/>
        </w:rPr>
        <w:t>arly investment countries (EICs)</w:t>
      </w:r>
      <w:r w:rsidRPr="006B53D0">
        <w:rPr>
          <w:rStyle w:val="ItadfootnotestyleChar"/>
        </w:rPr>
        <w:t xml:space="preserve"> were treated in the same way in the evaluation as all of the 23 countries. The main difference was that work in the EICs started earlier and these countries provided a longer period of data from which to learn lessons and explore the evaluation questions. EICs were: Nepal, Uganda, Ghana </w:t>
      </w:r>
      <w:r w:rsidR="008B164E" w:rsidRPr="006B53D0">
        <w:rPr>
          <w:rStyle w:val="ItadfootnotestyleChar"/>
        </w:rPr>
        <w:t xml:space="preserve">and </w:t>
      </w:r>
      <w:r w:rsidRPr="006B53D0">
        <w:rPr>
          <w:rStyle w:val="ItadfootnotestyleChar"/>
        </w:rPr>
        <w:t>Myanmar.</w:t>
      </w:r>
    </w:p>
  </w:footnote>
  <w:footnote w:id="72">
    <w:p w14:paraId="3BCAEF93" w14:textId="2FE23933" w:rsidR="00FF2998" w:rsidRDefault="00FF2998" w:rsidP="005F63A2">
      <w:pPr>
        <w:pStyle w:val="Itadfootnotestyle"/>
      </w:pPr>
      <w:r>
        <w:rPr>
          <w:rStyle w:val="FootnoteReference"/>
        </w:rPr>
        <w:footnoteRef/>
      </w:r>
      <w:r>
        <w:t xml:space="preserve"> All but Sierra Leone and Senegal</w:t>
      </w:r>
      <w:r w:rsidR="005F63A2">
        <w:t>.</w:t>
      </w:r>
    </w:p>
  </w:footnote>
  <w:footnote w:id="73">
    <w:p w14:paraId="51E8921D" w14:textId="2D56D229" w:rsidR="0009646D" w:rsidRDefault="0009646D" w:rsidP="00093B76">
      <w:pPr>
        <w:pStyle w:val="Itadfootnotestyle"/>
      </w:pPr>
      <w:r>
        <w:rPr>
          <w:rStyle w:val="FootnoteReference"/>
        </w:rPr>
        <w:footnoteRef/>
      </w:r>
      <w:r>
        <w:t xml:space="preserve"> See Vol II</w:t>
      </w:r>
      <w:r w:rsidRPr="008853AC">
        <w:t xml:space="preserve">, Annex 8.1, </w:t>
      </w:r>
      <w:r w:rsidR="005F63A2" w:rsidRPr="008853AC">
        <w:t>T</w:t>
      </w:r>
      <w:r w:rsidRPr="008853AC">
        <w:t>able 26 for more</w:t>
      </w:r>
      <w:r>
        <w:t xml:space="preserve"> on this, including note of caution on </w:t>
      </w:r>
      <w:r w:rsidR="00401663">
        <w:t>specific numbers.</w:t>
      </w:r>
    </w:p>
  </w:footnote>
  <w:footnote w:id="74">
    <w:p w14:paraId="7355B570" w14:textId="77777777" w:rsidR="00FF2998" w:rsidRDefault="00FF2998" w:rsidP="0032613C">
      <w:pPr>
        <w:pStyle w:val="Itadfootnotestyle"/>
      </w:pPr>
      <w:r>
        <w:rPr>
          <w:rStyle w:val="FootnoteReference"/>
        </w:rPr>
        <w:footnoteRef/>
      </w:r>
      <w:r>
        <w:t xml:space="preserve"> We note that the MA team reported 12/16 countries (75%), but we were unable to corroborate one of these.</w:t>
      </w:r>
    </w:p>
  </w:footnote>
  <w:footnote w:id="75">
    <w:p w14:paraId="6C8AEDBB" w14:textId="3D5CAAF7" w:rsidR="00C84D6A" w:rsidRDefault="00C84D6A" w:rsidP="0032613C">
      <w:pPr>
        <w:pStyle w:val="Itadfootnotestyle"/>
      </w:pPr>
      <w:r>
        <w:rPr>
          <w:rStyle w:val="FootnoteReference"/>
        </w:rPr>
        <w:footnoteRef/>
      </w:r>
      <w:r>
        <w:t xml:space="preserve"> This was based on e</w:t>
      </w:r>
      <w:r w:rsidRPr="00EC15C6">
        <w:t>arly scoping of data availability</w:t>
      </w:r>
      <w:r>
        <w:t>, which</w:t>
      </w:r>
      <w:r w:rsidRPr="00EC15C6">
        <w:t xml:space="preserve"> suggested this data would be difficult to consistently obtain due to lack of national systems to consistently report this</w:t>
      </w:r>
      <w:r w:rsidR="00F758F7">
        <w:t>; and t</w:t>
      </w:r>
      <w:r w:rsidR="00F758F7" w:rsidRPr="00EC15C6">
        <w:t>he MA did not report on this</w:t>
      </w:r>
      <w:r w:rsidRPr="00EC15C6">
        <w:t>. We anticipated difficulties in terms of data sharing around AST and in particular results of ASTs</w:t>
      </w:r>
      <w:r w:rsidR="00F758F7">
        <w:t xml:space="preserve">. </w:t>
      </w:r>
    </w:p>
  </w:footnote>
  <w:footnote w:id="76">
    <w:p w14:paraId="3A1E7E20" w14:textId="06D5FF09" w:rsidR="00FF2998" w:rsidRPr="006C16B0" w:rsidRDefault="00FF2998" w:rsidP="00FF2998">
      <w:pPr>
        <w:pStyle w:val="FootnoteText"/>
        <w:rPr>
          <w:rStyle w:val="ItadfootnotestyleChar"/>
        </w:rPr>
      </w:pPr>
      <w:r>
        <w:rPr>
          <w:rStyle w:val="FootnoteReference"/>
        </w:rPr>
        <w:footnoteRef/>
      </w:r>
      <w:r>
        <w:t xml:space="preserve"> </w:t>
      </w:r>
      <w:r w:rsidRPr="006C16B0">
        <w:rPr>
          <w:rStyle w:val="ItadfootnotestyleChar"/>
        </w:rPr>
        <w:t xml:space="preserve">See </w:t>
      </w:r>
      <w:r w:rsidR="00803F81" w:rsidRPr="006C16B0">
        <w:rPr>
          <w:rStyle w:val="ItadfootnotestyleChar"/>
        </w:rPr>
        <w:t>Vol. I</w:t>
      </w:r>
      <w:r w:rsidRPr="006C16B0">
        <w:rPr>
          <w:rStyle w:val="ItadfootnotestyleChar"/>
        </w:rPr>
        <w:t>I, Annex 15 for details on A-D categories</w:t>
      </w:r>
      <w:r w:rsidR="006C16B0" w:rsidRPr="006C16B0">
        <w:rPr>
          <w:rStyle w:val="ItadfootnotestyleChar"/>
        </w:rPr>
        <w:t>.</w:t>
      </w:r>
    </w:p>
  </w:footnote>
  <w:footnote w:id="77">
    <w:p w14:paraId="60299430" w14:textId="49B46EDF" w:rsidR="00C116D5" w:rsidRDefault="00C116D5" w:rsidP="00146FAA">
      <w:pPr>
        <w:pStyle w:val="Itadfootnotestyle"/>
      </w:pPr>
      <w:r>
        <w:rPr>
          <w:rStyle w:val="FootnoteReference"/>
        </w:rPr>
        <w:footnoteRef/>
      </w:r>
      <w:r>
        <w:t xml:space="preserve"> I</w:t>
      </w:r>
      <w:r w:rsidRPr="00C116D5">
        <w:t>n terms of farmers</w:t>
      </w:r>
      <w:r w:rsidR="00AA6A7B">
        <w:t>’</w:t>
      </w:r>
      <w:r w:rsidRPr="00C116D5">
        <w:t xml:space="preserve"> incentives to use laboratory services, and the extent to which these sit within the private or public sector and can be accessed by national surveillance systems</w:t>
      </w:r>
      <w:r>
        <w:t>.</w:t>
      </w:r>
    </w:p>
  </w:footnote>
  <w:footnote w:id="78">
    <w:p w14:paraId="022BB101" w14:textId="2F30D54F" w:rsidR="00FF2998" w:rsidRDefault="00FF2998" w:rsidP="00FF2998">
      <w:pPr>
        <w:pStyle w:val="FootnoteText"/>
      </w:pPr>
      <w:r>
        <w:rPr>
          <w:rStyle w:val="FootnoteReference"/>
        </w:rPr>
        <w:footnoteRef/>
      </w:r>
      <w:r>
        <w:t xml:space="preserve"> </w:t>
      </w:r>
      <w:r w:rsidR="009F05BE" w:rsidRPr="009F05BE">
        <w:t>https://www.who.int/initiatives/glass/resource-centre#glassreports</w:t>
      </w:r>
      <w:r w:rsidR="00E40F7F" w:rsidRPr="001C6800">
        <w:rPr>
          <w:u w:val="single"/>
        </w:rPr>
        <w:t>.</w:t>
      </w:r>
      <w:r w:rsidRPr="001C6800">
        <w:rPr>
          <w:u w:val="single"/>
        </w:rPr>
        <w:t xml:space="preserve"> </w:t>
      </w:r>
      <w:r>
        <w:t>There is also some evidence that data is being generated in Senegal but this has neither been reported to GLASS, nor was it possible to establish a firm picture on this through evaluation data collection.</w:t>
      </w:r>
      <w:r w:rsidR="00DC1D8D">
        <w:t xml:space="preserve"> </w:t>
      </w:r>
      <w:r>
        <w:t>The remaining three that do not appear to have generated data at this stage are Eswatini, Sierra Leone and Zimbabwe (although the evaluation did not undertake data collection in Eswatini or Zimbabwe and so cannot comment on whether data is available in these countries but just not reported to GLASS).</w:t>
      </w:r>
    </w:p>
  </w:footnote>
  <w:footnote w:id="79">
    <w:p w14:paraId="71FDC4C9" w14:textId="041F8CA5" w:rsidR="00FF2998" w:rsidRDefault="00FF2998" w:rsidP="00FF2998">
      <w:pPr>
        <w:pStyle w:val="FootnoteText"/>
      </w:pPr>
      <w:r>
        <w:rPr>
          <w:rStyle w:val="FootnoteReference"/>
        </w:rPr>
        <w:footnoteRef/>
      </w:r>
      <w:r>
        <w:t xml:space="preserve"> see </w:t>
      </w:r>
      <w:r w:rsidR="00803F81">
        <w:t>Vol. I</w:t>
      </w:r>
      <w:r>
        <w:t>I, Annex 15 for description of categories and mapping of categories to Fleming Fund countries.</w:t>
      </w:r>
    </w:p>
  </w:footnote>
  <w:footnote w:id="80">
    <w:p w14:paraId="2F7344D6" w14:textId="77777777" w:rsidR="00FF2998" w:rsidRDefault="00FF2998" w:rsidP="00BC01D7">
      <w:pPr>
        <w:pStyle w:val="Itadfootnotestyle"/>
      </w:pPr>
      <w:r>
        <w:rPr>
          <w:rStyle w:val="FootnoteReference"/>
        </w:rPr>
        <w:footnoteRef/>
      </w:r>
      <w:r>
        <w:t xml:space="preserve"> This metric was only introduced in 2020, whereas it was tracked from 2019 in HH</w:t>
      </w:r>
    </w:p>
  </w:footnote>
  <w:footnote w:id="81">
    <w:p w14:paraId="74249C48" w14:textId="77777777" w:rsidR="00FF2998" w:rsidRPr="00551F0C" w:rsidRDefault="00FF2998" w:rsidP="00BC01D7">
      <w:pPr>
        <w:pStyle w:val="Itadfootnotestyle"/>
      </w:pPr>
      <w:r w:rsidRPr="00551F0C">
        <w:rPr>
          <w:rStyle w:val="FootnoteReference"/>
        </w:rPr>
        <w:footnoteRef/>
      </w:r>
      <w:r w:rsidRPr="00551F0C">
        <w:t xml:space="preserve"> Of the 72 fellowships completed, </w:t>
      </w:r>
      <w:r>
        <w:t xml:space="preserve">52 (72%) had data available from </w:t>
      </w:r>
      <w:r w:rsidRPr="0028404E">
        <w:t xml:space="preserve">end vs baseline self-assessments </w:t>
      </w:r>
      <w:r>
        <w:t>to enable changes against a core competency framework.</w:t>
      </w:r>
      <w:r w:rsidDel="007D2E99">
        <w:t xml:space="preserve"> </w:t>
      </w:r>
      <w:r>
        <w:t xml:space="preserve">Of these, 37 (71%) </w:t>
      </w:r>
      <w:r w:rsidRPr="00551F0C">
        <w:t xml:space="preserve">reported improvement in 80% or more of </w:t>
      </w:r>
      <w:r>
        <w:t xml:space="preserve">the competency framework </w:t>
      </w:r>
      <w:r w:rsidRPr="00551F0C">
        <w:t>dimensions/domains relevant to their Fellowships</w:t>
      </w:r>
      <w:r w:rsidRPr="0095207E">
        <w:t xml:space="preserve">. See Annex </w:t>
      </w:r>
      <w:r>
        <w:t>8</w:t>
      </w:r>
      <w:r w:rsidRPr="0095207E">
        <w:t xml:space="preserve"> for more</w:t>
      </w:r>
      <w:r>
        <w:t xml:space="preserve"> details.</w:t>
      </w:r>
    </w:p>
  </w:footnote>
  <w:footnote w:id="82">
    <w:p w14:paraId="3B8C6E7E" w14:textId="77777777" w:rsidR="00FF2998" w:rsidRDefault="00FF2998" w:rsidP="00BC01D7">
      <w:pPr>
        <w:pStyle w:val="Itadfootnotestyle"/>
      </w:pPr>
      <w:r>
        <w:rPr>
          <w:rStyle w:val="FootnoteReference"/>
        </w:rPr>
        <w:footnoteRef/>
      </w:r>
      <w:r>
        <w:t xml:space="preserve"> The specific metric is the % of fellows that </w:t>
      </w:r>
      <w:r w:rsidRPr="0087074D">
        <w:t>reported improvement in 80% of dimension / domains in their self-assessments</w:t>
      </w:r>
      <w:r>
        <w:t>. By mid-2022 performance against this metric was 80%.</w:t>
      </w:r>
    </w:p>
  </w:footnote>
  <w:footnote w:id="83">
    <w:p w14:paraId="1577A6D3" w14:textId="69A6B86B" w:rsidR="00FF2998" w:rsidRPr="008343D7" w:rsidRDefault="00FF2998" w:rsidP="00F01A66">
      <w:pPr>
        <w:pStyle w:val="Itadfootnotestyle"/>
        <w:rPr>
          <w:sz w:val="18"/>
          <w:szCs w:val="18"/>
        </w:rPr>
      </w:pPr>
      <w:r w:rsidRPr="00201C7E">
        <w:rPr>
          <w:rStyle w:val="FootnoteReference"/>
        </w:rPr>
        <w:footnoteRef/>
      </w:r>
      <w:r w:rsidRPr="00201C7E">
        <w:t xml:space="preserve"> </w:t>
      </w:r>
      <w:r w:rsidRPr="00F01A66">
        <w:t xml:space="preserve">The types of issues that were rated as </w:t>
      </w:r>
      <w:r w:rsidR="00AA6A7B" w:rsidRPr="00F01A66">
        <w:t>‘</w:t>
      </w:r>
      <w:r w:rsidRPr="00F01A66">
        <w:t>governance</w:t>
      </w:r>
      <w:r w:rsidR="00AA6A7B" w:rsidRPr="00F01A66">
        <w:t>’</w:t>
      </w:r>
      <w:r w:rsidRPr="00F01A66">
        <w:t xml:space="preserve"> in this specific context: Effective oversight, coalition-building, regulation, attention to system design and accountability and Increased focus by policymakers and senior staff within the system creating signals about importance.</w:t>
      </w:r>
    </w:p>
  </w:footnote>
  <w:footnote w:id="84">
    <w:p w14:paraId="2A47B855" w14:textId="128AB4FE" w:rsidR="00FF2998" w:rsidRPr="008343D7" w:rsidRDefault="00FF2998" w:rsidP="00F01A66">
      <w:pPr>
        <w:pStyle w:val="Itadfootnotestyle"/>
        <w:rPr>
          <w:sz w:val="18"/>
          <w:szCs w:val="18"/>
        </w:rPr>
      </w:pPr>
      <w:r w:rsidRPr="00201C7E">
        <w:rPr>
          <w:rStyle w:val="FootnoteReference"/>
        </w:rPr>
        <w:footnoteRef/>
      </w:r>
      <w:r w:rsidRPr="00201C7E">
        <w:t xml:space="preserve"> </w:t>
      </w:r>
      <w:r w:rsidR="00EE36B0" w:rsidRPr="00F01A66">
        <w:t>Ibid.</w:t>
      </w:r>
    </w:p>
  </w:footnote>
  <w:footnote w:id="85">
    <w:p w14:paraId="7FCB0CD2" w14:textId="5B81B0FA" w:rsidR="00FF2998" w:rsidRPr="00201C7E" w:rsidRDefault="00FF2998" w:rsidP="00F01A66">
      <w:pPr>
        <w:pStyle w:val="Itadfootnotestyle"/>
      </w:pPr>
      <w:r w:rsidRPr="00201C7E">
        <w:rPr>
          <w:rStyle w:val="FootnoteReference"/>
        </w:rPr>
        <w:footnoteRef/>
      </w:r>
      <w:r w:rsidRPr="00201C7E">
        <w:t xml:space="preserve"> Not</w:t>
      </w:r>
      <w:r>
        <w:t>e</w:t>
      </w:r>
      <w:r w:rsidRPr="00201C7E">
        <w:t xml:space="preserve"> that </w:t>
      </w:r>
      <w:r w:rsidR="00AA6A7B">
        <w:t>‘</w:t>
      </w:r>
      <w:r w:rsidRPr="00201C7E">
        <w:t xml:space="preserve">changes in </w:t>
      </w:r>
      <w:r>
        <w:t xml:space="preserve">the </w:t>
      </w:r>
      <w:r w:rsidRPr="00201C7E">
        <w:t>number of pathogens tested for</w:t>
      </w:r>
      <w:r w:rsidR="00AA6A7B">
        <w:t>’</w:t>
      </w:r>
      <w:r w:rsidRPr="00201C7E">
        <w:t xml:space="preserve"> was not identified as a driver</w:t>
      </w:r>
      <w:r>
        <w:t xml:space="preserve"> of</w:t>
      </w:r>
      <w:r w:rsidRPr="00201C7E">
        <w:t xml:space="preserve"> </w:t>
      </w:r>
      <w:r w:rsidR="00AA6A7B">
        <w:t>‘</w:t>
      </w:r>
      <w:r w:rsidRPr="00201C7E">
        <w:t>quantity of data</w:t>
      </w:r>
      <w:r w:rsidR="00AA6A7B">
        <w:t>’</w:t>
      </w:r>
      <w:r w:rsidRPr="00201C7E">
        <w:t xml:space="preserve"> by KIIs in any country.</w:t>
      </w:r>
    </w:p>
  </w:footnote>
  <w:footnote w:id="86">
    <w:p w14:paraId="2BB7DA56" w14:textId="09243E92" w:rsidR="00FF2998" w:rsidRPr="00FF4F86" w:rsidRDefault="00FF2998" w:rsidP="00F01A66">
      <w:pPr>
        <w:pStyle w:val="Itadfootnotestyle"/>
      </w:pPr>
      <w:r w:rsidRPr="00201C7E">
        <w:rPr>
          <w:rStyle w:val="FootnoteReference"/>
        </w:rPr>
        <w:footnoteRef/>
      </w:r>
      <w:r w:rsidRPr="00201C7E">
        <w:t xml:space="preserve"> Although it is not feasible to isolate the extent to which increases are due to this driver</w:t>
      </w:r>
      <w:r w:rsidR="00ED301D">
        <w:t>.</w:t>
      </w:r>
    </w:p>
  </w:footnote>
  <w:footnote w:id="87">
    <w:p w14:paraId="4A27ABC4" w14:textId="301DD9A8" w:rsidR="00FF2998" w:rsidRDefault="00FF2998" w:rsidP="00FF2998">
      <w:pPr>
        <w:pStyle w:val="Itadfootnotestyle"/>
      </w:pPr>
      <w:r>
        <w:rPr>
          <w:rStyle w:val="FootnoteReference"/>
        </w:rPr>
        <w:footnoteRef/>
      </w:r>
      <w:r>
        <w:t xml:space="preserve"> Hence noting in section 2.1 that many countries expected further progress in data generation during the remainder of 2022.</w:t>
      </w:r>
    </w:p>
  </w:footnote>
  <w:footnote w:id="88">
    <w:p w14:paraId="6EF56A9F" w14:textId="77777777" w:rsidR="00FF2998" w:rsidRDefault="00FF2998" w:rsidP="00045F48">
      <w:pPr>
        <w:pStyle w:val="Itadfootnotestyle"/>
      </w:pPr>
      <w:r>
        <w:rPr>
          <w:rStyle w:val="FootnoteReference"/>
        </w:rPr>
        <w:footnoteRef/>
      </w:r>
      <w:r>
        <w:t xml:space="preserve"> See Annex 22 for a visual summary.</w:t>
      </w:r>
    </w:p>
  </w:footnote>
  <w:footnote w:id="89">
    <w:p w14:paraId="58084F98" w14:textId="607172A1" w:rsidR="00FF2998" w:rsidRPr="00201C7E" w:rsidRDefault="00FF2998" w:rsidP="00045F48">
      <w:pPr>
        <w:pStyle w:val="Itadfootnotestyle"/>
      </w:pPr>
      <w:r w:rsidRPr="00201C7E">
        <w:rPr>
          <w:rStyle w:val="FootnoteReference"/>
        </w:rPr>
        <w:footnoteRef/>
      </w:r>
      <w:r w:rsidRPr="00201C7E">
        <w:t xml:space="preserve"> This is the case for the first wave of AMR </w:t>
      </w:r>
      <w:r w:rsidRPr="002D738D">
        <w:t>NAPs.</w:t>
      </w:r>
      <w:r w:rsidRPr="002D738D" w:rsidDel="007D2E99">
        <w:t xml:space="preserve"> </w:t>
      </w:r>
      <w:r w:rsidRPr="002D738D">
        <w:t xml:space="preserve">There is </w:t>
      </w:r>
      <w:r w:rsidRPr="0087074D">
        <w:t>some evidence</w:t>
      </w:r>
      <w:r w:rsidRPr="002D738D">
        <w:t xml:space="preserve"> of the</w:t>
      </w:r>
      <w:r>
        <w:t xml:space="preserve"> </w:t>
      </w:r>
      <w:r w:rsidRPr="00115A7D">
        <w:t xml:space="preserve">Fleming </w:t>
      </w:r>
      <w:r>
        <w:t>Fund</w:t>
      </w:r>
      <w:r w:rsidR="00AA6A7B">
        <w:t>’</w:t>
      </w:r>
      <w:r>
        <w:t>s</w:t>
      </w:r>
      <w:r w:rsidRPr="00201C7E">
        <w:t xml:space="preserve"> contribution to more recent AMR NAP documents.</w:t>
      </w:r>
    </w:p>
  </w:footnote>
  <w:footnote w:id="90">
    <w:p w14:paraId="51E2618B" w14:textId="704C9096" w:rsidR="00FF2998" w:rsidRPr="00201C7E" w:rsidRDefault="00FF2998" w:rsidP="00045F48">
      <w:pPr>
        <w:pStyle w:val="Itadfootnotestyle"/>
      </w:pPr>
      <w:r w:rsidRPr="00201C7E">
        <w:rPr>
          <w:rStyle w:val="FootnoteReference"/>
        </w:rPr>
        <w:footnoteRef/>
      </w:r>
      <w:r w:rsidRPr="00201C7E">
        <w:t xml:space="preserve"> For example, the Fleming Fund supports 100% of surveillance sites in Timor</w:t>
      </w:r>
      <w:r w:rsidR="00045F48">
        <w:t>-</w:t>
      </w:r>
      <w:r w:rsidRPr="00201C7E">
        <w:t>Leste but 38% in Nigeria.</w:t>
      </w:r>
    </w:p>
  </w:footnote>
  <w:footnote w:id="91">
    <w:p w14:paraId="74C4FDD7" w14:textId="79453393" w:rsidR="00FF2998" w:rsidRPr="00D04EB7" w:rsidRDefault="00FF2998" w:rsidP="00512F37">
      <w:pPr>
        <w:pStyle w:val="Itadfootnotestyle"/>
      </w:pPr>
      <w:r>
        <w:rPr>
          <w:rStyle w:val="FootnoteReference"/>
        </w:rPr>
        <w:footnoteRef/>
      </w:r>
      <w:r>
        <w:t xml:space="preserve"> This is the </w:t>
      </w:r>
      <w:r w:rsidRPr="0035746B">
        <w:t xml:space="preserve">emphasis within </w:t>
      </w:r>
      <w:r w:rsidRPr="00AD3165">
        <w:t>Fleming Fund</w:t>
      </w:r>
      <w:r w:rsidR="00AA6A7B">
        <w:t>’</w:t>
      </w:r>
      <w:r w:rsidRPr="0035746B">
        <w:t xml:space="preserve">s own monitoring frameworks for </w:t>
      </w:r>
      <w:r w:rsidR="00222C91">
        <w:t>phase 1</w:t>
      </w:r>
      <w:r>
        <w:t xml:space="preserve">. </w:t>
      </w:r>
      <w:r w:rsidRPr="610BEF4D">
        <w:t xml:space="preserve">Notably MA quarterly matrix indicators: </w:t>
      </w:r>
      <w:r w:rsidR="00AA6A7B">
        <w:t>‘</w:t>
      </w:r>
      <w:r w:rsidRPr="610BEF4D">
        <w:t>Number of countries where the national body in charge of the country AMR strategy receives AMR data report(s) generated by … surveillance sites at least once a year</w:t>
      </w:r>
      <w:r w:rsidR="00AA6A7B">
        <w:t>’</w:t>
      </w:r>
      <w:r w:rsidRPr="610BEF4D">
        <w:t xml:space="preserve"> – </w:t>
      </w:r>
      <w:r>
        <w:t>HH</w:t>
      </w:r>
      <w:r w:rsidRPr="610BEF4D">
        <w:t xml:space="preserve"> (5.2)/</w:t>
      </w:r>
      <w:r>
        <w:t>AH</w:t>
      </w:r>
      <w:r w:rsidRPr="610BEF4D">
        <w:t xml:space="preserve"> (5.3)</w:t>
      </w:r>
      <w:r>
        <w:t>.</w:t>
      </w:r>
    </w:p>
  </w:footnote>
  <w:footnote w:id="92">
    <w:p w14:paraId="444B13F8" w14:textId="31BE328E" w:rsidR="00FF2998" w:rsidRPr="00551F0C" w:rsidRDefault="00FF2998" w:rsidP="00512F37">
      <w:pPr>
        <w:pStyle w:val="Itadfootnotestyle"/>
      </w:pPr>
      <w:r>
        <w:rPr>
          <w:rStyle w:val="FootnoteReference"/>
        </w:rPr>
        <w:footnoteRef/>
      </w:r>
      <w:r>
        <w:t xml:space="preserve"> </w:t>
      </w:r>
      <w:r w:rsidRPr="610BEF4D">
        <w:t xml:space="preserve">For example, in TrACSS: </w:t>
      </w:r>
      <w:r w:rsidR="00AA6A7B">
        <w:t>‘</w:t>
      </w:r>
      <w:r w:rsidRPr="610BEF4D">
        <w:t>Country using relevant AMC/U and/or AMR data to amend national strategy and/or inform decision making</w:t>
      </w:r>
      <w:r w:rsidR="00AA6A7B">
        <w:t>’</w:t>
      </w:r>
      <w:r w:rsidRPr="610BEF4D">
        <w:t xml:space="preserve"> (7.6)</w:t>
      </w:r>
      <w:r>
        <w:t>.</w:t>
      </w:r>
    </w:p>
  </w:footnote>
  <w:footnote w:id="93">
    <w:p w14:paraId="0F49FC78" w14:textId="77777777" w:rsidR="00FF2998" w:rsidRDefault="00FF2998" w:rsidP="00512F37">
      <w:pPr>
        <w:pStyle w:val="Itadfootnotestyle"/>
      </w:pPr>
      <w:r>
        <w:rPr>
          <w:rStyle w:val="FootnoteReference"/>
        </w:rPr>
        <w:footnoteRef/>
      </w:r>
      <w:r>
        <w:t xml:space="preserve"> </w:t>
      </w:r>
      <w:r w:rsidRPr="0035746B">
        <w:t xml:space="preserve">including data sharing with AMRCC, equivalent </w:t>
      </w:r>
      <w:r>
        <w:t>One Health</w:t>
      </w:r>
      <w:r w:rsidRPr="0035746B">
        <w:t xml:space="preserve"> committees in the context of wider national governance structures, any relevant national actions on AMR in terms of policy or regulation, plus decision-making processes relevant to transforming information into action.</w:t>
      </w:r>
    </w:p>
  </w:footnote>
  <w:footnote w:id="94">
    <w:p w14:paraId="2467463C" w14:textId="77777777" w:rsidR="00FF2998" w:rsidRDefault="00FF2998" w:rsidP="00512F37">
      <w:pPr>
        <w:pStyle w:val="Itadfootnotestyle"/>
      </w:pPr>
      <w:r>
        <w:rPr>
          <w:rStyle w:val="FootnoteReference"/>
        </w:rPr>
        <w:footnoteRef/>
      </w:r>
      <w:r>
        <w:t xml:space="preserve"> </w:t>
      </w:r>
      <w:r w:rsidRPr="0035746B">
        <w:t xml:space="preserve">considered exclusively in terms of data sharing with GLASS and WOAH, with related action and </w:t>
      </w:r>
      <w:r w:rsidRPr="0035746B" w:rsidDel="00C8382F">
        <w:t>decision</w:t>
      </w:r>
      <w:r>
        <w:t xml:space="preserve"> making</w:t>
      </w:r>
      <w:r w:rsidRPr="0035746B">
        <w:t xml:space="preserve"> not included in the scope of this report.</w:t>
      </w:r>
    </w:p>
  </w:footnote>
  <w:footnote w:id="95">
    <w:p w14:paraId="28FE3FF1" w14:textId="4963485E" w:rsidR="00FF2998" w:rsidRDefault="00FF2998" w:rsidP="00512F37">
      <w:pPr>
        <w:pStyle w:val="Itadfootnotestyle"/>
      </w:pPr>
      <w:r>
        <w:rPr>
          <w:rStyle w:val="FootnoteReference"/>
        </w:rPr>
        <w:footnoteRef/>
      </w:r>
      <w:r>
        <w:t xml:space="preserve"> </w:t>
      </w:r>
      <w:r w:rsidRPr="0035746B">
        <w:t xml:space="preserve">examples of data sharing, action and/or </w:t>
      </w:r>
      <w:r>
        <w:t>decision making</w:t>
      </w:r>
      <w:r w:rsidRPr="0035746B">
        <w:t xml:space="preserve">, including practices and attitudes, involving any local uses of data direct from </w:t>
      </w:r>
      <w:r w:rsidRPr="00AD3165">
        <w:t>Fleming Fund</w:t>
      </w:r>
      <w:r w:rsidR="00457C69">
        <w:t xml:space="preserve"> </w:t>
      </w:r>
      <w:r w:rsidRPr="0035746B">
        <w:t>supported microbiology facilities</w:t>
      </w:r>
      <w:r w:rsidRPr="610BEF4D">
        <w:t>.</w:t>
      </w:r>
    </w:p>
  </w:footnote>
  <w:footnote w:id="96">
    <w:p w14:paraId="2598212A" w14:textId="77777777" w:rsidR="00FF2998" w:rsidRPr="009876C2" w:rsidRDefault="00FF2998" w:rsidP="0042546B">
      <w:pPr>
        <w:pStyle w:val="Itadfootnotestyle"/>
      </w:pPr>
      <w:r>
        <w:rPr>
          <w:rStyle w:val="FootnoteReference"/>
        </w:rPr>
        <w:footnoteRef/>
      </w:r>
      <w:r>
        <w:t xml:space="preserve"> </w:t>
      </w:r>
      <w:r w:rsidRPr="009876C2">
        <w:t xml:space="preserve">Interagency Coordination Group on Antimicrobial Resistance. (2018). Antimicrobial resistance: national action plans. Available </w:t>
      </w:r>
      <w:r w:rsidRPr="00A366AD">
        <w:t xml:space="preserve">at: </w:t>
      </w:r>
      <w:hyperlink r:id="rId6" w:history="1">
        <w:r w:rsidRPr="00C20910">
          <w:rPr>
            <w:rStyle w:val="Hyperlink"/>
            <w:rFonts w:eastAsia="Calibri" w:cs="Calibri"/>
            <w:lang w:val=""/>
          </w:rPr>
          <w:t>https://cdn.who.int/media/docs/default-source/antimicrobial-resistance/iacg-amr-national-action-plans-110618.pdf?sfvrsn=53e4eb22_4</w:t>
        </w:r>
      </w:hyperlink>
      <w:r w:rsidRPr="610BEF4D" w:rsidDel="007D2E99">
        <w:rPr>
          <w:rFonts w:eastAsia="Calibri" w:cs="Calibri"/>
          <w:lang w:val=""/>
        </w:rPr>
        <w:t xml:space="preserve"> </w:t>
      </w:r>
    </w:p>
  </w:footnote>
  <w:footnote w:id="97">
    <w:p w14:paraId="583D205F" w14:textId="77777777" w:rsidR="00FF2998" w:rsidRPr="007D5AD1" w:rsidRDefault="00FF2998" w:rsidP="0042546B">
      <w:pPr>
        <w:pStyle w:val="Itadfootnotestyle"/>
      </w:pPr>
      <w:r>
        <w:rPr>
          <w:rStyle w:val="FootnoteReference"/>
        </w:rPr>
        <w:footnoteRef/>
      </w:r>
      <w:r>
        <w:t xml:space="preserve"> </w:t>
      </w:r>
      <w:r w:rsidRPr="009876C2">
        <w:t xml:space="preserve">Department of Health and Social Care. (2020). Fleming Fund annual review: January to December 2019. </w:t>
      </w:r>
      <w:r>
        <w:t xml:space="preserve">Available at: </w:t>
      </w:r>
      <w:hyperlink r:id="rId7" w:anchor="theory-of-change" w:history="1">
        <w:r w:rsidRPr="00C20910">
          <w:rPr>
            <w:rStyle w:val="Hyperlink"/>
            <w:rFonts w:eastAsia="Calibri" w:cs="Calibri"/>
            <w:lang w:val=""/>
          </w:rPr>
          <w:t>https://www.gov.uk/government/publications/fleming-fund-annual-review-2019/fleming-fund-annual-review-january-to-december-2019#theory-of-change</w:t>
        </w:r>
      </w:hyperlink>
    </w:p>
  </w:footnote>
  <w:footnote w:id="98">
    <w:p w14:paraId="3C0FCDBB" w14:textId="00DC215C" w:rsidR="00FF2998" w:rsidRPr="00585044" w:rsidRDefault="00FF2998" w:rsidP="0042546B">
      <w:pPr>
        <w:pStyle w:val="Itadfootnotestyle"/>
      </w:pPr>
      <w:r w:rsidRPr="00585044">
        <w:rPr>
          <w:rStyle w:val="FootnoteReference"/>
        </w:rPr>
        <w:footnoteRef/>
      </w:r>
      <w:r w:rsidRPr="000302CD">
        <w:t xml:space="preserve">Global Antimicrobial Resistance and Use Surveillance System (GLASS): GLASS provides a standardized approach to the collection, analysis, interpretation and sharing of data by countries and seeks to actively support capacity building and monitor the status of existing and new national surveillance systems </w:t>
      </w:r>
      <w:hyperlink r:id="rId8">
        <w:r w:rsidRPr="000302CD">
          <w:rPr>
            <w:rStyle w:val="Hyperlink"/>
          </w:rPr>
          <w:t>https://www.who.int/initiatives/glass</w:t>
        </w:r>
      </w:hyperlink>
      <w:r>
        <w:t xml:space="preserve">. </w:t>
      </w:r>
      <w:r w:rsidRPr="610BEF4D">
        <w:rPr>
          <w:rFonts w:eastAsia="Calibri" w:cs="Calibri"/>
          <w:lang w:val=""/>
        </w:rPr>
        <w:t xml:space="preserve">Note that the data reported to GLASS lags by two years: the 2018 GLASS report shows 2016 country data. </w:t>
      </w:r>
      <w:r w:rsidRPr="610BEF4D">
        <w:rPr>
          <w:rFonts w:eastAsia="Calibri" w:cs="Calibri"/>
        </w:rPr>
        <w:t>2018 reporting is an indicator of country participation in relevant international processes, rather than the availability of data, at that time.</w:t>
      </w:r>
    </w:p>
  </w:footnote>
  <w:footnote w:id="99">
    <w:p w14:paraId="45544404" w14:textId="77777777" w:rsidR="00FF2998" w:rsidRPr="00D359A1" w:rsidRDefault="00FF2998" w:rsidP="00FF2998">
      <w:pPr>
        <w:pStyle w:val="FootnoteText"/>
      </w:pPr>
      <w:r>
        <w:rPr>
          <w:rStyle w:val="FootnoteReference"/>
        </w:rPr>
        <w:footnoteRef/>
      </w:r>
      <w:r>
        <w:t xml:space="preserve"> </w:t>
      </w:r>
      <w:r w:rsidRPr="00AB0293">
        <w:t>Worl</w:t>
      </w:r>
      <w:r>
        <w:t>d Organisation for Animal Health (WOAH, formerly OIE).</w:t>
      </w:r>
      <w:r w:rsidRPr="00AB0293">
        <w:t xml:space="preserve"> </w:t>
      </w:r>
      <w:hyperlink r:id="rId9" w:history="1">
        <w:r w:rsidRPr="00E94085">
          <w:rPr>
            <w:rStyle w:val="Hyperlink"/>
          </w:rPr>
          <w:t>https://www.woah.org/en/what-we-do/global-initiatives/antimicrobial-resistance/</w:t>
        </w:r>
      </w:hyperlink>
    </w:p>
  </w:footnote>
  <w:footnote w:id="100">
    <w:p w14:paraId="4CC2396D" w14:textId="77777777" w:rsidR="00FF2998" w:rsidRDefault="00FF2998" w:rsidP="0042546B">
      <w:pPr>
        <w:pStyle w:val="Itadfootnotestyle"/>
      </w:pPr>
      <w:r>
        <w:rPr>
          <w:rStyle w:val="FootnoteReference"/>
        </w:rPr>
        <w:footnoteRef/>
      </w:r>
      <w:r>
        <w:t xml:space="preserve"> As of November 2022, none of the Fleming Fund countries were making their data publicly available.</w:t>
      </w:r>
    </w:p>
  </w:footnote>
  <w:footnote w:id="101">
    <w:p w14:paraId="099F6923" w14:textId="77777777" w:rsidR="00FF2998" w:rsidRPr="0071756C" w:rsidRDefault="00FF2998" w:rsidP="0042546B">
      <w:pPr>
        <w:pStyle w:val="Itadfootnotestyle"/>
      </w:pPr>
      <w:r>
        <w:rPr>
          <w:rStyle w:val="FootnoteReference"/>
        </w:rPr>
        <w:footnoteRef/>
      </w:r>
      <w:r>
        <w:t xml:space="preserve"> </w:t>
      </w:r>
      <w:r w:rsidRPr="00CC740A">
        <w:t xml:space="preserve">When reporting to </w:t>
      </w:r>
      <w:r w:rsidRPr="00CC740A" w:rsidDel="0071756C">
        <w:rPr>
          <w:rFonts w:eastAsia="Calibri"/>
        </w:rPr>
        <w:t>WOAH</w:t>
      </w:r>
      <w:r w:rsidRPr="00CC740A">
        <w:rPr>
          <w:rFonts w:eastAsia="Calibri"/>
        </w:rPr>
        <w:t xml:space="preserve">, countries can choose from three reporting options: </w:t>
      </w:r>
      <w:r w:rsidRPr="0071756C">
        <w:t xml:space="preserve">Reporting Option 1: allows countries to distinguish </w:t>
      </w:r>
      <w:r w:rsidRPr="0071756C">
        <w:rPr>
          <w:b/>
          <w:bCs/>
        </w:rPr>
        <w:t>quantities of antimicrobial agents by type of use</w:t>
      </w:r>
      <w:r w:rsidRPr="0071756C">
        <w:t xml:space="preserve"> (therapeutic or growth promotion); </w:t>
      </w:r>
    </w:p>
    <w:p w14:paraId="43912760" w14:textId="7907C91E" w:rsidR="00FF2998" w:rsidRPr="00BE6C48" w:rsidRDefault="00FF2998" w:rsidP="0042546B">
      <w:pPr>
        <w:pStyle w:val="Itadfootnotestyle"/>
      </w:pPr>
      <w:r w:rsidRPr="0071756C">
        <w:t xml:space="preserve">Reporting Option 2: allows countries to distinguish quantities of antimicrobial agents by </w:t>
      </w:r>
      <w:r w:rsidRPr="0071756C">
        <w:rPr>
          <w:b/>
          <w:bCs/>
        </w:rPr>
        <w:t>type of use and animal groups</w:t>
      </w:r>
      <w:r w:rsidRPr="0071756C">
        <w:t xml:space="preserve"> (food-producing terrestrial and aquatic species and companion animals); Reporting Option 3: allows countries to distinguish quantities of antimicrobial agents by </w:t>
      </w:r>
      <w:r w:rsidRPr="0071756C">
        <w:rPr>
          <w:b/>
          <w:bCs/>
        </w:rPr>
        <w:t>type of use and routes of administration</w:t>
      </w:r>
      <w:r w:rsidRPr="0071756C">
        <w:t xml:space="preserve"> (distinguishing by group of animals is optional)</w:t>
      </w:r>
      <w:r w:rsidR="00DC1D8D">
        <w:rPr>
          <w:sz w:val="14"/>
          <w:szCs w:val="14"/>
        </w:rPr>
        <w:t xml:space="preserve"> </w:t>
      </w:r>
    </w:p>
  </w:footnote>
  <w:footnote w:id="102">
    <w:p w14:paraId="32A0688A" w14:textId="77777777" w:rsidR="00FF2998" w:rsidRPr="00585044" w:rsidRDefault="00FF2998" w:rsidP="0042546B">
      <w:pPr>
        <w:pStyle w:val="Itadfootnotestyle"/>
      </w:pPr>
      <w:r w:rsidRPr="00585044">
        <w:rPr>
          <w:rStyle w:val="FootnoteReference"/>
        </w:rPr>
        <w:footnoteRef/>
      </w:r>
      <w:r w:rsidRPr="00585044">
        <w:t xml:space="preserve"> </w:t>
      </w:r>
      <w:r w:rsidRPr="610BEF4D">
        <w:t xml:space="preserve">For example, </w:t>
      </w:r>
      <w:r>
        <w:t xml:space="preserve">the </w:t>
      </w:r>
      <w:r w:rsidRPr="610BEF4D">
        <w:t xml:space="preserve">MA suggested a potential indicator at this level at </w:t>
      </w:r>
      <w:r>
        <w:t xml:space="preserve">the </w:t>
      </w:r>
      <w:r w:rsidRPr="610BEF4D">
        <w:t>proposal stage (see Implementation Plan).</w:t>
      </w:r>
    </w:p>
  </w:footnote>
  <w:footnote w:id="103">
    <w:p w14:paraId="4ED747BB" w14:textId="415D3F91" w:rsidR="00FF2998" w:rsidRPr="00585044" w:rsidRDefault="00FF2998" w:rsidP="0042546B">
      <w:pPr>
        <w:pStyle w:val="Itadfootnotestyle"/>
      </w:pPr>
      <w:r w:rsidRPr="005B3B51">
        <w:rPr>
          <w:vertAlign w:val="superscript"/>
        </w:rPr>
        <w:footnoteRef/>
      </w:r>
      <w:r w:rsidRPr="00585044">
        <w:t xml:space="preserve"> Forecasted Results from Implementation Plan</w:t>
      </w:r>
      <w:r w:rsidR="00B30736">
        <w:t xml:space="preserve"> – </w:t>
      </w:r>
      <w:r w:rsidR="00AA6A7B">
        <w:t>‘</w:t>
      </w:r>
      <w:r w:rsidRPr="00585044">
        <w:t>Primary data generated and used for policy and improving guidelines</w:t>
      </w:r>
      <w:r w:rsidR="00AA6A7B">
        <w:t>’</w:t>
      </w:r>
      <w:r w:rsidRPr="00585044">
        <w:t xml:space="preserve"> in 3 countries after 12 months; 8 countries after 24 months; 16 countries after 36 months; 18 countries after 48 months. Also Matrix Indicators from Monitoring Data Report Q2 2022 (June 2022): Number of countries where the national body in charge of the country AMR strategy receives AMR data report(s) generated by </w:t>
      </w:r>
      <w:r>
        <w:t>HH</w:t>
      </w:r>
      <w:r w:rsidRPr="00585044">
        <w:t xml:space="preserve"> surveillance sites at least once a year – 12 reported against milestone 18; Number of countries where the national body in charge of the country AMR strategy receives AMR data report(s) generated by </w:t>
      </w:r>
      <w:r>
        <w:t>AH</w:t>
      </w:r>
      <w:r w:rsidRPr="00585044">
        <w:t xml:space="preserve"> surveillance sites at least once a year – 13 reported against milestone 15.</w:t>
      </w:r>
    </w:p>
  </w:footnote>
  <w:footnote w:id="104">
    <w:p w14:paraId="5872AC67" w14:textId="77777777" w:rsidR="00FF2998" w:rsidRDefault="00FF2998" w:rsidP="0042546B">
      <w:pPr>
        <w:pStyle w:val="Itadfootnotestyle"/>
      </w:pPr>
      <w:r>
        <w:rPr>
          <w:rStyle w:val="FootnoteReference"/>
        </w:rPr>
        <w:footnoteRef/>
      </w:r>
      <w:r>
        <w:t xml:space="preserve"> In one of these countries, the MA subsequently provided evidence of data sharing efforts, including piloting </w:t>
      </w:r>
      <w:r w:rsidRPr="00262AA5">
        <w:t>an integrated AMR data sharing platform for AMR/AMU/C data from all the sectors</w:t>
      </w:r>
      <w:r>
        <w:t xml:space="preserve"> – suggesting some sharing is happening and with potential for substantial data sharing in future.</w:t>
      </w:r>
    </w:p>
  </w:footnote>
  <w:footnote w:id="105">
    <w:p w14:paraId="424CDD29" w14:textId="1B8350EC" w:rsidR="00FF2998" w:rsidRDefault="00FF2998" w:rsidP="00FF2998">
      <w:pPr>
        <w:pStyle w:val="FootnoteText"/>
      </w:pPr>
      <w:r>
        <w:rPr>
          <w:rStyle w:val="FootnoteReference"/>
        </w:rPr>
        <w:footnoteRef/>
      </w:r>
      <w:r>
        <w:t xml:space="preserve"> </w:t>
      </w:r>
      <w:r w:rsidRPr="0042546B">
        <w:rPr>
          <w:rStyle w:val="ItadfootnotestyleChar"/>
        </w:rPr>
        <w:t>Targets taken from MA implementation plan v2.5.</w:t>
      </w:r>
      <w:r w:rsidR="00DC1D8D" w:rsidRPr="0042546B">
        <w:rPr>
          <w:rStyle w:val="ItadfootnotestyleChar"/>
        </w:rPr>
        <w:t xml:space="preserve"> </w:t>
      </w:r>
      <w:r w:rsidRPr="0042546B">
        <w:rPr>
          <w:rStyle w:val="ItadfootnotestyleChar"/>
        </w:rPr>
        <w:t>Target was 16/24 (66%), adjusted for (16) evaluation focus countries = 11 (16 x 66%)</w:t>
      </w:r>
      <w:r w:rsidR="0042546B" w:rsidRPr="0042546B">
        <w:rPr>
          <w:rStyle w:val="ItadfootnotestyleChar"/>
        </w:rPr>
        <w:t>.</w:t>
      </w:r>
    </w:p>
  </w:footnote>
  <w:footnote w:id="106">
    <w:p w14:paraId="19CD3D65" w14:textId="0E8E0F8F" w:rsidR="00FF2998" w:rsidRDefault="00FF2998" w:rsidP="007B50AD">
      <w:pPr>
        <w:pStyle w:val="Itadfootnotestyle"/>
      </w:pPr>
      <w:r w:rsidRPr="00C177D4">
        <w:rPr>
          <w:rStyle w:val="FootnoteReference"/>
        </w:rPr>
        <w:footnoteRef/>
      </w:r>
      <w:r w:rsidRPr="00C177D4">
        <w:t xml:space="preserve"> Latest MA reports indicate, based on broader definitions, that data sharing is taking place in all Fleming Fund countries or in 13/16 countries [Q2 report 2022]. Our assessment for this report</w:t>
      </w:r>
      <w:r>
        <w:t>, which</w:t>
      </w:r>
      <w:r w:rsidRPr="00C177D4">
        <w:t xml:space="preserve"> complied with indicators as defined in the </w:t>
      </w:r>
      <w:r w:rsidR="00222C91">
        <w:t>phase 1</w:t>
      </w:r>
      <w:r w:rsidRPr="00C177D4">
        <w:t xml:space="preserve"> implementation plan</w:t>
      </w:r>
      <w:r>
        <w:t xml:space="preserve">, </w:t>
      </w:r>
      <w:r w:rsidRPr="00C177D4">
        <w:t>differed from MA</w:t>
      </w:r>
      <w:r w:rsidR="00AA6A7B">
        <w:t>’</w:t>
      </w:r>
      <w:r w:rsidRPr="00C177D4">
        <w:t xml:space="preserve">s endline assessment mainly in that it: retained the perspective of the decision-taker, or data consumer (rather than focusing on the point of view of the sender of information, or data producer); required evidence of some concrete relationship of data to AMR action in </w:t>
      </w:r>
      <w:r w:rsidR="00AA6A7B">
        <w:t>‘</w:t>
      </w:r>
      <w:r w:rsidRPr="00C177D4">
        <w:t>policymaking</w:t>
      </w:r>
      <w:r w:rsidR="00AA6A7B">
        <w:t>’</w:t>
      </w:r>
      <w:r w:rsidRPr="00C177D4">
        <w:t>; and sought actively to triangulate data gathered from multiple sources, including stakeholders not benefitting directly from Fleming Fund investments. Our summary findings were more consistent with reports from other sources on this subject, including country self-reporting. We note a high degree of sensitivity in relevant indicators to apparently minor changes in wording or data collection approaches.</w:t>
      </w:r>
    </w:p>
  </w:footnote>
  <w:footnote w:id="107">
    <w:p w14:paraId="65469692" w14:textId="0DDE83BE" w:rsidR="00FF2998" w:rsidRDefault="00FF2998" w:rsidP="00FF2998">
      <w:pPr>
        <w:pStyle w:val="Itadfootnotestyle"/>
      </w:pPr>
      <w:r>
        <w:rPr>
          <w:rStyle w:val="FootnoteReference"/>
        </w:rPr>
        <w:footnoteRef/>
      </w:r>
      <w:r>
        <w:t xml:space="preserve"> Reflecting 2020 data collected in 2021.</w:t>
      </w:r>
      <w:r w:rsidR="00CE51C2">
        <w:t xml:space="preserve"> See Annex 8.1, table </w:t>
      </w:r>
      <w:r w:rsidR="00277BB3">
        <w:t>28 for details.</w:t>
      </w:r>
    </w:p>
  </w:footnote>
  <w:footnote w:id="108">
    <w:p w14:paraId="2B974A22" w14:textId="59D296EB" w:rsidR="00FF2998" w:rsidRPr="00802DEC" w:rsidRDefault="00FF2998" w:rsidP="00D97FFA">
      <w:pPr>
        <w:pStyle w:val="Itadfootnotestyle"/>
      </w:pPr>
      <w:r>
        <w:rPr>
          <w:rStyle w:val="FootnoteReference"/>
        </w:rPr>
        <w:footnoteRef/>
      </w:r>
      <w:r>
        <w:t xml:space="preserve"> </w:t>
      </w:r>
      <w:r w:rsidRPr="006E2EB5">
        <w:t>Pathogens currently included in GLASS-AMR are:</w:t>
      </w:r>
      <w:r w:rsidR="005450AC">
        <w:t xml:space="preserve"> </w:t>
      </w:r>
      <w:r w:rsidRPr="006E2EB5">
        <w:rPr>
          <w:i/>
          <w:iCs/>
        </w:rPr>
        <w:t>Acinetobacter</w:t>
      </w:r>
      <w:r w:rsidR="005450AC">
        <w:rPr>
          <w:i/>
          <w:iCs/>
        </w:rPr>
        <w:t xml:space="preserve"> </w:t>
      </w:r>
      <w:r w:rsidRPr="006E2EB5">
        <w:t>spp.,</w:t>
      </w:r>
      <w:r w:rsidR="005450AC">
        <w:t xml:space="preserve"> </w:t>
      </w:r>
      <w:r w:rsidRPr="006E2EB5">
        <w:rPr>
          <w:i/>
          <w:iCs/>
        </w:rPr>
        <w:t>E. coli</w:t>
      </w:r>
      <w:r w:rsidRPr="006E2EB5">
        <w:t>,</w:t>
      </w:r>
      <w:r w:rsidR="005450AC">
        <w:t xml:space="preserve"> </w:t>
      </w:r>
      <w:r w:rsidRPr="006E2EB5">
        <w:rPr>
          <w:i/>
          <w:iCs/>
        </w:rPr>
        <w:t>Klebsiella pneumoniae</w:t>
      </w:r>
      <w:r w:rsidRPr="006E2EB5">
        <w:t>,</w:t>
      </w:r>
      <w:r w:rsidR="005450AC">
        <w:t xml:space="preserve"> </w:t>
      </w:r>
      <w:r w:rsidRPr="006E2EB5">
        <w:rPr>
          <w:i/>
          <w:iCs/>
        </w:rPr>
        <w:t>Neisseria gonorrhoeae</w:t>
      </w:r>
      <w:r w:rsidRPr="006E2EB5">
        <w:t>,</w:t>
      </w:r>
      <w:r w:rsidR="005450AC">
        <w:t xml:space="preserve"> </w:t>
      </w:r>
      <w:r w:rsidRPr="006E2EB5">
        <w:rPr>
          <w:i/>
          <w:iCs/>
        </w:rPr>
        <w:t>Salmonella</w:t>
      </w:r>
      <w:r w:rsidR="005450AC">
        <w:t xml:space="preserve"> </w:t>
      </w:r>
      <w:r w:rsidRPr="006E2EB5">
        <w:t>spp.,</w:t>
      </w:r>
      <w:r w:rsidR="005450AC">
        <w:t xml:space="preserve"> </w:t>
      </w:r>
      <w:r w:rsidRPr="006E2EB5">
        <w:rPr>
          <w:i/>
          <w:iCs/>
        </w:rPr>
        <w:t>Shigella</w:t>
      </w:r>
      <w:r w:rsidR="005450AC">
        <w:t xml:space="preserve"> </w:t>
      </w:r>
      <w:r w:rsidRPr="006E2EB5">
        <w:t>spp.,</w:t>
      </w:r>
      <w:r w:rsidR="005450AC">
        <w:t xml:space="preserve"> </w:t>
      </w:r>
      <w:r w:rsidRPr="006E2EB5">
        <w:rPr>
          <w:i/>
          <w:iCs/>
        </w:rPr>
        <w:t>Staphylococcus aureus</w:t>
      </w:r>
      <w:r w:rsidRPr="006E2EB5">
        <w:t>, and</w:t>
      </w:r>
      <w:r w:rsidR="005450AC">
        <w:t xml:space="preserve"> </w:t>
      </w:r>
      <w:r w:rsidRPr="006E2EB5">
        <w:rPr>
          <w:i/>
          <w:iCs/>
        </w:rPr>
        <w:t>Streptococcus pneumoniae</w:t>
      </w:r>
      <w:r w:rsidRPr="006E2EB5">
        <w:t>.</w:t>
      </w:r>
      <w:r>
        <w:t xml:space="preserve"> </w:t>
      </w:r>
      <w:hyperlink r:id="rId10" w:history="1">
        <w:r w:rsidRPr="00E94085">
          <w:rPr>
            <w:rStyle w:val="Hyperlink"/>
          </w:rPr>
          <w:t>https://www.who.int/initiatives/glass/glass-routine-data-surveillance</w:t>
        </w:r>
      </w:hyperlink>
      <w:r>
        <w:t xml:space="preserve"> </w:t>
      </w:r>
    </w:p>
  </w:footnote>
  <w:footnote w:id="109">
    <w:p w14:paraId="6603C6DA" w14:textId="77777777" w:rsidR="00FF2998" w:rsidRDefault="00FF2998" w:rsidP="00FF2998">
      <w:pPr>
        <w:pStyle w:val="Itadfootnotestyle"/>
      </w:pPr>
      <w:r>
        <w:rPr>
          <w:rStyle w:val="FootnoteReference"/>
        </w:rPr>
        <w:footnoteRef/>
      </w:r>
      <w:r>
        <w:t xml:space="preserve"> W</w:t>
      </w:r>
      <w:r w:rsidRPr="00D2298E">
        <w:t>e also note that two countries reduced the number of pathogens tested</w:t>
      </w:r>
      <w:r>
        <w:t>.</w:t>
      </w:r>
    </w:p>
  </w:footnote>
  <w:footnote w:id="110">
    <w:p w14:paraId="39F0847E" w14:textId="77777777" w:rsidR="00FF2998" w:rsidRDefault="00FF2998" w:rsidP="00FF2998">
      <w:pPr>
        <w:pStyle w:val="FootnoteText"/>
      </w:pPr>
      <w:r>
        <w:rPr>
          <w:rStyle w:val="FootnoteReference"/>
        </w:rPr>
        <w:footnoteRef/>
      </w:r>
      <w:r>
        <w:t xml:space="preserve"> The implementation plan goal is 12/24, by 2022 17/23 countries were reporting to GLASS.</w:t>
      </w:r>
    </w:p>
  </w:footnote>
  <w:footnote w:id="111">
    <w:p w14:paraId="5B17B3CF" w14:textId="77777777" w:rsidR="00FF2998" w:rsidRDefault="00FF2998" w:rsidP="00D97FFA">
      <w:pPr>
        <w:pStyle w:val="Itadfootnotestyle"/>
      </w:pPr>
      <w:r>
        <w:rPr>
          <w:rStyle w:val="FootnoteReference"/>
        </w:rPr>
        <w:footnoteRef/>
      </w:r>
      <w:r>
        <w:t xml:space="preserve"> We use the 2020 report as this reports on 2018 data (our baseline year) collected during 2019.</w:t>
      </w:r>
    </w:p>
  </w:footnote>
  <w:footnote w:id="112">
    <w:p w14:paraId="73A1F589" w14:textId="77777777" w:rsidR="00FF2998" w:rsidRPr="00C00975" w:rsidRDefault="00FF2998" w:rsidP="00FF2998">
      <w:pPr>
        <w:pStyle w:val="Itadfootnotestyle"/>
        <w:rPr>
          <w:lang w:val=""/>
        </w:rPr>
      </w:pPr>
      <w:r w:rsidRPr="008A5F96">
        <w:rPr>
          <w:rStyle w:val="FootnoteReference"/>
        </w:rPr>
        <w:footnoteRef/>
      </w:r>
      <w:r w:rsidRPr="008A5F96">
        <w:t xml:space="preserve"> </w:t>
      </w:r>
      <w:r w:rsidRPr="008A5F96">
        <w:rPr>
          <w:lang w:val=""/>
        </w:rPr>
        <w:t>Note that this differs slightly from the data presented in Vol. II, Annex 8 because it comes directly from WOAH and our Annex 8 is from our country-level data collection. Data from WOAH is not disaggregated by country, and we were unable to obtain relevant data in four of our focus countries.</w:t>
      </w:r>
    </w:p>
  </w:footnote>
  <w:footnote w:id="113">
    <w:p w14:paraId="0A96ACF0" w14:textId="42DC568B" w:rsidR="00FF2998" w:rsidRPr="00533F55" w:rsidRDefault="00FF2998" w:rsidP="009A6948">
      <w:pPr>
        <w:pStyle w:val="Itadfootnotestyle"/>
      </w:pPr>
      <w:r>
        <w:rPr>
          <w:rStyle w:val="FootnoteReference"/>
        </w:rPr>
        <w:footnoteRef/>
      </w:r>
      <w:r>
        <w:t xml:space="preserve"> </w:t>
      </w:r>
      <w:r w:rsidRPr="008343D7">
        <w:t>e.g. AMR-specific technical references such as AWaRE (Access, Watch and Reserve), international AH/food frameworks and regional trade standards as well as the AMR GAP framework more generally.</w:t>
      </w:r>
    </w:p>
  </w:footnote>
  <w:footnote w:id="114">
    <w:p w14:paraId="51752E9B" w14:textId="7DC803C5" w:rsidR="00FF2998" w:rsidRPr="0042597A" w:rsidRDefault="00FF2998" w:rsidP="009A6948">
      <w:pPr>
        <w:pStyle w:val="Itadfootnotestyle"/>
        <w:rPr>
          <w:lang w:val=""/>
        </w:rPr>
      </w:pPr>
      <w:r>
        <w:rPr>
          <w:rStyle w:val="FootnoteReference"/>
        </w:rPr>
        <w:footnoteRef/>
      </w:r>
      <w:r w:rsidRPr="0042597A">
        <w:rPr>
          <w:lang w:val=""/>
        </w:rPr>
        <w:t xml:space="preserve"> </w:t>
      </w:r>
      <w:r>
        <w:rPr>
          <w:lang w:val=""/>
        </w:rPr>
        <w:t>So that the MA could prioritise implementation of surveillance-focused activties</w:t>
      </w:r>
      <w:r w:rsidR="009A6948">
        <w:rPr>
          <w:lang w:val=""/>
        </w:rPr>
        <w:t>.</w:t>
      </w:r>
    </w:p>
  </w:footnote>
  <w:footnote w:id="115">
    <w:p w14:paraId="1789CBB9" w14:textId="435D9D44" w:rsidR="00FF2998" w:rsidRPr="008A5F96" w:rsidRDefault="00FF2998" w:rsidP="00627B0D">
      <w:pPr>
        <w:pStyle w:val="Itadfootnotestyle"/>
        <w:rPr>
          <w:lang w:val=""/>
        </w:rPr>
      </w:pPr>
      <w:r>
        <w:rPr>
          <w:rStyle w:val="FootnoteReference"/>
        </w:rPr>
        <w:footnoteRef/>
      </w:r>
      <w:r w:rsidRPr="00FE1E8E">
        <w:rPr>
          <w:lang w:val=""/>
        </w:rPr>
        <w:t xml:space="preserve"> </w:t>
      </w:r>
      <w:r w:rsidR="00891AED" w:rsidRPr="004C5B3C">
        <w:rPr>
          <w:rStyle w:val="cf01"/>
          <w:rFonts w:asciiTheme="minorHAnsi" w:hAnsiTheme="minorHAnsi" w:cstheme="minorHAnsi"/>
          <w:sz w:val="16"/>
          <w:szCs w:val="16"/>
        </w:rPr>
        <w:t xml:space="preserve">See </w:t>
      </w:r>
      <w:r w:rsidR="00891AED" w:rsidRPr="00533AB5">
        <w:rPr>
          <w:rStyle w:val="cf01"/>
          <w:rFonts w:asciiTheme="minorHAnsi" w:hAnsiTheme="minorHAnsi" w:cstheme="minorHAnsi"/>
          <w:sz w:val="16"/>
          <w:szCs w:val="16"/>
        </w:rPr>
        <w:t xml:space="preserve">Box </w:t>
      </w:r>
      <w:r w:rsidR="00E45DB8" w:rsidRPr="00533AB5">
        <w:rPr>
          <w:rStyle w:val="cf01"/>
          <w:rFonts w:asciiTheme="minorHAnsi" w:hAnsiTheme="minorHAnsi" w:cstheme="minorHAnsi"/>
          <w:sz w:val="16"/>
          <w:szCs w:val="16"/>
        </w:rPr>
        <w:t>4</w:t>
      </w:r>
      <w:r w:rsidR="00891AED" w:rsidRPr="00533AB5">
        <w:rPr>
          <w:rStyle w:val="cf01"/>
          <w:rFonts w:asciiTheme="minorHAnsi" w:hAnsiTheme="minorHAnsi" w:cstheme="minorHAnsi"/>
          <w:sz w:val="16"/>
          <w:szCs w:val="16"/>
        </w:rPr>
        <w:t xml:space="preserve"> in Annex </w:t>
      </w:r>
      <w:r w:rsidR="00E45DB8" w:rsidRPr="00533AB5">
        <w:rPr>
          <w:rStyle w:val="cf01"/>
          <w:rFonts w:asciiTheme="minorHAnsi" w:hAnsiTheme="minorHAnsi" w:cstheme="minorHAnsi"/>
          <w:sz w:val="16"/>
          <w:szCs w:val="16"/>
        </w:rPr>
        <w:t>9.2</w:t>
      </w:r>
      <w:r w:rsidR="00891AED" w:rsidRPr="00533AB5">
        <w:rPr>
          <w:rStyle w:val="cf01"/>
          <w:rFonts w:asciiTheme="minorHAnsi" w:hAnsiTheme="minorHAnsi" w:cstheme="minorHAnsi"/>
          <w:sz w:val="16"/>
          <w:szCs w:val="16"/>
        </w:rPr>
        <w:t xml:space="preserve"> for background</w:t>
      </w:r>
      <w:r w:rsidR="00891AED" w:rsidRPr="004C5B3C">
        <w:rPr>
          <w:rStyle w:val="cf01"/>
          <w:rFonts w:asciiTheme="minorHAnsi" w:hAnsiTheme="minorHAnsi" w:cstheme="minorHAnsi"/>
          <w:sz w:val="16"/>
          <w:szCs w:val="16"/>
        </w:rPr>
        <w:t xml:space="preserve"> on the Kingdon Multiple Streams Analysis approach on which this statement is based. It is important to address the point that Fleming Fund results at outcome level are subject to external factors outside the programme</w:t>
      </w:r>
      <w:r w:rsidR="00AA6A7B">
        <w:rPr>
          <w:rStyle w:val="cf01"/>
          <w:rFonts w:asciiTheme="minorHAnsi" w:hAnsiTheme="minorHAnsi" w:cstheme="minorHAnsi"/>
          <w:sz w:val="16"/>
          <w:szCs w:val="16"/>
        </w:rPr>
        <w:t>’</w:t>
      </w:r>
      <w:r w:rsidR="00891AED" w:rsidRPr="004C5B3C">
        <w:rPr>
          <w:rStyle w:val="cf01"/>
          <w:rFonts w:asciiTheme="minorHAnsi" w:hAnsiTheme="minorHAnsi" w:cstheme="minorHAnsi"/>
          <w:sz w:val="16"/>
          <w:szCs w:val="16"/>
        </w:rPr>
        <w:t>s control including national policy agenda dynamics. Policy agenda dynamics should not be subjected to rational assumptions.</w:t>
      </w:r>
      <w:r w:rsidR="00B30736">
        <w:rPr>
          <w:lang w:val=""/>
        </w:rPr>
        <w:t xml:space="preserve"> </w:t>
      </w:r>
    </w:p>
  </w:footnote>
  <w:footnote w:id="116">
    <w:p w14:paraId="1C60729A" w14:textId="03DB3C5C" w:rsidR="00FF2998" w:rsidRDefault="00FF2998" w:rsidP="00627B0D">
      <w:pPr>
        <w:pStyle w:val="Itadfootnotestyle"/>
      </w:pPr>
      <w:r>
        <w:rPr>
          <w:rStyle w:val="FootnoteReference"/>
        </w:rPr>
        <w:footnoteRef/>
      </w:r>
      <w:r>
        <w:t xml:space="preserve"> </w:t>
      </w:r>
      <w:r w:rsidR="00627B0D">
        <w:rPr>
          <w:rFonts w:eastAsia="Yu Mincho"/>
        </w:rPr>
        <w:t>D</w:t>
      </w:r>
      <w:r w:rsidRPr="008343D7">
        <w:rPr>
          <w:rFonts w:eastAsia="Yu Mincho"/>
        </w:rPr>
        <w:t>efined as increased availability of data in sufficient quantity/quality to share</w:t>
      </w:r>
      <w:r w:rsidR="002F6B60">
        <w:rPr>
          <w:rFonts w:eastAsia="Yu Mincho"/>
        </w:rPr>
        <w:t>.</w:t>
      </w:r>
    </w:p>
  </w:footnote>
  <w:footnote w:id="117">
    <w:p w14:paraId="3B194C79" w14:textId="0CA749CD" w:rsidR="00FF2998" w:rsidRDefault="00FF2998" w:rsidP="00627B0D">
      <w:pPr>
        <w:pStyle w:val="Itadfootnotestyle"/>
      </w:pPr>
      <w:r>
        <w:rPr>
          <w:rStyle w:val="FootnoteReference"/>
        </w:rPr>
        <w:footnoteRef/>
      </w:r>
      <w:r>
        <w:t xml:space="preserve"> </w:t>
      </w:r>
      <w:r w:rsidR="00627B0D">
        <w:rPr>
          <w:rFonts w:eastAsia="Yu Mincho"/>
        </w:rPr>
        <w:t>D</w:t>
      </w:r>
      <w:r w:rsidRPr="008343D7">
        <w:rPr>
          <w:rFonts w:eastAsia="Yu Mincho"/>
        </w:rPr>
        <w:t>efined as adequate data sharing processes and systems</w:t>
      </w:r>
      <w:r w:rsidR="00627B0D">
        <w:rPr>
          <w:rFonts w:eastAsia="Yu Mincho"/>
        </w:rPr>
        <w:t>.</w:t>
      </w:r>
    </w:p>
  </w:footnote>
  <w:footnote w:id="118">
    <w:p w14:paraId="7A176910" w14:textId="77777777" w:rsidR="00B30736" w:rsidRPr="007B1214" w:rsidRDefault="00B30736" w:rsidP="00D97FFA">
      <w:pPr>
        <w:pStyle w:val="Itadfootnotestyle"/>
      </w:pPr>
      <w:r w:rsidRPr="00D653A9">
        <w:rPr>
          <w:rStyle w:val="FootnoteReference"/>
        </w:rPr>
        <w:footnoteRef/>
      </w:r>
      <w:r w:rsidRPr="007B1214">
        <w:t xml:space="preserve"> See Annex 22 for a visual summary</w:t>
      </w:r>
      <w:r w:rsidRPr="00D653A9">
        <w:t>.</w:t>
      </w:r>
      <w:r w:rsidRPr="007B1214">
        <w:t xml:space="preserve"> </w:t>
      </w:r>
    </w:p>
  </w:footnote>
  <w:footnote w:id="119">
    <w:p w14:paraId="5459BB05" w14:textId="167B514D" w:rsidR="006D0244" w:rsidRDefault="006D0244" w:rsidP="00627B0D">
      <w:pPr>
        <w:pStyle w:val="Itadfootnotestyle"/>
      </w:pPr>
      <w:r>
        <w:rPr>
          <w:rStyle w:val="FootnoteReference"/>
        </w:rPr>
        <w:footnoteRef/>
      </w:r>
      <w:r>
        <w:t xml:space="preserve"> </w:t>
      </w:r>
      <w:r w:rsidRPr="006D0244">
        <w:t>Regional Antimicrobial resistance Data Analysis for Advocacy, Response and policy</w:t>
      </w:r>
      <w:r w:rsidR="00F66506">
        <w:t>.</w:t>
      </w:r>
    </w:p>
  </w:footnote>
  <w:footnote w:id="120">
    <w:p w14:paraId="52F86933" w14:textId="5BD53756" w:rsidR="00FF2998" w:rsidRDefault="00FF2998" w:rsidP="00627B0D">
      <w:pPr>
        <w:pStyle w:val="Itadfootnotestyle"/>
      </w:pPr>
      <w:r>
        <w:rPr>
          <w:rStyle w:val="FootnoteReference"/>
        </w:rPr>
        <w:footnoteRef/>
      </w:r>
      <w:r>
        <w:t xml:space="preserve"> As noted in section 1.3, the contribution of </w:t>
      </w:r>
      <w:r w:rsidR="00F66506">
        <w:t>RGs</w:t>
      </w:r>
      <w:r>
        <w:t xml:space="preserve"> was not simple to identify at country-level.</w:t>
      </w:r>
      <w:r w:rsidR="00DC1D8D">
        <w:t xml:space="preserve"> </w:t>
      </w:r>
      <w:r>
        <w:t xml:space="preserve">This is in part due to the short (c.2-years) duration of </w:t>
      </w:r>
      <w:r w:rsidR="00F66506">
        <w:t>RGs</w:t>
      </w:r>
      <w:r>
        <w:t xml:space="preserve"> – so limited time to demonstrate progress at country-level; and to the timing of our data collection: e.g. it is clear that work undertaken through the CAPTURA and MAAP regional grants has potential for use by policymakers at country-level but final country specific reports from both grants were still being finalised which likely constrained key informants ability to refer to this work.</w:t>
      </w:r>
    </w:p>
  </w:footnote>
  <w:footnote w:id="121">
    <w:p w14:paraId="13F84A10" w14:textId="67712323" w:rsidR="009420D7" w:rsidRDefault="009420D7" w:rsidP="00627B0D">
      <w:pPr>
        <w:pStyle w:val="Itadfootnotestyle"/>
      </w:pPr>
      <w:r>
        <w:rPr>
          <w:rStyle w:val="FootnoteReference"/>
        </w:rPr>
        <w:footnoteRef/>
      </w:r>
      <w:r>
        <w:t xml:space="preserve"> </w:t>
      </w:r>
      <w:r w:rsidRPr="009420D7">
        <w:t>Overseas Development Institute</w:t>
      </w:r>
      <w:r w:rsidR="00F66506">
        <w:t>.</w:t>
      </w:r>
    </w:p>
  </w:footnote>
  <w:footnote w:id="122">
    <w:p w14:paraId="20D679EE" w14:textId="2E1BF11F" w:rsidR="009420D7" w:rsidRDefault="009420D7" w:rsidP="00627B0D">
      <w:pPr>
        <w:pStyle w:val="Itadfootnotestyle"/>
      </w:pPr>
      <w:r>
        <w:rPr>
          <w:rStyle w:val="FootnoteReference"/>
        </w:rPr>
        <w:footnoteRef/>
      </w:r>
      <w:r>
        <w:t xml:space="preserve"> </w:t>
      </w:r>
      <w:r w:rsidRPr="009420D7">
        <w:t xml:space="preserve">The Commonwealth Partnerships for antimicrobial stewardship </w:t>
      </w:r>
    </w:p>
  </w:footnote>
  <w:footnote w:id="123">
    <w:p w14:paraId="1EE8ABE9" w14:textId="77777777" w:rsidR="00FF2998" w:rsidRDefault="00FF2998" w:rsidP="00627B0D">
      <w:pPr>
        <w:pStyle w:val="Itadfootnotestyle"/>
      </w:pPr>
      <w:r>
        <w:rPr>
          <w:rStyle w:val="FootnoteReference"/>
        </w:rPr>
        <w:footnoteRef/>
      </w:r>
      <w:r>
        <w:t xml:space="preserve"> Although we recognise that not all of these investments were implemented in all countries which may provide some explanation.</w:t>
      </w:r>
    </w:p>
  </w:footnote>
  <w:footnote w:id="124">
    <w:p w14:paraId="5F17D013" w14:textId="77777777" w:rsidR="00FF2998" w:rsidRPr="00551F0C" w:rsidRDefault="00FF2998" w:rsidP="00DB6BFF">
      <w:pPr>
        <w:pStyle w:val="Itadfootnotestyle"/>
      </w:pPr>
      <w:r>
        <w:rPr>
          <w:rStyle w:val="FootnoteReference"/>
        </w:rPr>
        <w:footnoteRef/>
      </w:r>
      <w:r>
        <w:t xml:space="preserve"> </w:t>
      </w:r>
      <w:r w:rsidRPr="008343D7">
        <w:t xml:space="preserve">See, for example, the Thinking and Working Politically Community of Practice </w:t>
      </w:r>
      <w:hyperlink r:id="rId11">
        <w:r w:rsidRPr="008343D7">
          <w:rPr>
            <w:rStyle w:val="Hyperlink"/>
            <w:rFonts w:cs="Calibri"/>
          </w:rPr>
          <w:t>https://twpcommunity.org/</w:t>
        </w:r>
      </w:hyperlink>
    </w:p>
  </w:footnote>
  <w:footnote w:id="125">
    <w:p w14:paraId="2F965F37" w14:textId="28455A0B" w:rsidR="00FF2998" w:rsidRPr="008343D7" w:rsidRDefault="00FF2998" w:rsidP="00BF2272">
      <w:pPr>
        <w:pStyle w:val="Itadfootnotestyle"/>
      </w:pPr>
      <w:r w:rsidRPr="00D653A9">
        <w:rPr>
          <w:rStyle w:val="FootnoteReference"/>
        </w:rPr>
        <w:footnoteRef/>
      </w:r>
      <w:r>
        <w:t xml:space="preserve"> </w:t>
      </w:r>
      <w:r w:rsidRPr="00BF2272">
        <w:t xml:space="preserve">Meaning that the </w:t>
      </w:r>
      <w:r w:rsidR="005E75BF" w:rsidRPr="00BF2272">
        <w:t>Fleming Fund</w:t>
      </w:r>
      <w:r w:rsidRPr="00BF2272">
        <w:t xml:space="preserve"> has contributed in a vital or important way to</w:t>
      </w:r>
      <w:r w:rsidR="00530396">
        <w:t xml:space="preserve"> fewer</w:t>
      </w:r>
      <w:r w:rsidRPr="00BF2272">
        <w:t xml:space="preserve"> key drivers of change in international data sharing than compared to its contribution of key drivers for production of more and better data. This indicates that the incentives/enabling factors to report to GLASS are perhaps wider than those behind producing more and better data.</w:t>
      </w:r>
    </w:p>
  </w:footnote>
  <w:footnote w:id="126">
    <w:p w14:paraId="36CF938D" w14:textId="77777777" w:rsidR="00FF2998" w:rsidRDefault="00FF2998" w:rsidP="00FF2998">
      <w:pPr>
        <w:pStyle w:val="FootnoteText"/>
      </w:pPr>
      <w:r w:rsidRPr="00D653A9">
        <w:rPr>
          <w:rStyle w:val="FootnoteReference"/>
        </w:rPr>
        <w:footnoteRef/>
      </w:r>
      <w:r w:rsidRPr="007B1214">
        <w:t xml:space="preserve"> </w:t>
      </w:r>
      <w:r w:rsidRPr="00BF2272">
        <w:rPr>
          <w:rStyle w:val="ItadfootnotestyleChar"/>
        </w:rPr>
        <w:t>See Annex 22 for a visual summary.</w:t>
      </w:r>
      <w:r>
        <w:t xml:space="preserve"> </w:t>
      </w:r>
    </w:p>
  </w:footnote>
  <w:footnote w:id="127">
    <w:p w14:paraId="68AD229F" w14:textId="77777777" w:rsidR="00FF2998" w:rsidRDefault="00FF2998" w:rsidP="00581A39">
      <w:pPr>
        <w:pStyle w:val="Itadfootnotestyle"/>
      </w:pPr>
      <w:r>
        <w:rPr>
          <w:rStyle w:val="FootnoteReference"/>
        </w:rPr>
        <w:footnoteRef/>
      </w:r>
      <w:r>
        <w:t xml:space="preserve"> Comprising a Sustainability strategy in June 2017, and Operational Guidance in October 2018.</w:t>
      </w:r>
    </w:p>
  </w:footnote>
  <w:footnote w:id="128">
    <w:p w14:paraId="55160B59" w14:textId="5649C24B" w:rsidR="00FF2998" w:rsidRDefault="00FF2998" w:rsidP="00581A39">
      <w:pPr>
        <w:pStyle w:val="Itadfootnotestyle"/>
      </w:pPr>
      <w:r>
        <w:rPr>
          <w:rStyle w:val="FootnoteReference"/>
        </w:rPr>
        <w:footnoteRef/>
      </w:r>
      <w:r>
        <w:t xml:space="preserve"> E.g. through an update to the Sustainability Strategy in November 2019</w:t>
      </w:r>
      <w:r w:rsidR="00280FC9">
        <w:t>.</w:t>
      </w:r>
    </w:p>
  </w:footnote>
  <w:footnote w:id="129">
    <w:p w14:paraId="49BE2A27" w14:textId="2610EEF3" w:rsidR="00FF2998" w:rsidRDefault="00FF2998" w:rsidP="00581A39">
      <w:pPr>
        <w:pStyle w:val="Itadfootnotestyle"/>
      </w:pPr>
      <w:r>
        <w:rPr>
          <w:rStyle w:val="FootnoteReference"/>
        </w:rPr>
        <w:footnoteRef/>
      </w:r>
      <w:r>
        <w:t xml:space="preserve"> E.g. in CMO update slides – November 2018</w:t>
      </w:r>
      <w:r w:rsidR="00280FC9">
        <w:t>.</w:t>
      </w:r>
    </w:p>
  </w:footnote>
  <w:footnote w:id="130">
    <w:p w14:paraId="1F63E553" w14:textId="77777777" w:rsidR="00FF2998" w:rsidRPr="00BD1EB9" w:rsidRDefault="00FF2998" w:rsidP="00581A39">
      <w:pPr>
        <w:pStyle w:val="Itadfootnotestyle"/>
        <w:rPr>
          <w:rFonts w:ascii="Arial" w:hAnsi="Arial"/>
        </w:rPr>
      </w:pPr>
      <w:r>
        <w:rPr>
          <w:rStyle w:val="FootnoteReference"/>
        </w:rPr>
        <w:footnoteRef/>
      </w:r>
      <w:r>
        <w:t xml:space="preserve"> </w:t>
      </w:r>
      <w:r w:rsidRPr="00BD1EB9">
        <w:t>MA Update of Fleming Fund Grant Programme Sustainability Assessment</w:t>
      </w:r>
      <w:r>
        <w:t>, November 2019; KIIs with MA team.</w:t>
      </w:r>
    </w:p>
  </w:footnote>
  <w:footnote w:id="131">
    <w:p w14:paraId="56615BBF" w14:textId="05ADF9A8" w:rsidR="00FF2998" w:rsidRPr="00492A16" w:rsidRDefault="00FF2998" w:rsidP="00581A39">
      <w:pPr>
        <w:pStyle w:val="Itadfootnotestyle"/>
      </w:pPr>
      <w:r w:rsidRPr="00492A16">
        <w:rPr>
          <w:rStyle w:val="FootnoteReference"/>
        </w:rPr>
        <w:footnoteRef/>
      </w:r>
      <w:r w:rsidRPr="00492A16">
        <w:t xml:space="preserve"> Evidence from broader literature</w:t>
      </w:r>
      <w:r>
        <w:t xml:space="preserve">; see </w:t>
      </w:r>
      <w:r w:rsidRPr="00AB60C7">
        <w:t>https://www.flemingfund.org/publications/common-elements-of-good-practice-for-sustainability/</w:t>
      </w:r>
      <w:r w:rsidRPr="00492A16">
        <w:t xml:space="preserve">Also highlighted at </w:t>
      </w:r>
      <w:r>
        <w:t xml:space="preserve">the </w:t>
      </w:r>
      <w:r w:rsidRPr="00492A16">
        <w:t xml:space="preserve">country level – </w:t>
      </w:r>
      <w:r w:rsidR="00B30736">
        <w:t>e.g.</w:t>
      </w:r>
      <w:r w:rsidRPr="00492A16">
        <w:t xml:space="preserve"> in Uganda</w:t>
      </w:r>
      <w:r>
        <w:t>,</w:t>
      </w:r>
      <w:r w:rsidRPr="00492A16">
        <w:t xml:space="preserve"> it was noted that HIV programmes are still dependent after 30 years.</w:t>
      </w:r>
    </w:p>
  </w:footnote>
  <w:footnote w:id="132">
    <w:p w14:paraId="700989DF" w14:textId="5693FD08" w:rsidR="00FF2998" w:rsidRPr="00E54876" w:rsidRDefault="00FF2998" w:rsidP="00581A39">
      <w:pPr>
        <w:pStyle w:val="Itadfootnotestyle"/>
        <w:rPr>
          <w:rFonts w:eastAsia="Times New Roman"/>
        </w:rPr>
      </w:pPr>
      <w:r>
        <w:rPr>
          <w:rStyle w:val="FootnoteReference"/>
        </w:rPr>
        <w:footnoteRef/>
      </w:r>
      <w:r w:rsidRPr="00812094">
        <w:t xml:space="preserve"> </w:t>
      </w:r>
      <w:r w:rsidR="000D011C" w:rsidRPr="008A7912">
        <w:t>E.g.</w:t>
      </w:r>
      <w:r w:rsidRPr="008A7912">
        <w:t xml:space="preserve"> the CG2 in Pakistan was designed to </w:t>
      </w:r>
      <w:r w:rsidR="00E87E9A">
        <w:t xml:space="preserve">strengthen the strategic underpinning </w:t>
      </w:r>
      <w:r w:rsidR="0087008F">
        <w:t xml:space="preserve">(and therefore potential sustainability) of the surveillance system through </w:t>
      </w:r>
      <w:r w:rsidRPr="008A7912">
        <w:t>develop</w:t>
      </w:r>
      <w:r w:rsidR="0087008F">
        <w:t>ment of</w:t>
      </w:r>
      <w:r w:rsidRPr="008A7912">
        <w:t xml:space="preserve"> key strategic documents in AH, including Surveillance in Healthy food animals, Surveillance in Diseased food animals, </w:t>
      </w:r>
      <w:r w:rsidR="00C575CE" w:rsidRPr="00504E64">
        <w:t>Khyber Pakhtunkhwa</w:t>
      </w:r>
      <w:r w:rsidR="00C575CE" w:rsidRPr="008A7912">
        <w:t xml:space="preserve"> </w:t>
      </w:r>
      <w:r w:rsidR="00766187">
        <w:t>(</w:t>
      </w:r>
      <w:r w:rsidRPr="008A7912">
        <w:t>KP</w:t>
      </w:r>
      <w:r w:rsidR="00766187">
        <w:t>)</w:t>
      </w:r>
      <w:r w:rsidRPr="008A7912">
        <w:t xml:space="preserve"> AMR surveillance strategy, AMR in food</w:t>
      </w:r>
      <w:r w:rsidR="00E10A71">
        <w:t>,</w:t>
      </w:r>
      <w:r w:rsidRPr="008A7912">
        <w:t xml:space="preserve"> animal</w:t>
      </w:r>
      <w:r w:rsidR="00E10A71">
        <w:t>,</w:t>
      </w:r>
      <w:r w:rsidRPr="008A7912">
        <w:t xml:space="preserve"> and environment, Pakistan vet lab policy and </w:t>
      </w:r>
      <w:r w:rsidR="00E10A71">
        <w:t>guidelines</w:t>
      </w:r>
      <w:r w:rsidRPr="008A7912">
        <w:t>, Antibiotic prescription guideline in food animals, Sampling plan in aquaculture.</w:t>
      </w:r>
      <w:r w:rsidR="00DC1D8D">
        <w:t xml:space="preserve"> </w:t>
      </w:r>
      <w:r w:rsidRPr="008A7912">
        <w:t>In Uganda,</w:t>
      </w:r>
      <w:r w:rsidR="00DC1D8D">
        <w:t xml:space="preserve"> </w:t>
      </w:r>
      <w:r>
        <w:t xml:space="preserve">sustainability was pursued through e.g. </w:t>
      </w:r>
      <w:r w:rsidRPr="00E54876">
        <w:t xml:space="preserve">getting a written agreement signed by the government that the MoH would eventually absorb </w:t>
      </w:r>
      <w:r w:rsidR="005E75BF">
        <w:t>Fleming Fund</w:t>
      </w:r>
      <w:r w:rsidR="00FA1190">
        <w:t xml:space="preserve"> </w:t>
      </w:r>
      <w:r w:rsidRPr="00E54876">
        <w:t xml:space="preserve">supported lab posts (even though this has not yet happened); on supplies, the CG tried to drive </w:t>
      </w:r>
      <w:r w:rsidR="00E10A71">
        <w:t>long-term</w:t>
      </w:r>
      <w:r w:rsidRPr="00E54876">
        <w:t xml:space="preserve"> ownership by </w:t>
      </w:r>
      <w:r w:rsidR="00E10A71">
        <w:t xml:space="preserve">the </w:t>
      </w:r>
      <w:r w:rsidRPr="00E54876">
        <w:t>government, for example by supporting the 10 year National Health Supply Chain roadmap to increase local financing for microbiology services.</w:t>
      </w:r>
    </w:p>
  </w:footnote>
  <w:footnote w:id="133">
    <w:p w14:paraId="38FB27E6" w14:textId="296AB8EE" w:rsidR="00FF2998" w:rsidRPr="008020E4" w:rsidRDefault="00FF2998" w:rsidP="00581A39">
      <w:pPr>
        <w:pStyle w:val="Itadfootnotestyle"/>
      </w:pPr>
      <w:r w:rsidRPr="008020E4">
        <w:rPr>
          <w:rStyle w:val="FootnoteReference"/>
        </w:rPr>
        <w:footnoteRef/>
      </w:r>
      <w:r w:rsidRPr="008020E4">
        <w:t xml:space="preserve"> The MA </w:t>
      </w:r>
      <w:r w:rsidRPr="008343D7">
        <w:t>Operational Manual for Cross-cutting themes (October 2018) notes</w:t>
      </w:r>
      <w:r w:rsidRPr="008020E4">
        <w:t xml:space="preserve">: </w:t>
      </w:r>
      <w:r w:rsidR="00103A03">
        <w:t>‘</w:t>
      </w:r>
      <w:r w:rsidRPr="008020E4">
        <w:t>The Fleming Fund Grants Programme will focus assistance on national systems with a view to long-term sustainability. Investment size and scope should, as far as possible, be aligned with national government spending so that systems created with Fleming Fund grants are sustainable within the public health system.</w:t>
      </w:r>
      <w:r w:rsidR="00103A03">
        <w:t>’</w:t>
      </w:r>
    </w:p>
  </w:footnote>
  <w:footnote w:id="134">
    <w:p w14:paraId="16366E03" w14:textId="77777777" w:rsidR="00FF2998" w:rsidRPr="008020E4" w:rsidRDefault="00FF2998" w:rsidP="00581A39">
      <w:pPr>
        <w:pStyle w:val="Itadfootnotestyle"/>
      </w:pPr>
      <w:r w:rsidRPr="008020E4">
        <w:rPr>
          <w:rStyle w:val="FootnoteReference"/>
        </w:rPr>
        <w:footnoteRef/>
      </w:r>
      <w:r w:rsidRPr="008020E4">
        <w:t xml:space="preserve"> KIIs noted </w:t>
      </w:r>
      <w:r>
        <w:t xml:space="preserve">a </w:t>
      </w:r>
      <w:r w:rsidRPr="008020E4">
        <w:t xml:space="preserve">lack of systematic use of sustainability strategies as </w:t>
      </w:r>
      <w:r>
        <w:t xml:space="preserve">the </w:t>
      </w:r>
      <w:r w:rsidRPr="008020E4">
        <w:t xml:space="preserve">basis for work planning or </w:t>
      </w:r>
      <w:r>
        <w:t xml:space="preserve">a </w:t>
      </w:r>
      <w:r w:rsidRPr="008020E4">
        <w:t>specific focus on sustainability in interactions between the MA and CGs.</w:t>
      </w:r>
    </w:p>
  </w:footnote>
  <w:footnote w:id="135">
    <w:p w14:paraId="41271932" w14:textId="77777777" w:rsidR="00FF2998" w:rsidRPr="00B97C2D" w:rsidRDefault="00FF2998" w:rsidP="00581A39">
      <w:pPr>
        <w:pStyle w:val="Itadfootnotestyle"/>
      </w:pPr>
      <w:r>
        <w:rPr>
          <w:rStyle w:val="FootnoteReference"/>
        </w:rPr>
        <w:footnoteRef/>
      </w:r>
      <w:r>
        <w:t xml:space="preserve"> </w:t>
      </w:r>
      <w:r w:rsidRPr="00B97C2D">
        <w:t>T</w:t>
      </w:r>
      <w:r w:rsidRPr="008343D7">
        <w:rPr>
          <w:rStyle w:val="cf01"/>
          <w:rFonts w:ascii="Calibri" w:eastAsia="Yu Gothic Light" w:hAnsi="Calibri" w:cs="Arial"/>
          <w:sz w:val="16"/>
          <w:szCs w:val="16"/>
        </w:rPr>
        <w:t>he IP did set out intentions to develop exit plans after 12 months of implementation in each country.</w:t>
      </w:r>
    </w:p>
  </w:footnote>
  <w:footnote w:id="136">
    <w:p w14:paraId="13FE5E2C" w14:textId="48DAE57E" w:rsidR="00FF2998" w:rsidRDefault="00FF2998" w:rsidP="00581A39">
      <w:pPr>
        <w:pStyle w:val="Itadfootnotestyle"/>
      </w:pPr>
      <w:r>
        <w:rPr>
          <w:rStyle w:val="FootnoteReference"/>
        </w:rPr>
        <w:footnoteRef/>
      </w:r>
      <w:r w:rsidR="4EF651D4">
        <w:t xml:space="preserve"> </w:t>
      </w:r>
      <w:r w:rsidR="4EF651D4" w:rsidRPr="008343D7">
        <w:rPr>
          <w:rStyle w:val="cf01"/>
          <w:rFonts w:ascii="Calibri" w:eastAsia="Yu Gothic Light" w:hAnsi="Calibri" w:cs="Arial"/>
          <w:sz w:val="16"/>
          <w:szCs w:val="16"/>
        </w:rPr>
        <w:t>Only in Bangladesh was there an expectation that a plan for sustainability in HH would be established, although more countries anticipated some progress in AH .</w:t>
      </w:r>
    </w:p>
  </w:footnote>
  <w:footnote w:id="137">
    <w:p w14:paraId="206F6AA5" w14:textId="2C78DA6D" w:rsidR="00FF2998" w:rsidRDefault="00FF2998" w:rsidP="00581A39">
      <w:pPr>
        <w:pStyle w:val="Itadfootnotestyle"/>
      </w:pPr>
      <w:r>
        <w:rPr>
          <w:rStyle w:val="FootnoteReference"/>
        </w:rPr>
        <w:footnoteRef/>
      </w:r>
      <w:r>
        <w:t xml:space="preserve"> </w:t>
      </w:r>
      <w:r w:rsidRPr="008A5F96">
        <w:rPr>
          <w:rStyle w:val="ItadfootnotestyleChar"/>
        </w:rPr>
        <w:t xml:space="preserve">See </w:t>
      </w:r>
      <w:r w:rsidR="00803F81" w:rsidRPr="008A5F96">
        <w:rPr>
          <w:rStyle w:val="ItadfootnotestyleChar"/>
        </w:rPr>
        <w:t>Vol. I</w:t>
      </w:r>
      <w:r w:rsidRPr="008A5F96">
        <w:rPr>
          <w:rStyle w:val="ItadfootnotestyleChar"/>
        </w:rPr>
        <w:t>I, Annex 10</w:t>
      </w:r>
    </w:p>
  </w:footnote>
  <w:footnote w:id="138">
    <w:p w14:paraId="6D5AF94E" w14:textId="58B0C558" w:rsidR="00FF2998" w:rsidRDefault="00FF2998" w:rsidP="00581A39">
      <w:pPr>
        <w:pStyle w:val="Itadfootnotestyle"/>
      </w:pPr>
      <w:r>
        <w:rPr>
          <w:rStyle w:val="FootnoteReference"/>
        </w:rPr>
        <w:footnoteRef/>
      </w:r>
      <w:r>
        <w:t xml:space="preserve"> Ibid</w:t>
      </w:r>
      <w:r w:rsidR="00F07824">
        <w:t>.</w:t>
      </w:r>
    </w:p>
  </w:footnote>
  <w:footnote w:id="139">
    <w:p w14:paraId="561B1C79" w14:textId="77777777" w:rsidR="00FF2998" w:rsidRPr="00DC13C2" w:rsidRDefault="00FF2998" w:rsidP="00581A39">
      <w:pPr>
        <w:pStyle w:val="Itadfootnotestyle"/>
      </w:pPr>
      <w:r>
        <w:rPr>
          <w:rStyle w:val="FootnoteReference"/>
        </w:rPr>
        <w:footnoteRef/>
      </w:r>
      <w:r>
        <w:t xml:space="preserve"> </w:t>
      </w:r>
      <w:r w:rsidRPr="009876C2">
        <w:t>Brown, C., &amp; Shorten, T. (2021, 07 21). Common elements of good practice for sustainability. Retrieved from The Fleming Fund: https://www.flemingfund.org/publications/common-elements-of-good-practice-for-sustainability/</w:t>
      </w:r>
    </w:p>
  </w:footnote>
  <w:footnote w:id="140">
    <w:p w14:paraId="6920209A" w14:textId="01B4100E" w:rsidR="00FF2998" w:rsidRDefault="00FF2998" w:rsidP="00581A39">
      <w:pPr>
        <w:pStyle w:val="Itadfootnotestyle"/>
      </w:pPr>
      <w:r>
        <w:rPr>
          <w:rStyle w:val="FootnoteReference"/>
        </w:rPr>
        <w:footnoteRef/>
      </w:r>
      <w:r>
        <w:t xml:space="preserve"> </w:t>
      </w:r>
      <w:r w:rsidR="00AA6A7B">
        <w:t>‘</w:t>
      </w:r>
      <w:r>
        <w:t>Partial resourcing</w:t>
      </w:r>
      <w:r w:rsidR="00AA6A7B">
        <w:t>’</w:t>
      </w:r>
      <w:r>
        <w:t xml:space="preserve"> is used to mean that some resources were available to support relevant AMR functions but that this would be insufficient to cover the entire cost.</w:t>
      </w:r>
    </w:p>
  </w:footnote>
  <w:footnote w:id="141">
    <w:p w14:paraId="108F9B33" w14:textId="77777777" w:rsidR="00FF2998" w:rsidRPr="0028563C" w:rsidRDefault="00FF2998" w:rsidP="00581A39">
      <w:pPr>
        <w:pStyle w:val="Itadfootnotestyle"/>
      </w:pPr>
      <w:r w:rsidRPr="008020E4">
        <w:rPr>
          <w:rStyle w:val="FootnoteReference"/>
        </w:rPr>
        <w:footnoteRef/>
      </w:r>
      <w:r w:rsidRPr="008020E4">
        <w:t xml:space="preserve"> </w:t>
      </w:r>
      <w:r>
        <w:t>Three</w:t>
      </w:r>
      <w:r w:rsidRPr="008020E4">
        <w:t xml:space="preserve"> countries expected progress in resource allocation, and </w:t>
      </w:r>
      <w:r>
        <w:t>one</w:t>
      </w:r>
      <w:r w:rsidRPr="008020E4">
        <w:t xml:space="preserve"> expected a worsening situation.</w:t>
      </w:r>
    </w:p>
  </w:footnote>
  <w:footnote w:id="142">
    <w:p w14:paraId="7041B28A" w14:textId="63FF9F4C" w:rsidR="00FF2998" w:rsidRDefault="00FF2998" w:rsidP="00581A39">
      <w:pPr>
        <w:pStyle w:val="Itadfootnotestyle"/>
      </w:pPr>
      <w:r>
        <w:rPr>
          <w:rStyle w:val="FootnoteReference"/>
        </w:rPr>
        <w:footnoteRef/>
      </w:r>
      <w:r>
        <w:t xml:space="preserve"> See subheading </w:t>
      </w:r>
      <w:r w:rsidR="00AA6A7B">
        <w:t>‘</w:t>
      </w:r>
      <w:r>
        <w:t>capacity building and governance</w:t>
      </w:r>
      <w:r w:rsidR="00AA6A7B">
        <w:t>’</w:t>
      </w:r>
      <w:r>
        <w:t>.</w:t>
      </w:r>
    </w:p>
  </w:footnote>
  <w:footnote w:id="143">
    <w:p w14:paraId="236B4F1F" w14:textId="3F65F195" w:rsidR="00FF2998" w:rsidRPr="008A34EF" w:rsidRDefault="00FF2998" w:rsidP="00983748">
      <w:pPr>
        <w:pStyle w:val="Itadfootnotestyle"/>
      </w:pPr>
      <w:r>
        <w:rPr>
          <w:rStyle w:val="FootnoteReference"/>
        </w:rPr>
        <w:footnoteRef/>
      </w:r>
      <w:r>
        <w:t xml:space="preserve"> </w:t>
      </w:r>
      <w:r w:rsidRPr="00394EB5">
        <w:t>Implementation Plan pp93/121: It includes eight items considered as capital equipment, five of which should be covered by a service contract covering after-sales service, training, installation and/or maintenance/</w:t>
      </w:r>
      <w:r w:rsidRPr="00E660D9">
        <w:t>repair (</w:t>
      </w:r>
      <w:r w:rsidR="008A34EF">
        <w:t xml:space="preserve">see </w:t>
      </w:r>
      <w:r w:rsidR="008A34EF" w:rsidRPr="008A34EF">
        <w:t xml:space="preserve">MA IP, </w:t>
      </w:r>
      <w:r w:rsidRPr="008A34EF">
        <w:t xml:space="preserve">Annex 9.4). </w:t>
      </w:r>
    </w:p>
  </w:footnote>
  <w:footnote w:id="144">
    <w:p w14:paraId="66C71CD2" w14:textId="66A140D0" w:rsidR="00FF2998" w:rsidRPr="00D9597F" w:rsidRDefault="00FF2998" w:rsidP="00983748">
      <w:pPr>
        <w:pStyle w:val="Itadfootnotestyle"/>
      </w:pPr>
      <w:r w:rsidRPr="008A34EF">
        <w:rPr>
          <w:rStyle w:val="FootnoteReference"/>
        </w:rPr>
        <w:footnoteRef/>
      </w:r>
      <w:r w:rsidRPr="008A34EF">
        <w:t xml:space="preserve"> IP pp92; IP Annex 9.4.</w:t>
      </w:r>
      <w:r w:rsidRPr="008A34EF" w:rsidDel="007D2E99">
        <w:t xml:space="preserve"> </w:t>
      </w:r>
      <w:r w:rsidRPr="008A34EF">
        <w:t>Assumed or indicative budget for requirements for each facility were £120,847 of which £17</w:t>
      </w:r>
      <w:r>
        <w:t>,963 (15%) was assumed for reagents and media, and £4,173 (4%) was assumed for consumables.</w:t>
      </w:r>
    </w:p>
  </w:footnote>
  <w:footnote w:id="145">
    <w:p w14:paraId="7FA985D8" w14:textId="0AE6F119" w:rsidR="00FF2998" w:rsidRPr="00B9414D" w:rsidRDefault="00FF2998" w:rsidP="003636D3">
      <w:pPr>
        <w:pStyle w:val="Itadfootnotestyle"/>
      </w:pPr>
      <w:r w:rsidRPr="00B9414D">
        <w:rPr>
          <w:rStyle w:val="FootnoteReference"/>
        </w:rPr>
        <w:footnoteRef/>
      </w:r>
      <w:r w:rsidRPr="00B9414D">
        <w:t xml:space="preserve"> </w:t>
      </w:r>
      <w:r w:rsidRPr="003636D3">
        <w:t>Note that this is the budget for all activities (excluding staff salary), and the AMR budget within this is around US$5,000.</w:t>
      </w:r>
      <w:r w:rsidR="005450AC">
        <w:rPr>
          <w:rStyle w:val="eop"/>
          <w:rFonts w:cs="Calibri"/>
          <w:shd w:val="clear" w:color="auto" w:fill="FFFFFF"/>
        </w:rPr>
        <w:t xml:space="preserve"> </w:t>
      </w:r>
    </w:p>
  </w:footnote>
  <w:footnote w:id="146">
    <w:p w14:paraId="25809C57" w14:textId="750AC11A" w:rsidR="00FF2998" w:rsidRPr="0098699F" w:rsidRDefault="00FF2998" w:rsidP="00983748">
      <w:pPr>
        <w:pStyle w:val="Itadfootnotestyle"/>
      </w:pPr>
      <w:r>
        <w:rPr>
          <w:rStyle w:val="FootnoteReference"/>
        </w:rPr>
        <w:footnoteRef/>
      </w:r>
      <w:r>
        <w:t xml:space="preserve"> </w:t>
      </w:r>
      <w:r w:rsidRPr="001A4506">
        <w:t>such as manual disc diffusion AST testing, although we note that there are pros and cons of both automated and manual methods</w:t>
      </w:r>
      <w:r w:rsidR="00983748">
        <w:t>.</w:t>
      </w:r>
    </w:p>
  </w:footnote>
  <w:footnote w:id="147">
    <w:p w14:paraId="51FA8C99" w14:textId="39B3C3B3" w:rsidR="00FF2998" w:rsidRPr="00346F90" w:rsidRDefault="00FF2998" w:rsidP="00FF2998">
      <w:pPr>
        <w:pStyle w:val="FootnoteText"/>
      </w:pPr>
      <w:r w:rsidRPr="00346F90">
        <w:rPr>
          <w:rStyle w:val="FootnoteReference"/>
        </w:rPr>
        <w:footnoteRef/>
      </w:r>
      <w:r w:rsidRPr="00346F90">
        <w:t xml:space="preserve"> There is no discussion of the implications of this distinction in the MA</w:t>
      </w:r>
      <w:r w:rsidR="00AA6A7B">
        <w:t>’</w:t>
      </w:r>
      <w:r w:rsidRPr="00346F90">
        <w:t>s implementation plan (v2.5)</w:t>
      </w:r>
      <w:r w:rsidR="003636D3">
        <w:t>.</w:t>
      </w:r>
    </w:p>
  </w:footnote>
  <w:footnote w:id="148">
    <w:p w14:paraId="13F09F01" w14:textId="022C503E" w:rsidR="00FF2998" w:rsidRDefault="00FF2998" w:rsidP="003636D3">
      <w:pPr>
        <w:pStyle w:val="Itadfootnotestyle"/>
      </w:pPr>
      <w:r>
        <w:rPr>
          <w:rStyle w:val="FootnoteReference"/>
        </w:rPr>
        <w:footnoteRef/>
      </w:r>
      <w:r>
        <w:t xml:space="preserve"> The MA</w:t>
      </w:r>
      <w:r w:rsidR="00AA6A7B">
        <w:t>’</w:t>
      </w:r>
      <w:r>
        <w:t>s TOR does spell out objectives for strengthening availability of data on the sale and use of antimicrobial medicines, particularly antibiotics (section</w:t>
      </w:r>
      <w:r w:rsidR="003636D3">
        <w:t>s</w:t>
      </w:r>
      <w:r>
        <w:t xml:space="preserve"> 2.2, 2.4) but the operational </w:t>
      </w:r>
      <w:r w:rsidRPr="005D2FD8">
        <w:t>emphasis is more on AMR than AMU (section 3.9</w:t>
      </w:r>
      <w:r w:rsidR="00983748" w:rsidRPr="005D2FD8">
        <w:t>–</w:t>
      </w:r>
      <w:r w:rsidRPr="005D2FD8">
        <w:t>3.20</w:t>
      </w:r>
      <w:r w:rsidR="005D2FD8" w:rsidRPr="005D2FD8">
        <w:t xml:space="preserve"> of the MA ToR</w:t>
      </w:r>
      <w:r w:rsidRPr="005D2FD8">
        <w:t>).</w:t>
      </w:r>
    </w:p>
  </w:footnote>
  <w:footnote w:id="149">
    <w:p w14:paraId="11109F8A" w14:textId="77777777" w:rsidR="00FF2998" w:rsidRPr="00853D7E" w:rsidRDefault="00FF2998" w:rsidP="003636D3">
      <w:pPr>
        <w:pStyle w:val="Itadfootnotestyle"/>
        <w:rPr>
          <w:rStyle w:val="ItadfootnotestyleChar"/>
        </w:rPr>
      </w:pPr>
      <w:r w:rsidRPr="000F6F7F">
        <w:rPr>
          <w:rStyle w:val="FootnoteReference"/>
        </w:rPr>
        <w:footnoteRef/>
      </w:r>
      <w:r w:rsidRPr="000F6F7F">
        <w:t xml:space="preserve"> Although covering costs through user fees is on the agenda in some countries, e.g. in Ghana and Laos and payment for laboratory services is an ongoing concern (as </w:t>
      </w:r>
      <w:r w:rsidRPr="00853D7E">
        <w:rPr>
          <w:rStyle w:val="ItadfootnotestyleChar"/>
        </w:rPr>
        <w:t xml:space="preserve">discussed </w:t>
      </w:r>
      <w:r>
        <w:rPr>
          <w:rStyle w:val="ItadfootnotestyleChar"/>
        </w:rPr>
        <w:t>above</w:t>
      </w:r>
      <w:r w:rsidRPr="00853D7E">
        <w:rPr>
          <w:rStyle w:val="ItadfootnotestyleChar"/>
        </w:rPr>
        <w:t xml:space="preserve"> </w:t>
      </w:r>
      <w:r w:rsidRPr="00853D7E" w:rsidDel="000819D7">
        <w:rPr>
          <w:rStyle w:val="ItadfootnotestyleChar"/>
        </w:rPr>
        <w:fldChar w:fldCharType="begin"/>
      </w:r>
      <w:r w:rsidRPr="00853D7E" w:rsidDel="000819D7">
        <w:rPr>
          <w:rStyle w:val="ItadfootnotestyleChar"/>
        </w:rPr>
        <w:fldChar w:fldCharType="separate"/>
      </w:r>
      <w:r w:rsidRPr="00853D7E">
        <w:rPr>
          <w:rStyle w:val="ItadfootnotestyleChar"/>
        </w:rPr>
        <w:t>2</w:t>
      </w:r>
      <w:r w:rsidRPr="00853D7E" w:rsidDel="000819D7">
        <w:rPr>
          <w:rStyle w:val="ItadfootnotestyleChar"/>
        </w:rPr>
        <w:t>.3.1</w:t>
      </w:r>
      <w:r w:rsidRPr="00853D7E" w:rsidDel="000819D7">
        <w:rPr>
          <w:rStyle w:val="ItadfootnotestyleChar"/>
        </w:rPr>
        <w:fldChar w:fldCharType="end"/>
      </w:r>
      <w:r w:rsidRPr="00853D7E">
        <w:rPr>
          <w:rStyle w:val="ItadfootnotestyleChar"/>
        </w:rPr>
        <w:t>)</w:t>
      </w:r>
      <w:r>
        <w:rPr>
          <w:rStyle w:val="ItadfootnotestyleChar"/>
        </w:rPr>
        <w:t>.</w:t>
      </w:r>
    </w:p>
  </w:footnote>
  <w:footnote w:id="150">
    <w:p w14:paraId="45C5311F" w14:textId="77777777" w:rsidR="00FF2998" w:rsidRPr="00340157" w:rsidRDefault="00FF2998" w:rsidP="000F5E14">
      <w:pPr>
        <w:pStyle w:val="Itadfootnotestyle"/>
      </w:pPr>
      <w:r w:rsidRPr="00340157">
        <w:rPr>
          <w:rStyle w:val="FootnoteReference"/>
        </w:rPr>
        <w:footnoteRef/>
      </w:r>
      <w:r w:rsidRPr="00340157">
        <w:t xml:space="preserve"> See section </w:t>
      </w:r>
      <w:r w:rsidRPr="00340157">
        <w:fldChar w:fldCharType="begin"/>
      </w:r>
      <w:r w:rsidRPr="00340157">
        <w:instrText xml:space="preserve"> REF _Ref118234946 \r \h </w:instrText>
      </w:r>
      <w:r>
        <w:instrText xml:space="preserve"> \* MERGEFORMAT </w:instrText>
      </w:r>
      <w:r w:rsidRPr="00340157">
        <w:fldChar w:fldCharType="separate"/>
      </w:r>
      <w:r>
        <w:t>2.3.1</w:t>
      </w:r>
      <w:r w:rsidRPr="00340157">
        <w:fldChar w:fldCharType="end"/>
      </w:r>
      <w:r w:rsidRPr="00340157">
        <w:t xml:space="preserve"> for more detail on sustainability assessments</w:t>
      </w:r>
      <w:r>
        <w:t>.</w:t>
      </w:r>
    </w:p>
  </w:footnote>
  <w:footnote w:id="151">
    <w:p w14:paraId="38FA50BF" w14:textId="77777777" w:rsidR="00FF2998" w:rsidRPr="00346F90" w:rsidRDefault="00FF2998" w:rsidP="000F5E14">
      <w:pPr>
        <w:pStyle w:val="Itadfootnotestyle"/>
      </w:pPr>
      <w:r w:rsidRPr="00340157">
        <w:rPr>
          <w:rStyle w:val="FootnoteReference"/>
        </w:rPr>
        <w:footnoteRef/>
      </w:r>
      <w:r w:rsidRPr="00340157">
        <w:t xml:space="preserve"> Fellowships use a train-the-trainer model, with</w:t>
      </w:r>
      <w:r w:rsidRPr="00346F90">
        <w:t xml:space="preserve"> Fellows intended to cascade training to their peers.</w:t>
      </w:r>
    </w:p>
  </w:footnote>
  <w:footnote w:id="152">
    <w:p w14:paraId="75F88B19" w14:textId="77777777" w:rsidR="00FF2998" w:rsidRPr="00F15725" w:rsidRDefault="00FF2998" w:rsidP="00FF2998">
      <w:pPr>
        <w:pStyle w:val="FootnoteText"/>
      </w:pPr>
      <w:r w:rsidRPr="00346F90">
        <w:rPr>
          <w:rStyle w:val="FootnoteReference"/>
        </w:rPr>
        <w:footnoteRef/>
      </w:r>
      <w:r w:rsidRPr="00346F90">
        <w:t xml:space="preserve"> Note </w:t>
      </w:r>
      <w:r>
        <w:t xml:space="preserve">the </w:t>
      </w:r>
      <w:r w:rsidRPr="00346F90">
        <w:t>lack of activity of AMRCCs in many countries once their job of creating NAPs had been accomplished.</w:t>
      </w:r>
    </w:p>
  </w:footnote>
  <w:footnote w:id="153">
    <w:p w14:paraId="5AFD2482" w14:textId="77777777" w:rsidR="00FF2998" w:rsidRDefault="00FF2998" w:rsidP="00FF2998">
      <w:pPr>
        <w:pStyle w:val="FootnoteText"/>
      </w:pPr>
      <w:r>
        <w:rPr>
          <w:rStyle w:val="FootnoteReference"/>
        </w:rPr>
        <w:footnoteRef/>
      </w:r>
      <w:r>
        <w:t xml:space="preserve"> As noted in Fleming Fund TAG discussions on phase 2.</w:t>
      </w:r>
    </w:p>
  </w:footnote>
  <w:footnote w:id="154">
    <w:p w14:paraId="3C6E74C1" w14:textId="6FC5C279" w:rsidR="00FF2998" w:rsidRPr="00551F0C" w:rsidRDefault="00FF2998" w:rsidP="000F5E14">
      <w:pPr>
        <w:pStyle w:val="Itadfootnotestyle"/>
      </w:pPr>
      <w:r w:rsidRPr="00551F0C">
        <w:rPr>
          <w:rStyle w:val="FootnoteReference"/>
        </w:rPr>
        <w:footnoteRef/>
      </w:r>
      <w:r w:rsidRPr="00551F0C">
        <w:t xml:space="preserve"> </w:t>
      </w:r>
      <w:r w:rsidRPr="009B70DD">
        <w:t>3E</w:t>
      </w:r>
      <w:r w:rsidR="00AA6A7B">
        <w:t>’</w:t>
      </w:r>
      <w:r w:rsidRPr="009B70DD">
        <w:t>s refer to economy, efficiency and effectiveness. Note 4</w:t>
      </w:r>
      <w:r w:rsidRPr="000F5E14">
        <w:t>th</w:t>
      </w:r>
      <w:r w:rsidRPr="009B70DD">
        <w:t xml:space="preserve"> E (equity) is not tracked</w:t>
      </w:r>
      <w:r>
        <w:t xml:space="preserve"> since phase 1 does deliver outputs that directly affect primary beneficiaries and possible effects on equity and poverty of decisions informed by surveillance evidence will depend upon the decision taken</w:t>
      </w:r>
      <w:r w:rsidRPr="009B70DD">
        <w:t>.</w:t>
      </w:r>
    </w:p>
  </w:footnote>
  <w:footnote w:id="155">
    <w:p w14:paraId="4E0ABB13" w14:textId="103C18B4" w:rsidR="003E274B" w:rsidRPr="00F42A3A" w:rsidRDefault="003E274B" w:rsidP="00945410">
      <w:pPr>
        <w:pStyle w:val="Itadfootnotestyle"/>
      </w:pPr>
      <w:r w:rsidRPr="00F42A3A">
        <w:rPr>
          <w:rStyle w:val="FootnoteReference"/>
        </w:rPr>
        <w:footnoteRef/>
      </w:r>
      <w:r w:rsidRPr="00F42A3A">
        <w:t xml:space="preserve"> </w:t>
      </w:r>
      <w:r w:rsidRPr="009876C2">
        <w:t>DFID. (2020). DFID</w:t>
      </w:r>
      <w:r w:rsidR="00AA6A7B">
        <w:t>’</w:t>
      </w:r>
      <w:r w:rsidRPr="009876C2">
        <w:t xml:space="preserve">s Approach to </w:t>
      </w:r>
      <w:r>
        <w:t>VfM</w:t>
      </w:r>
      <w:r w:rsidR="00B30736">
        <w:t xml:space="preserve"> – </w:t>
      </w:r>
      <w:r w:rsidRPr="009876C2">
        <w:t>Guidance for External Partners. London.</w:t>
      </w:r>
    </w:p>
  </w:footnote>
  <w:footnote w:id="156">
    <w:p w14:paraId="0CB7B168" w14:textId="6170C589" w:rsidR="003E274B" w:rsidRPr="00F42A3A" w:rsidRDefault="003E274B" w:rsidP="00945410">
      <w:pPr>
        <w:pStyle w:val="Itadfootnotestyle"/>
      </w:pPr>
      <w:r w:rsidRPr="00F42A3A">
        <w:rPr>
          <w:rStyle w:val="FootnoteReference"/>
        </w:rPr>
        <w:footnoteRef/>
      </w:r>
      <w:r w:rsidRPr="00F42A3A">
        <w:t xml:space="preserve"> </w:t>
      </w:r>
      <w:r w:rsidRPr="009876C2">
        <w:t>ICAI. (2018). DFID</w:t>
      </w:r>
      <w:r w:rsidR="00AA6A7B">
        <w:t>’</w:t>
      </w:r>
      <w:r w:rsidRPr="009876C2">
        <w:t xml:space="preserve">s approach to </w:t>
      </w:r>
      <w:r>
        <w:t>VfM</w:t>
      </w:r>
      <w:r w:rsidRPr="009876C2">
        <w:t xml:space="preserve"> in programme and portfolio management: a performance review. London: ICAI.</w:t>
      </w:r>
    </w:p>
  </w:footnote>
  <w:footnote w:id="157">
    <w:p w14:paraId="2DEE70A4" w14:textId="77777777" w:rsidR="00FF2998" w:rsidRDefault="00FF2998" w:rsidP="00226E0E">
      <w:pPr>
        <w:pStyle w:val="Itadfootnotestyle"/>
      </w:pPr>
      <w:r w:rsidRPr="00F42A3A">
        <w:rPr>
          <w:rStyle w:val="FootnoteReference"/>
        </w:rPr>
        <w:footnoteRef/>
      </w:r>
      <w:r w:rsidRPr="00F42A3A">
        <w:t xml:space="preserve"> MA. 2021. Fleming Fund Management Agent. Phase II Technical Proposal. March</w:t>
      </w:r>
      <w:r>
        <w:t xml:space="preserve"> 2021</w:t>
      </w:r>
      <w:r w:rsidRPr="00F42A3A">
        <w:t>.</w:t>
      </w:r>
    </w:p>
  </w:footnote>
  <w:footnote w:id="158">
    <w:p w14:paraId="2F640A03" w14:textId="29F4EBD2" w:rsidR="00FF2998" w:rsidRPr="00B3119C" w:rsidRDefault="00FF2998" w:rsidP="00226E0E">
      <w:pPr>
        <w:pStyle w:val="Itadfootnotestyle"/>
      </w:pPr>
      <w:r w:rsidRPr="00B3119C">
        <w:rPr>
          <w:rStyle w:val="FootnoteReference"/>
        </w:rPr>
        <w:footnoteRef/>
      </w:r>
      <w:r w:rsidRPr="00B3119C">
        <w:t xml:space="preserve"> </w:t>
      </w:r>
      <w:r w:rsidR="00FA29A2" w:rsidRPr="00B3119C">
        <w:rPr>
          <w:rFonts w:eastAsia="Calibri" w:cs="Calibri"/>
        </w:rPr>
        <w:t xml:space="preserve">Which </w:t>
      </w:r>
      <w:r w:rsidRPr="00B3119C">
        <w:rPr>
          <w:rFonts w:eastAsia="Calibri" w:cs="Calibri"/>
        </w:rPr>
        <w:t>cover the grantees</w:t>
      </w:r>
      <w:r w:rsidR="00AA6A7B">
        <w:rPr>
          <w:rFonts w:eastAsia="Calibri" w:cs="Calibri"/>
        </w:rPr>
        <w:t>’</w:t>
      </w:r>
      <w:r w:rsidRPr="00B3119C">
        <w:rPr>
          <w:rFonts w:eastAsia="Calibri" w:cs="Calibri"/>
        </w:rPr>
        <w:t xml:space="preserve"> overhead costs i.e. a portion of their operating costs</w:t>
      </w:r>
      <w:r>
        <w:rPr>
          <w:rFonts w:eastAsia="Calibri" w:cs="Calibri"/>
        </w:rPr>
        <w:t xml:space="preserve"> </w:t>
      </w:r>
    </w:p>
  </w:footnote>
  <w:footnote w:id="159">
    <w:p w14:paraId="2BE0E50A" w14:textId="4FDB50D4" w:rsidR="00FF2998" w:rsidRPr="00E40C6E" w:rsidRDefault="00FF2998" w:rsidP="00226E0E">
      <w:pPr>
        <w:pStyle w:val="Itadfootnotestyle"/>
      </w:pPr>
      <w:r w:rsidRPr="00E40C6E">
        <w:rPr>
          <w:rStyle w:val="FootnoteReference"/>
        </w:rPr>
        <w:footnoteRef/>
      </w:r>
      <w:r w:rsidRPr="00E40C6E">
        <w:t xml:space="preserve"> </w:t>
      </w:r>
      <w:r w:rsidR="00FA29A2" w:rsidRPr="00E40C6E">
        <w:rPr>
          <w:rFonts w:eastAsia="Calibri" w:cs="Calibri"/>
        </w:rPr>
        <w:t xml:space="preserve">Expense </w:t>
      </w:r>
      <w:r w:rsidRPr="00E40C6E">
        <w:rPr>
          <w:rFonts w:eastAsia="Calibri" w:cs="Calibri"/>
        </w:rPr>
        <w:t>directly attributable to the grant such as personnel (Project Managers/administrators/finance staff/etc) and expenses (office costs, rent, etc)</w:t>
      </w:r>
      <w:r>
        <w:rPr>
          <w:rFonts w:eastAsia="Calibri" w:cs="Calibri"/>
        </w:rPr>
        <w:t xml:space="preserve"> </w:t>
      </w:r>
    </w:p>
  </w:footnote>
  <w:footnote w:id="160">
    <w:p w14:paraId="6DBF8334" w14:textId="548C4F75" w:rsidR="00FF2998" w:rsidRDefault="00FF2998" w:rsidP="00226E0E">
      <w:pPr>
        <w:pStyle w:val="Itadfootnotestyle"/>
      </w:pPr>
      <w:r>
        <w:rPr>
          <w:rStyle w:val="FootnoteReference"/>
        </w:rPr>
        <w:footnoteRef/>
      </w:r>
      <w:r>
        <w:t xml:space="preserve"> Direct comparison between programmes is limited due to variance in accounting practice for overhead costs. A survey of UK grant management </w:t>
      </w:r>
      <w:r w:rsidR="00945410">
        <w:t>civil society organisation</w:t>
      </w:r>
      <w:r>
        <w:t>s found overhead costs (central and programme support costs) range from 20</w:t>
      </w:r>
      <w:r w:rsidR="00945410">
        <w:t>–</w:t>
      </w:r>
      <w:r>
        <w:t xml:space="preserve">28%. (BOND Mango </w:t>
      </w:r>
      <w:r w:rsidR="00A23F35">
        <w:t xml:space="preserve">cost </w:t>
      </w:r>
      <w:r>
        <w:t>recovery: what it means for CSOs, February 2016).</w:t>
      </w:r>
    </w:p>
  </w:footnote>
  <w:footnote w:id="161">
    <w:p w14:paraId="6719422C" w14:textId="6EC0A112" w:rsidR="00FF2998" w:rsidRDefault="00FF2998" w:rsidP="00226E0E">
      <w:pPr>
        <w:pStyle w:val="Itadfootnotestyle"/>
      </w:pPr>
      <w:r>
        <w:rPr>
          <w:rStyle w:val="FootnoteReference"/>
        </w:rPr>
        <w:footnoteRef/>
      </w:r>
      <w:r>
        <w:t xml:space="preserve"> </w:t>
      </w:r>
      <w:r w:rsidRPr="008343D7">
        <w:t>Leveraged resources are those contributed by stakeholders including government and other institutions to implement programme activities.</w:t>
      </w:r>
      <w:r w:rsidR="00DC1D8D">
        <w:t xml:space="preserve"> </w:t>
      </w:r>
      <w:r w:rsidRPr="008343D7">
        <w:t>These include in-kind resources, such as consumables and meeting facilities, and cost-sharing.</w:t>
      </w:r>
    </w:p>
  </w:footnote>
  <w:footnote w:id="162">
    <w:p w14:paraId="4F0C7B8F" w14:textId="77777777" w:rsidR="00FF2998" w:rsidRDefault="00FF2998" w:rsidP="00FF2998">
      <w:pPr>
        <w:pStyle w:val="FootnoteText"/>
      </w:pPr>
      <w:r>
        <w:rPr>
          <w:rStyle w:val="FootnoteReference"/>
        </w:rPr>
        <w:footnoteRef/>
      </w:r>
      <w:r>
        <w:t xml:space="preserve"> This metric was only introduced in 2020, whereas it was tracked from 2019 in HH</w:t>
      </w:r>
    </w:p>
  </w:footnote>
  <w:footnote w:id="163">
    <w:p w14:paraId="6B579DB2" w14:textId="574F3616" w:rsidR="00FF2998" w:rsidRDefault="00FF2998" w:rsidP="001C1B63">
      <w:pPr>
        <w:pStyle w:val="Itadfootnotestyle"/>
      </w:pPr>
      <w:r>
        <w:rPr>
          <w:rStyle w:val="FootnoteReference"/>
        </w:rPr>
        <w:footnoteRef/>
      </w:r>
      <w:r>
        <w:t xml:space="preserve"> This was particularly challenging given delays multiple contracts and delays in placing some of these (</w:t>
      </w:r>
      <w:r w:rsidRPr="008A5F96">
        <w:rPr>
          <w:rStyle w:val="ItadfootnotestyleChar"/>
        </w:rPr>
        <w:t xml:space="preserve">see </w:t>
      </w:r>
      <w:r w:rsidR="00A56D68">
        <w:rPr>
          <w:rStyle w:val="ItadfootnotestyleChar"/>
        </w:rPr>
        <w:fldChar w:fldCharType="begin"/>
      </w:r>
      <w:r w:rsidR="00A56D68">
        <w:rPr>
          <w:rStyle w:val="ItadfootnotestyleChar"/>
        </w:rPr>
        <w:instrText xml:space="preserve"> REF _Ref144028255 \h </w:instrText>
      </w:r>
      <w:r w:rsidR="00A56D68">
        <w:rPr>
          <w:rStyle w:val="ItadfootnotestyleChar"/>
        </w:rPr>
      </w:r>
      <w:r w:rsidR="00A56D68">
        <w:rPr>
          <w:rStyle w:val="ItadfootnotestyleChar"/>
        </w:rPr>
        <w:fldChar w:fldCharType="separate"/>
      </w:r>
      <w:r w:rsidR="00A56D68">
        <w:t xml:space="preserve">Figure </w:t>
      </w:r>
      <w:r w:rsidR="00A56D68">
        <w:rPr>
          <w:noProof/>
        </w:rPr>
        <w:t>6</w:t>
      </w:r>
      <w:r w:rsidR="00A56D68">
        <w:rPr>
          <w:rStyle w:val="ItadfootnotestyleChar"/>
        </w:rPr>
        <w:fldChar w:fldCharType="end"/>
      </w:r>
      <w:r w:rsidR="003D09C8" w:rsidRPr="008A5F96">
        <w:rPr>
          <w:rStyle w:val="ItadfootnotestyleChar"/>
        </w:rPr>
        <w:fldChar w:fldCharType="begin"/>
      </w:r>
      <w:r w:rsidR="003D09C8" w:rsidRPr="008A5F96">
        <w:rPr>
          <w:rStyle w:val="ItadfootnotestyleChar"/>
        </w:rPr>
        <w:instrText xml:space="preserve"> REF _Ref122420931 \h </w:instrText>
      </w:r>
      <w:r w:rsidR="003D09C8">
        <w:rPr>
          <w:rStyle w:val="ItadfootnotestyleChar"/>
        </w:rPr>
        <w:instrText xml:space="preserve"> \* MERGEFORMAT </w:instrText>
      </w:r>
      <w:r w:rsidR="003D09C8" w:rsidRPr="008A5F96">
        <w:rPr>
          <w:rStyle w:val="ItadfootnotestyleChar"/>
        </w:rPr>
      </w:r>
      <w:r w:rsidR="00B33BBD">
        <w:rPr>
          <w:rStyle w:val="ItadfootnotestyleChar"/>
        </w:rPr>
        <w:fldChar w:fldCharType="separate"/>
      </w:r>
      <w:r w:rsidR="003D09C8" w:rsidRPr="008A5F96">
        <w:rPr>
          <w:rStyle w:val="ItadfootnotestyleChar"/>
        </w:rPr>
        <w:fldChar w:fldCharType="end"/>
      </w:r>
      <w:r>
        <w:t>)</w:t>
      </w:r>
    </w:p>
  </w:footnote>
  <w:footnote w:id="164">
    <w:p w14:paraId="1B49A04A" w14:textId="77777777" w:rsidR="00FF2998" w:rsidRDefault="00FF2998" w:rsidP="001C1B63">
      <w:pPr>
        <w:pStyle w:val="Itadfootnotestyle"/>
      </w:pPr>
      <w:r>
        <w:rPr>
          <w:rStyle w:val="FootnoteReference"/>
        </w:rPr>
        <w:footnoteRef/>
      </w:r>
      <w:r>
        <w:t xml:space="preserve"> MA implementation plan v2.5</w:t>
      </w:r>
    </w:p>
  </w:footnote>
  <w:footnote w:id="165">
    <w:p w14:paraId="7296FCA3" w14:textId="10A2E5F2" w:rsidR="00FF2998" w:rsidRDefault="00FF2998" w:rsidP="001C1B63">
      <w:pPr>
        <w:pStyle w:val="Itadfootnotestyle"/>
      </w:pPr>
      <w:r>
        <w:rPr>
          <w:rStyle w:val="FootnoteReference"/>
        </w:rPr>
        <w:footnoteRef/>
      </w:r>
      <w:r w:rsidR="4EF651D4">
        <w:t xml:space="preserve"> Although whilst country grants delivered by UN agencies had to be contracted by DHSC, these were still managed and overseen by the MA.</w:t>
      </w:r>
    </w:p>
  </w:footnote>
  <w:footnote w:id="166">
    <w:p w14:paraId="2566FD8A" w14:textId="00B1845B" w:rsidR="00FF2998" w:rsidRDefault="00FF2998" w:rsidP="001C1B63">
      <w:pPr>
        <w:pStyle w:val="Itadfootnotestyle"/>
      </w:pPr>
      <w:r>
        <w:rPr>
          <w:rStyle w:val="FootnoteReference"/>
        </w:rPr>
        <w:footnoteRef/>
      </w:r>
      <w:r>
        <w:t xml:space="preserve"> KIIs with CG and RG implementers</w:t>
      </w:r>
      <w:r w:rsidR="002944F0">
        <w:t>.</w:t>
      </w:r>
    </w:p>
  </w:footnote>
  <w:footnote w:id="167">
    <w:p w14:paraId="7B196894" w14:textId="08221F69" w:rsidR="00FF2998" w:rsidRDefault="00FF2998" w:rsidP="001C1B63">
      <w:pPr>
        <w:pStyle w:val="Itadfootnotestyle"/>
      </w:pPr>
      <w:r>
        <w:rPr>
          <w:rStyle w:val="FootnoteReference"/>
        </w:rPr>
        <w:footnoteRef/>
      </w:r>
      <w:r>
        <w:t xml:space="preserve"> KIIs with Fellows and MA</w:t>
      </w:r>
      <w:r w:rsidR="002944F0">
        <w:t>.</w:t>
      </w:r>
    </w:p>
  </w:footnote>
  <w:footnote w:id="168">
    <w:p w14:paraId="18CDE09E" w14:textId="3FE8DB61" w:rsidR="00FF2998" w:rsidRDefault="00FF2998" w:rsidP="001C1B63">
      <w:pPr>
        <w:pStyle w:val="Itadfootnotestyle"/>
      </w:pPr>
      <w:r>
        <w:rPr>
          <w:rStyle w:val="FootnoteReference"/>
        </w:rPr>
        <w:footnoteRef/>
      </w:r>
      <w:r>
        <w:t xml:space="preserve"> In Laos for example, some laboratories are still reporting to Mahosot hospital (supported by </w:t>
      </w:r>
      <w:r w:rsidRPr="00D653A9">
        <w:t>Lao-Oxford-Mahosot</w:t>
      </w:r>
      <w:r w:rsidR="005450AC">
        <w:t xml:space="preserve"> </w:t>
      </w:r>
      <w:r w:rsidRPr="00D653A9">
        <w:t>Hospital-Wellcome Trust Research Unit</w:t>
      </w:r>
      <w:r w:rsidR="00B30736">
        <w:t xml:space="preserve"> – </w:t>
      </w:r>
      <w:r>
        <w:t xml:space="preserve">LOMWRU) who then reports to the National Reference Laboratory (the </w:t>
      </w:r>
      <w:r w:rsidR="000D011C">
        <w:t>NRL</w:t>
      </w:r>
      <w:r>
        <w:t>) instead of reporting directly to the NCLE.</w:t>
      </w:r>
      <w:r w:rsidR="00DC1D8D">
        <w:t xml:space="preserve"> </w:t>
      </w:r>
    </w:p>
  </w:footnote>
  <w:footnote w:id="169">
    <w:p w14:paraId="2D2EC1C6" w14:textId="2CD44A65" w:rsidR="00FF2998" w:rsidRPr="00F42A3A" w:rsidRDefault="00FF2998" w:rsidP="001C1B63">
      <w:pPr>
        <w:pStyle w:val="Itadfootnotestyle"/>
      </w:pPr>
      <w:r w:rsidRPr="00F42A3A">
        <w:rPr>
          <w:rStyle w:val="FootnoteReference"/>
        </w:rPr>
        <w:footnoteRef/>
      </w:r>
      <w:r w:rsidRPr="00F42A3A">
        <w:t xml:space="preserve"> </w:t>
      </w:r>
      <w:r w:rsidRPr="00643512">
        <w:rPr>
          <w:rFonts w:cs="Calibri"/>
        </w:rPr>
        <w:t xml:space="preserve">The OECD DAC defines external coherence as </w:t>
      </w:r>
      <w:r w:rsidR="00103A03">
        <w:rPr>
          <w:rFonts w:cs="Calibri"/>
        </w:rPr>
        <w:t>‘</w:t>
      </w:r>
      <w:r w:rsidRPr="00643512">
        <w:rPr>
          <w:rFonts w:cs="Calibri"/>
          <w:i/>
          <w:iCs/>
          <w:color w:val="333333"/>
        </w:rPr>
        <w:t>the consistency of the intervention with other actors</w:t>
      </w:r>
      <w:r w:rsidR="00AA6A7B">
        <w:rPr>
          <w:rFonts w:cs="Calibri"/>
          <w:i/>
          <w:iCs/>
          <w:color w:val="333333"/>
        </w:rPr>
        <w:t>’</w:t>
      </w:r>
      <w:r w:rsidRPr="00643512">
        <w:rPr>
          <w:rFonts w:cs="Calibri"/>
          <w:i/>
          <w:iCs/>
          <w:color w:val="333333"/>
        </w:rPr>
        <w:t xml:space="preserve"> interventions in the same context. This includes complementarity, harmonisation</w:t>
      </w:r>
      <w:r w:rsidR="00BD6725">
        <w:rPr>
          <w:rFonts w:cs="Calibri"/>
          <w:i/>
          <w:iCs/>
          <w:color w:val="333333"/>
        </w:rPr>
        <w:t>,</w:t>
      </w:r>
      <w:r w:rsidRPr="00643512">
        <w:rPr>
          <w:rFonts w:cs="Calibri"/>
          <w:i/>
          <w:iCs/>
          <w:color w:val="333333"/>
        </w:rPr>
        <w:t xml:space="preserve"> and coordination with others, and the extent to which the intervention is adding value while avoiding duplication of effort.</w:t>
      </w:r>
      <w:r w:rsidR="00103A03">
        <w:rPr>
          <w:rFonts w:cs="Calibri"/>
          <w:i/>
          <w:iCs/>
          <w:color w:val="333333"/>
        </w:rPr>
        <w:t>’</w:t>
      </w:r>
      <w:r w:rsidRPr="00643512">
        <w:rPr>
          <w:rFonts w:cs="Calibri"/>
          <w:i/>
          <w:iCs/>
          <w:color w:val="333333"/>
        </w:rPr>
        <w:t xml:space="preserve"> </w:t>
      </w:r>
      <w:r w:rsidRPr="00F42A3A">
        <w:t xml:space="preserve">OECD. 2021. Applying Evaluation Criteria Thoughtfully. Available </w:t>
      </w:r>
      <w:r w:rsidRPr="00585C75">
        <w:t xml:space="preserve">online at: </w:t>
      </w:r>
      <w:hyperlink r:id="rId12" w:history="1">
        <w:r w:rsidRPr="00585C75">
          <w:rPr>
            <w:rStyle w:val="Hyperlink"/>
            <w:rFonts w:eastAsia="Calibri"/>
          </w:rPr>
          <w:t>https://www.oecd-ilibrary.org/development/applying-evaluation-criteria-thoughtfully_543e84ed-en</w:t>
        </w:r>
      </w:hyperlink>
      <w:r w:rsidRPr="00F42A3A">
        <w:t xml:space="preserve"> </w:t>
      </w:r>
    </w:p>
  </w:footnote>
  <w:footnote w:id="170">
    <w:p w14:paraId="75CCA17E" w14:textId="49F67CE2" w:rsidR="00FF2998" w:rsidRPr="00B95007" w:rsidRDefault="00FF2998" w:rsidP="001C1B63">
      <w:pPr>
        <w:pStyle w:val="Itadfootnotestyle"/>
      </w:pPr>
      <w:r w:rsidRPr="00F42A3A">
        <w:rPr>
          <w:rStyle w:val="FootnoteReference"/>
        </w:rPr>
        <w:footnoteRef/>
      </w:r>
      <w:r w:rsidRPr="00F42A3A">
        <w:t xml:space="preserve"> As </w:t>
      </w:r>
      <w:r w:rsidRPr="00340157">
        <w:t>discussed in section 3.1.</w:t>
      </w:r>
      <w:r>
        <w:t>1</w:t>
      </w:r>
      <w:r w:rsidR="002A3B57">
        <w:t>.</w:t>
      </w:r>
    </w:p>
  </w:footnote>
  <w:footnote w:id="171">
    <w:p w14:paraId="465C5370" w14:textId="333F36AE" w:rsidR="00FF2998" w:rsidRPr="00F42A3A" w:rsidRDefault="00FF2998" w:rsidP="006B08A2">
      <w:pPr>
        <w:pStyle w:val="Itadfootnotestyle"/>
      </w:pPr>
      <w:r w:rsidRPr="00F42A3A">
        <w:rPr>
          <w:rStyle w:val="FootnoteReference"/>
        </w:rPr>
        <w:footnoteRef/>
      </w:r>
      <w:r w:rsidRPr="00F42A3A">
        <w:t xml:space="preserve"> </w:t>
      </w:r>
      <w:r w:rsidRPr="009876C2">
        <w:t>DFID. (2020). DFID</w:t>
      </w:r>
      <w:r w:rsidR="00AA6A7B">
        <w:t>’</w:t>
      </w:r>
      <w:r w:rsidRPr="009876C2">
        <w:t xml:space="preserve">s Approach to </w:t>
      </w:r>
      <w:r>
        <w:t>VfM</w:t>
      </w:r>
      <w:r w:rsidR="00B30736">
        <w:t xml:space="preserve"> – </w:t>
      </w:r>
      <w:r w:rsidRPr="009876C2">
        <w:t>Guidance for External Partners. London: DFID.</w:t>
      </w:r>
    </w:p>
  </w:footnote>
  <w:footnote w:id="172">
    <w:p w14:paraId="5EF9C27B" w14:textId="6E735F54" w:rsidR="00FF2998" w:rsidRPr="00F42A3A" w:rsidRDefault="00FF2998" w:rsidP="006B08A2">
      <w:pPr>
        <w:pStyle w:val="Itadfootnotestyle"/>
      </w:pPr>
      <w:r w:rsidRPr="00F42A3A">
        <w:rPr>
          <w:rStyle w:val="FootnoteReference"/>
        </w:rPr>
        <w:footnoteRef/>
      </w:r>
      <w:r w:rsidRPr="00F42A3A">
        <w:t xml:space="preserve"> </w:t>
      </w:r>
      <w:r w:rsidRPr="009876C2">
        <w:t>ICAI. (2018). DFID</w:t>
      </w:r>
      <w:r w:rsidR="00AA6A7B">
        <w:t>’</w:t>
      </w:r>
      <w:r w:rsidRPr="009876C2">
        <w:t xml:space="preserve">s approach to </w:t>
      </w:r>
      <w:r>
        <w:t>VfM</w:t>
      </w:r>
      <w:r w:rsidRPr="009876C2">
        <w:t xml:space="preserve"> in programme and portfolio management: a performance review. London: ICAI.</w:t>
      </w:r>
    </w:p>
  </w:footnote>
  <w:footnote w:id="173">
    <w:p w14:paraId="2EA6DDDF" w14:textId="77777777" w:rsidR="00FF2998" w:rsidRDefault="00FF2998" w:rsidP="006B08A2">
      <w:pPr>
        <w:pStyle w:val="Itadfootnotestyle"/>
      </w:pPr>
      <w:r>
        <w:rPr>
          <w:rStyle w:val="FootnoteReference"/>
        </w:rPr>
        <w:footnoteRef/>
      </w:r>
      <w:r>
        <w:t xml:space="preserve"> This is a positive finding: </w:t>
      </w:r>
      <w:r w:rsidRPr="008343D7">
        <w:t>although there were delays in implementation, resources have been reprogrammed and timelines extended without additional funding from DHSC in most cases</w:t>
      </w:r>
    </w:p>
  </w:footnote>
  <w:footnote w:id="174">
    <w:p w14:paraId="529A9126" w14:textId="77777777" w:rsidR="00FF2998" w:rsidRPr="00DD3E0B" w:rsidRDefault="00FF2998" w:rsidP="006B08A2">
      <w:pPr>
        <w:pStyle w:val="Itadfootnotestyle"/>
      </w:pPr>
      <w:r w:rsidRPr="00961E67">
        <w:rPr>
          <w:rStyle w:val="FootnoteReference"/>
        </w:rPr>
        <w:footnoteRef/>
      </w:r>
      <w:r w:rsidRPr="00961E67">
        <w:t xml:space="preserve"> The evaluation noted that their progress towards IOs was not tracked and consequently the </w:t>
      </w:r>
      <w:r w:rsidRPr="00115A7D">
        <w:t>Fleming Fund</w:t>
      </w:r>
      <w:r w:rsidRPr="00961E67">
        <w:t xml:space="preserve"> was not able to course correct to maximise effectiveness at the level of IOs.</w:t>
      </w:r>
      <w:r>
        <w:t xml:space="preserve"> </w:t>
      </w:r>
      <w:r w:rsidRPr="00961E67">
        <w:t xml:space="preserve">This was in part due to the MA not being contracted to deliver IOs, and so not accountable for progress at that level. </w:t>
      </w:r>
    </w:p>
  </w:footnote>
  <w:footnote w:id="175">
    <w:p w14:paraId="0EBF302E" w14:textId="77777777" w:rsidR="00FF2998" w:rsidRPr="002B04A6" w:rsidRDefault="00FF2998" w:rsidP="00FF2998">
      <w:pPr>
        <w:pStyle w:val="FootnoteText"/>
      </w:pPr>
      <w:r>
        <w:rPr>
          <w:rStyle w:val="FootnoteReference"/>
        </w:rPr>
        <w:footnoteRef/>
      </w:r>
      <w:r>
        <w:t xml:space="preserve"> </w:t>
      </w:r>
      <w:r w:rsidRPr="00C00975">
        <w:t>Business Case, paragraphs 5.6 and 5.5.</w:t>
      </w:r>
    </w:p>
  </w:footnote>
  <w:footnote w:id="176">
    <w:p w14:paraId="57A8123A" w14:textId="77777777" w:rsidR="00FF2998" w:rsidRPr="00551F0C" w:rsidRDefault="00FF2998" w:rsidP="005450AC">
      <w:pPr>
        <w:pStyle w:val="Itadfootnotestyle"/>
      </w:pPr>
      <w:r>
        <w:rPr>
          <w:rStyle w:val="Error-Funotenzeichen61"/>
        </w:rPr>
        <w:footnoteRef/>
      </w:r>
      <w:r>
        <w:t xml:space="preserve"> Recognising that other things need to be in place in order for data to be used, as </w:t>
      </w:r>
      <w:r w:rsidRPr="00340157">
        <w:t xml:space="preserve">discussed in section </w:t>
      </w:r>
      <w:r w:rsidRPr="00340157">
        <w:fldChar w:fldCharType="begin"/>
      </w:r>
      <w:r w:rsidRPr="00340157">
        <w:instrText xml:space="preserve"> REF _Ref118236130 \r \h  \* MERGEFORMAT </w:instrText>
      </w:r>
      <w:r w:rsidRPr="00340157">
        <w:fldChar w:fldCharType="separate"/>
      </w:r>
      <w:r>
        <w:t>0</w:t>
      </w:r>
      <w:r w:rsidRPr="00340157">
        <w:fldChar w:fldCharType="end"/>
      </w:r>
      <w:r w:rsidRPr="00340157">
        <w:t>.</w:t>
      </w:r>
      <w:r>
        <w:t xml:space="preserve"> </w:t>
      </w:r>
    </w:p>
  </w:footnote>
  <w:footnote w:id="177">
    <w:p w14:paraId="03068E6B" w14:textId="0340E022" w:rsidR="00AA5971" w:rsidRDefault="00AA5971" w:rsidP="006B08A2">
      <w:pPr>
        <w:pStyle w:val="Itadfootnotestyle"/>
      </w:pPr>
      <w:r>
        <w:rPr>
          <w:rStyle w:val="FootnoteReference"/>
        </w:rPr>
        <w:footnoteRef/>
      </w:r>
      <w:r>
        <w:t xml:space="preserve"> </w:t>
      </w:r>
      <w:r w:rsidRPr="005450AC">
        <w:t>Kurowski, Christoph;</w:t>
      </w:r>
      <w:r w:rsidR="005450AC">
        <w:t xml:space="preserve"> </w:t>
      </w:r>
      <w:r w:rsidRPr="005450AC">
        <w:t>Evans, David B;</w:t>
      </w:r>
      <w:r w:rsidR="005450AC">
        <w:t xml:space="preserve"> </w:t>
      </w:r>
      <w:r w:rsidRPr="005450AC">
        <w:t>Tandon, Ajay;</w:t>
      </w:r>
      <w:r w:rsidR="005450AC">
        <w:t xml:space="preserve"> </w:t>
      </w:r>
      <w:r w:rsidRPr="005450AC">
        <w:t>Eozenou, Patrick Hoang-Vu;</w:t>
      </w:r>
      <w:r w:rsidR="005450AC">
        <w:t xml:space="preserve"> </w:t>
      </w:r>
      <w:r w:rsidRPr="005450AC">
        <w:t>Schmidt, Martin;</w:t>
      </w:r>
      <w:r w:rsidR="005450AC">
        <w:t xml:space="preserve"> </w:t>
      </w:r>
      <w:r w:rsidRPr="005450AC">
        <w:t>Irwin, Alec;</w:t>
      </w:r>
      <w:r w:rsidR="005450AC">
        <w:t xml:space="preserve"> </w:t>
      </w:r>
      <w:r w:rsidRPr="005450AC">
        <w:t>Salcedo Cain, Jewelwayne;</w:t>
      </w:r>
      <w:r w:rsidR="005450AC">
        <w:t xml:space="preserve"> </w:t>
      </w:r>
      <w:r w:rsidRPr="005450AC">
        <w:t>Pambudi, Eko Setyo;</w:t>
      </w:r>
      <w:r w:rsidR="005450AC">
        <w:t xml:space="preserve"> </w:t>
      </w:r>
      <w:r w:rsidRPr="005450AC">
        <w:t>Postolovska, Iryna.</w:t>
      </w:r>
      <w:r w:rsidR="005450AC">
        <w:t xml:space="preserve"> </w:t>
      </w:r>
      <w:r w:rsidRPr="005450AC">
        <w:t>2021.</w:t>
      </w:r>
      <w:r w:rsidR="005450AC">
        <w:t xml:space="preserve"> </w:t>
      </w:r>
      <w:r w:rsidRPr="005450AC">
        <w:t>From Double Shock to Double Recovery: Implications and Options for Health Financing in the Time of COVID-19.</w:t>
      </w:r>
      <w:r w:rsidR="005450AC">
        <w:t xml:space="preserve"> </w:t>
      </w:r>
      <w:r w:rsidRPr="005450AC">
        <w:t>Health, Nutrition and Population Discussion Paper;</w:t>
      </w:r>
      <w:r w:rsidR="005450AC">
        <w:t xml:space="preserve"> </w:t>
      </w:r>
      <w:r w:rsidRPr="005450AC">
        <w:t>©</w:t>
      </w:r>
      <w:r w:rsidR="005450AC">
        <w:t xml:space="preserve"> </w:t>
      </w:r>
      <w:r w:rsidRPr="005450AC">
        <w:t>World Bank, Washington, DC.</w:t>
      </w:r>
      <w:r w:rsidR="005450AC">
        <w:t xml:space="preserve"> </w:t>
      </w:r>
      <w:r w:rsidRPr="005450AC">
        <w:t>http://hdl.handle.net/10986/35298</w:t>
      </w:r>
    </w:p>
  </w:footnote>
  <w:footnote w:id="178">
    <w:p w14:paraId="65D019C7" w14:textId="2DDD5777" w:rsidR="00FF2998" w:rsidRDefault="00FF2998" w:rsidP="006B08A2">
      <w:pPr>
        <w:pStyle w:val="Itadfootnotestyle"/>
      </w:pPr>
      <w:r>
        <w:rPr>
          <w:rStyle w:val="FootnoteReference"/>
        </w:rPr>
        <w:footnoteRef/>
      </w:r>
      <w:r>
        <w:t xml:space="preserve"> We do note the potential role that the Tricycle protocol could play in providing a tried and tested model, but also that this was published in 2021, so not available for Fleming Fund use for the majority of </w:t>
      </w:r>
      <w:r w:rsidR="00222C91">
        <w:t>phase 1</w:t>
      </w:r>
      <w:r>
        <w:t xml:space="preserve">. </w:t>
      </w:r>
      <w:r w:rsidRPr="009876C2">
        <w:t xml:space="preserve">World Health Organisation. (2021). WHO integrated global surveillance on ESBL-producing E. coli using a </w:t>
      </w:r>
      <w:r w:rsidR="00103A03">
        <w:t>‘</w:t>
      </w:r>
      <w:r w:rsidRPr="009876C2">
        <w:t>One Health</w:t>
      </w:r>
      <w:r w:rsidR="00103A03">
        <w:t>’</w:t>
      </w:r>
      <w:r w:rsidRPr="009876C2">
        <w:t xml:space="preserve"> approach. Geneva: WHO.</w:t>
      </w:r>
    </w:p>
  </w:footnote>
  <w:footnote w:id="179">
    <w:p w14:paraId="7B79D7E8" w14:textId="77777777" w:rsidR="00FF2998" w:rsidRDefault="00FF2998" w:rsidP="006B08A2">
      <w:pPr>
        <w:pStyle w:val="Itadfootnotestyle"/>
      </w:pPr>
      <w:r>
        <w:rPr>
          <w:rStyle w:val="FootnoteReference"/>
        </w:rPr>
        <w:footnoteRef/>
      </w:r>
      <w:r>
        <w:t xml:space="preserve"> </w:t>
      </w:r>
      <w:r w:rsidRPr="009876C2">
        <w:t>World Health Organisation. (2022). Strengthening WHO preparedness for and response to health emergencies: Strengthening collaboration on One Health. World Health Organisation.</w:t>
      </w:r>
    </w:p>
  </w:footnote>
  <w:footnote w:id="180">
    <w:p w14:paraId="0C5CDFB6" w14:textId="77777777" w:rsidR="00FF2998" w:rsidRDefault="00FF2998" w:rsidP="006B08A2">
      <w:pPr>
        <w:pStyle w:val="Itadfootnotestyle"/>
      </w:pPr>
      <w:r>
        <w:rPr>
          <w:rStyle w:val="FootnoteReference"/>
        </w:rPr>
        <w:footnoteRef/>
      </w:r>
      <w:r>
        <w:t xml:space="preserve"> </w:t>
      </w:r>
      <w:r w:rsidRPr="009876C2">
        <w:t>World Health Organisation. (2022). Tripartite Zoonoses Guide: Operational tools and approaches for zoonotic diseases. Retrieved from World Health Organisation: https://www.who.int/initiatives/tripartite-zoonosis-guide</w:t>
      </w:r>
    </w:p>
  </w:footnote>
  <w:footnote w:id="181">
    <w:p w14:paraId="61FF097B" w14:textId="77777777" w:rsidR="00FF2998" w:rsidRPr="00A366AD" w:rsidRDefault="00FF2998" w:rsidP="006B08A2">
      <w:pPr>
        <w:pStyle w:val="Itadfootnotestyle"/>
      </w:pPr>
      <w:r>
        <w:rPr>
          <w:rStyle w:val="FootnoteReference"/>
        </w:rPr>
        <w:footnoteRef/>
      </w:r>
      <w:r>
        <w:t xml:space="preserve"> </w:t>
      </w:r>
      <w:r w:rsidRPr="00A366AD">
        <w:t>UK Health Security Agency. (2015). Human Animal Infections and Risk Surveillance group (HAIRS). Retrieved from Gov.uk: https://www.gov.uk/government/collections/human-animal-infections-and-risk-surveillance-group-hairs#:~:text=Contents&amp;text=The%20Human%20Animal%20Infections%20and%20Risk%20Surveillance%20(%20HAIRS%20)%20group%20is,threat%20to%20UK%20public%20health</w:t>
      </w:r>
    </w:p>
  </w:footnote>
  <w:footnote w:id="182">
    <w:p w14:paraId="2A5AC415" w14:textId="77777777" w:rsidR="000D7769" w:rsidRDefault="000D7769" w:rsidP="000D7769">
      <w:pPr>
        <w:pStyle w:val="FootnoteText"/>
      </w:pPr>
      <w:r>
        <w:rPr>
          <w:rStyle w:val="FootnoteReference"/>
        </w:rPr>
        <w:footnoteRef/>
      </w:r>
      <w:r>
        <w:t xml:space="preserve"> Purdah is a period of pre-election sensitivity when </w:t>
      </w:r>
      <w:r w:rsidRPr="00B96E32">
        <w:t>Government departments and councils will normally observe discretion about making new announcements or decisions that could influence voters</w:t>
      </w:r>
      <w:r>
        <w:t>.</w:t>
      </w:r>
      <w:r w:rsidRPr="00B96E32">
        <w:t xml:space="preserve"> </w:t>
      </w:r>
      <w:r w:rsidRPr="001D651D">
        <w:t>https://commonslibrary.parliament.uk/research-briefings/sn05262/</w:t>
      </w:r>
    </w:p>
  </w:footnote>
  <w:footnote w:id="183">
    <w:p w14:paraId="101B8EA6" w14:textId="4A04B7B4" w:rsidR="00FF2998" w:rsidRPr="00F92ED7" w:rsidRDefault="00FF2998" w:rsidP="0000609E">
      <w:pPr>
        <w:pStyle w:val="Itadfootnotestyle"/>
      </w:pPr>
      <w:r>
        <w:rPr>
          <w:rStyle w:val="FootnoteReference"/>
        </w:rPr>
        <w:footnoteRef/>
      </w:r>
      <w:r>
        <w:t xml:space="preserve"> </w:t>
      </w:r>
      <w:r w:rsidRPr="00551F0C">
        <w:t>S</w:t>
      </w:r>
      <w:r w:rsidRPr="008343D7">
        <w:rPr>
          <w:lang w:eastAsia="en-GB"/>
        </w:rPr>
        <w:t>coping and positioning work took longer than the six months initially expected, with delays in start-up of grants ranging from 1</w:t>
      </w:r>
      <w:r w:rsidR="00D0686F">
        <w:rPr>
          <w:lang w:eastAsia="en-GB"/>
        </w:rPr>
        <w:t xml:space="preserve"> to </w:t>
      </w:r>
      <w:r w:rsidRPr="008343D7">
        <w:rPr>
          <w:lang w:eastAsia="en-GB"/>
        </w:rPr>
        <w:t>20 months and averaging 6.25 months.</w:t>
      </w:r>
    </w:p>
  </w:footnote>
  <w:footnote w:id="184">
    <w:p w14:paraId="0C3C3D6A" w14:textId="77777777" w:rsidR="00FF2998" w:rsidRPr="00D00F55" w:rsidRDefault="00FF2998" w:rsidP="0000609E">
      <w:pPr>
        <w:pStyle w:val="Itadfootnotestyle"/>
        <w:rPr>
          <w:lang w:val="en-US"/>
        </w:rPr>
      </w:pPr>
      <w:r>
        <w:rPr>
          <w:rStyle w:val="FootnoteReference"/>
        </w:rPr>
        <w:footnoteRef/>
      </w:r>
      <w:r>
        <w:t xml:space="preserve"> </w:t>
      </w:r>
      <w:r w:rsidRPr="003E24D9">
        <w:t>World Bank. (2021, June 3). The World Bank. Retrieved from Safeguarding Animal, Human and Ecosystem Health: One Health at the World Bank</w:t>
      </w:r>
      <w:r>
        <w:t>.</w:t>
      </w:r>
      <w:r w:rsidRPr="003E24D9">
        <w:t xml:space="preserve"> </w:t>
      </w:r>
      <w:r>
        <w:t xml:space="preserve">Available at: </w:t>
      </w:r>
      <w:r w:rsidRPr="003E24D9">
        <w:t>https://www.worldbank.org/en/topic/agriculture/brief/safeguarding-animal-human-and-ecosystem-health-one-health-at-the-world-bank</w:t>
      </w:r>
    </w:p>
  </w:footnote>
  <w:footnote w:id="185">
    <w:p w14:paraId="7E0CCD71" w14:textId="01CA6F23" w:rsidR="00FF2998" w:rsidRPr="00337662" w:rsidRDefault="00FF2998" w:rsidP="0000609E">
      <w:pPr>
        <w:pStyle w:val="Itadfootnotestyle"/>
      </w:pPr>
      <w:r>
        <w:rPr>
          <w:rStyle w:val="FootnoteReference"/>
        </w:rPr>
        <w:footnoteRef/>
      </w:r>
      <w:r>
        <w:t xml:space="preserve"> </w:t>
      </w:r>
      <w:r w:rsidRPr="006C31E6">
        <w:t>ICAI. (2015). DFID</w:t>
      </w:r>
      <w:r w:rsidR="00AA6A7B">
        <w:t>’</w:t>
      </w:r>
      <w:r w:rsidRPr="006C31E6">
        <w:t xml:space="preserve">s approach to delivering impact. </w:t>
      </w:r>
      <w:r>
        <w:t xml:space="preserve">Available at: </w:t>
      </w:r>
      <w:r w:rsidRPr="009E59A6">
        <w:t>https://icai.independent.gov.uk/wp-content/uploads/ICAI-report-DFIDs-approach-to-Delivering-Impact.pdf</w:t>
      </w:r>
    </w:p>
  </w:footnote>
  <w:footnote w:id="186">
    <w:p w14:paraId="4C326242" w14:textId="77777777" w:rsidR="00FF2998" w:rsidRPr="00E25E80" w:rsidRDefault="00FF2998" w:rsidP="0000609E">
      <w:pPr>
        <w:pStyle w:val="Itadfootnotestyle"/>
      </w:pPr>
      <w:r>
        <w:rPr>
          <w:rStyle w:val="FootnoteReference"/>
        </w:rPr>
        <w:footnoteRef/>
      </w:r>
      <w:r>
        <w:t xml:space="preserve"> </w:t>
      </w:r>
      <w:r w:rsidRPr="00E25E80">
        <w:t xml:space="preserve">Vähämäki, J. &amp; C. Verger (2019) Learning from Results-Based Management evaluations and reviews. OECD Development Co-Operation Working Paper 53. OECD. Paris. March 2019. </w:t>
      </w:r>
      <w:hyperlink r:id="rId13" w:history="1">
        <w:r w:rsidRPr="007377DA">
          <w:rPr>
            <w:rStyle w:val="Hyperlink"/>
          </w:rPr>
          <w:t>https://www.oecd-ilibrary.org/docserver/3fda0081-en.pdf?expires=1586440136&amp;id=id&amp;accname=guest&amp;checksum=EDDD4196D5257F2D6DD73BB8157AB7BE</w:t>
        </w:r>
      </w:hyperlink>
      <w:r>
        <w:t xml:space="preserve"> </w:t>
      </w:r>
    </w:p>
  </w:footnote>
  <w:footnote w:id="187">
    <w:p w14:paraId="43F061B5" w14:textId="296A7B7C" w:rsidR="00FF2998" w:rsidRPr="000C30A0" w:rsidRDefault="00FF2998" w:rsidP="0000609E">
      <w:pPr>
        <w:pStyle w:val="Itadfootnotestyle"/>
      </w:pPr>
      <w:r w:rsidRPr="00387DE6">
        <w:rPr>
          <w:rStyle w:val="FootnoteReference"/>
        </w:rPr>
        <w:footnoteRef/>
      </w:r>
      <w:r w:rsidRPr="00387DE6">
        <w:t xml:space="preserve"> DHSC Terms of Reference: Management Agent for The Fleming Fund – para 2.4 and 2.5, which lists eight indicative focus areas for the grants portfolio, only one of which mentions </w:t>
      </w:r>
      <w:r w:rsidR="00103A03">
        <w:t>‘</w:t>
      </w:r>
      <w:r w:rsidRPr="00387DE6">
        <w:rPr>
          <w:rFonts w:eastAsia="Calibri"/>
          <w:lang w:val="en-US"/>
        </w:rPr>
        <w:t>Policy and advocacy work with national governments, using AMR data and analysis collected to make the case for evidence based public health interventions</w:t>
      </w:r>
      <w:r w:rsidR="00103A03">
        <w:t>’</w:t>
      </w:r>
      <w:r w:rsidRPr="00387DE6">
        <w:t>.</w:t>
      </w:r>
    </w:p>
  </w:footnote>
  <w:footnote w:id="188">
    <w:p w14:paraId="77E12D86" w14:textId="6FBD4EC9" w:rsidR="00FF2998" w:rsidRDefault="00FF2998" w:rsidP="006B53D0">
      <w:pPr>
        <w:pStyle w:val="Itadfootnotestyle"/>
      </w:pPr>
      <w:r>
        <w:rPr>
          <w:rStyle w:val="FootnoteReference"/>
        </w:rPr>
        <w:footnoteRef/>
      </w:r>
      <w:r>
        <w:t xml:space="preserve"> See FCDO Programme Operating Framework, section 5.3: </w:t>
      </w:r>
      <w:hyperlink r:id="rId14" w:history="1">
        <w:r w:rsidRPr="00A32A92">
          <w:rPr>
            <w:rStyle w:val="Hyperlink"/>
          </w:rPr>
          <w:t>https://assets.publishing.service.gov.uk/government/uploads/system/uploads/attachment_data/file/1115116/Programme-Operating-Framework-Nov22.odt</w:t>
        </w:r>
      </w:hyperlink>
      <w:r w:rsidR="00DC1D8D">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37B5D" w14:textId="497A2563" w:rsidR="00215994" w:rsidRPr="009A4F3E" w:rsidRDefault="009A4F3E" w:rsidP="009A4F3E">
    <w:pPr>
      <w:pStyle w:val="ItadHeader"/>
      <w:rPr>
        <w:color w:val="808080" w:themeColor="background1" w:themeShade="80"/>
      </w:rPr>
    </w:pPr>
    <w:r>
      <w:rPr>
        <w:color w:val="808080" w:themeColor="background1" w:themeShade="80"/>
      </w:rPr>
      <w:t>Fleming Fund: Summative Report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70"/>
      <w:gridCol w:w="3170"/>
      <w:gridCol w:w="3170"/>
    </w:tblGrid>
    <w:tr w:rsidR="700EA821" w14:paraId="137FA627" w14:textId="77777777" w:rsidTr="00504E64">
      <w:trPr>
        <w:trHeight w:val="300"/>
      </w:trPr>
      <w:tc>
        <w:tcPr>
          <w:tcW w:w="3170" w:type="dxa"/>
        </w:tcPr>
        <w:p w14:paraId="5F29DDAD" w14:textId="3DE90BE4" w:rsidR="700EA821" w:rsidRDefault="700EA821" w:rsidP="00504E64">
          <w:pPr>
            <w:pStyle w:val="Header"/>
            <w:ind w:left="-115"/>
          </w:pPr>
        </w:p>
      </w:tc>
      <w:tc>
        <w:tcPr>
          <w:tcW w:w="3170" w:type="dxa"/>
        </w:tcPr>
        <w:p w14:paraId="7969FB65" w14:textId="18C95230" w:rsidR="700EA821" w:rsidRDefault="700EA821" w:rsidP="00504E64">
          <w:pPr>
            <w:pStyle w:val="Header"/>
            <w:jc w:val="center"/>
          </w:pPr>
        </w:p>
      </w:tc>
      <w:tc>
        <w:tcPr>
          <w:tcW w:w="3170" w:type="dxa"/>
        </w:tcPr>
        <w:p w14:paraId="6E721077" w14:textId="585CF8F6" w:rsidR="700EA821" w:rsidRDefault="700EA821" w:rsidP="00504E64">
          <w:pPr>
            <w:pStyle w:val="Header"/>
            <w:ind w:right="-115"/>
            <w:jc w:val="right"/>
          </w:pPr>
        </w:p>
      </w:tc>
    </w:tr>
  </w:tbl>
  <w:p w14:paraId="5C31E167" w14:textId="788E8726" w:rsidR="0094374B" w:rsidRDefault="0094374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2B16D" w14:textId="6B761C3F" w:rsidR="0021001A" w:rsidRPr="007360F4" w:rsidRDefault="00012EE7" w:rsidP="001A6FFB">
    <w:pPr>
      <w:pStyle w:val="ItadHeader"/>
      <w:rPr>
        <w:color w:val="808080" w:themeColor="background1" w:themeShade="80"/>
      </w:rPr>
    </w:pPr>
    <w:r>
      <w:rPr>
        <w:color w:val="808080" w:themeColor="background1" w:themeShade="80"/>
      </w:rPr>
      <w:t>Fleming Fund: Summative Report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700EA821" w14:paraId="76824442" w14:textId="77777777" w:rsidTr="00504E64">
      <w:trPr>
        <w:trHeight w:val="300"/>
      </w:trPr>
      <w:tc>
        <w:tcPr>
          <w:tcW w:w="3005" w:type="dxa"/>
        </w:tcPr>
        <w:p w14:paraId="00FF6DB3" w14:textId="42E88169" w:rsidR="700EA821" w:rsidRDefault="700EA821" w:rsidP="00504E64">
          <w:pPr>
            <w:pStyle w:val="Header"/>
            <w:ind w:left="-115"/>
          </w:pPr>
        </w:p>
      </w:tc>
      <w:tc>
        <w:tcPr>
          <w:tcW w:w="3005" w:type="dxa"/>
        </w:tcPr>
        <w:p w14:paraId="11326A72" w14:textId="58C66D45" w:rsidR="700EA821" w:rsidRDefault="700EA821" w:rsidP="00504E64">
          <w:pPr>
            <w:pStyle w:val="Header"/>
            <w:jc w:val="center"/>
          </w:pPr>
        </w:p>
      </w:tc>
      <w:tc>
        <w:tcPr>
          <w:tcW w:w="3005" w:type="dxa"/>
        </w:tcPr>
        <w:p w14:paraId="6E58E64E" w14:textId="17B879D1" w:rsidR="700EA821" w:rsidRDefault="700EA821" w:rsidP="00504E64">
          <w:pPr>
            <w:pStyle w:val="Header"/>
            <w:ind w:right="-115"/>
            <w:jc w:val="right"/>
          </w:pPr>
        </w:p>
      </w:tc>
    </w:tr>
  </w:tbl>
  <w:p w14:paraId="7865F068" w14:textId="744713AF" w:rsidR="0094374B" w:rsidRDefault="0094374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996A20" w14:textId="3B6E7818" w:rsidR="00215994" w:rsidRPr="001D1F7D" w:rsidRDefault="00215994" w:rsidP="001D1F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A89394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2637EA"/>
    <w:multiLevelType w:val="hybridMultilevel"/>
    <w:tmpl w:val="0798CDFA"/>
    <w:lvl w:ilvl="0" w:tplc="D862A44C">
      <w:start w:val="1"/>
      <w:numFmt w:val="bullet"/>
      <w:lvlText w:val=""/>
      <w:lvlJc w:val="left"/>
      <w:pPr>
        <w:ind w:left="862" w:hanging="360"/>
      </w:pPr>
      <w:rPr>
        <w:rFonts w:ascii="Wingdings" w:hAnsi="Wingdings" w:hint="default"/>
      </w:rPr>
    </w:lvl>
    <w:lvl w:ilvl="1" w:tplc="FFFFFFFF">
      <w:start w:val="1"/>
      <w:numFmt w:val="bullet"/>
      <w:lvlText w:val="o"/>
      <w:lvlJc w:val="left"/>
      <w:pPr>
        <w:ind w:left="1582" w:hanging="360"/>
      </w:pPr>
      <w:rPr>
        <w:rFonts w:ascii="Courier New" w:hAnsi="Courier New" w:cs="Courier New" w:hint="default"/>
      </w:rPr>
    </w:lvl>
    <w:lvl w:ilvl="2" w:tplc="FFFFFFFF" w:tentative="1">
      <w:start w:val="1"/>
      <w:numFmt w:val="bullet"/>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cs="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cs="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2" w15:restartNumberingAfterBreak="0">
    <w:nsid w:val="0223293C"/>
    <w:multiLevelType w:val="hybridMultilevel"/>
    <w:tmpl w:val="27CE5C32"/>
    <w:lvl w:ilvl="0" w:tplc="FFFFFFFF">
      <w:start w:val="1"/>
      <w:numFmt w:val="decimal"/>
      <w:lvlText w:val="%1."/>
      <w:lvlJc w:val="left"/>
      <w:pPr>
        <w:ind w:left="360" w:hanging="360"/>
      </w:pPr>
    </w:lvl>
    <w:lvl w:ilvl="1" w:tplc="D862A44C">
      <w:start w:val="1"/>
      <w:numFmt w:val="bullet"/>
      <w:lvlText w:val=""/>
      <w:lvlJc w:val="left"/>
      <w:pPr>
        <w:ind w:left="360" w:hanging="360"/>
      </w:pPr>
      <w:rPr>
        <w:rFonts w:ascii="Wingdings" w:hAnsi="Wingding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 w15:restartNumberingAfterBreak="0">
    <w:nsid w:val="03A86A6F"/>
    <w:multiLevelType w:val="hybridMultilevel"/>
    <w:tmpl w:val="FC9CA27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C372FE"/>
    <w:multiLevelType w:val="hybridMultilevel"/>
    <w:tmpl w:val="7ACA3CF4"/>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5BF1EB1"/>
    <w:multiLevelType w:val="multilevel"/>
    <w:tmpl w:val="4DD09EB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5EC6081"/>
    <w:multiLevelType w:val="hybridMultilevel"/>
    <w:tmpl w:val="224C39D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FC4E73"/>
    <w:multiLevelType w:val="hybridMultilevel"/>
    <w:tmpl w:val="DB2A66B8"/>
    <w:lvl w:ilvl="0" w:tplc="29AABA84">
      <w:start w:val="1"/>
      <w:numFmt w:val="decimal"/>
      <w:pStyle w:val="Itadboxnumbers"/>
      <w:lvlText w:val="Box %1."/>
      <w:lvlJc w:val="left"/>
      <w:pPr>
        <w:ind w:left="777" w:hanging="360"/>
      </w:pPr>
      <w:rPr>
        <w:rFonts w:hint="default"/>
      </w:rPr>
    </w:lvl>
    <w:lvl w:ilvl="1" w:tplc="08090019" w:tentative="1">
      <w:start w:val="1"/>
      <w:numFmt w:val="lowerLetter"/>
      <w:lvlText w:val="%2."/>
      <w:lvlJc w:val="left"/>
      <w:pPr>
        <w:ind w:left="1497" w:hanging="360"/>
      </w:pPr>
    </w:lvl>
    <w:lvl w:ilvl="2" w:tplc="0809001B" w:tentative="1">
      <w:start w:val="1"/>
      <w:numFmt w:val="lowerRoman"/>
      <w:lvlText w:val="%3."/>
      <w:lvlJc w:val="right"/>
      <w:pPr>
        <w:ind w:left="2217" w:hanging="180"/>
      </w:pPr>
    </w:lvl>
    <w:lvl w:ilvl="3" w:tplc="0809000F" w:tentative="1">
      <w:start w:val="1"/>
      <w:numFmt w:val="decimal"/>
      <w:lvlText w:val="%4."/>
      <w:lvlJc w:val="left"/>
      <w:pPr>
        <w:ind w:left="2937" w:hanging="360"/>
      </w:pPr>
    </w:lvl>
    <w:lvl w:ilvl="4" w:tplc="08090019" w:tentative="1">
      <w:start w:val="1"/>
      <w:numFmt w:val="lowerLetter"/>
      <w:lvlText w:val="%5."/>
      <w:lvlJc w:val="left"/>
      <w:pPr>
        <w:ind w:left="3657" w:hanging="360"/>
      </w:pPr>
    </w:lvl>
    <w:lvl w:ilvl="5" w:tplc="0809001B" w:tentative="1">
      <w:start w:val="1"/>
      <w:numFmt w:val="lowerRoman"/>
      <w:lvlText w:val="%6."/>
      <w:lvlJc w:val="right"/>
      <w:pPr>
        <w:ind w:left="4377" w:hanging="180"/>
      </w:pPr>
    </w:lvl>
    <w:lvl w:ilvl="6" w:tplc="0809000F" w:tentative="1">
      <w:start w:val="1"/>
      <w:numFmt w:val="decimal"/>
      <w:lvlText w:val="%7."/>
      <w:lvlJc w:val="left"/>
      <w:pPr>
        <w:ind w:left="5097" w:hanging="360"/>
      </w:pPr>
    </w:lvl>
    <w:lvl w:ilvl="7" w:tplc="08090019" w:tentative="1">
      <w:start w:val="1"/>
      <w:numFmt w:val="lowerLetter"/>
      <w:lvlText w:val="%8."/>
      <w:lvlJc w:val="left"/>
      <w:pPr>
        <w:ind w:left="5817" w:hanging="360"/>
      </w:pPr>
    </w:lvl>
    <w:lvl w:ilvl="8" w:tplc="0809001B" w:tentative="1">
      <w:start w:val="1"/>
      <w:numFmt w:val="lowerRoman"/>
      <w:lvlText w:val="%9."/>
      <w:lvlJc w:val="right"/>
      <w:pPr>
        <w:ind w:left="6537" w:hanging="180"/>
      </w:pPr>
    </w:lvl>
  </w:abstractNum>
  <w:abstractNum w:abstractNumId="8" w15:restartNumberingAfterBreak="0">
    <w:nsid w:val="09942BD0"/>
    <w:multiLevelType w:val="hybridMultilevel"/>
    <w:tmpl w:val="1AEAD7F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0B625AFA"/>
    <w:multiLevelType w:val="hybridMultilevel"/>
    <w:tmpl w:val="4912C444"/>
    <w:lvl w:ilvl="0" w:tplc="DC203540">
      <w:start w:val="1"/>
      <w:numFmt w:val="decimal"/>
      <w:pStyle w:val="Itadnumberedparas"/>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DCB450B"/>
    <w:multiLevelType w:val="hybridMultilevel"/>
    <w:tmpl w:val="831C345E"/>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107C0F9A"/>
    <w:multiLevelType w:val="multilevel"/>
    <w:tmpl w:val="3E5CC6A8"/>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53373BB"/>
    <w:multiLevelType w:val="hybridMultilevel"/>
    <w:tmpl w:val="8BC6C5A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16601541"/>
    <w:multiLevelType w:val="hybridMultilevel"/>
    <w:tmpl w:val="2B8E55C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F703F0"/>
    <w:multiLevelType w:val="hybridMultilevel"/>
    <w:tmpl w:val="D674BE6A"/>
    <w:lvl w:ilvl="0" w:tplc="FFFFFFFF">
      <w:start w:val="1"/>
      <w:numFmt w:val="decimal"/>
      <w:lvlText w:val="%1."/>
      <w:lvlJc w:val="left"/>
      <w:pPr>
        <w:ind w:left="360" w:hanging="360"/>
      </w:pPr>
    </w:lvl>
    <w:lvl w:ilvl="1" w:tplc="D862A44C">
      <w:start w:val="1"/>
      <w:numFmt w:val="bullet"/>
      <w:lvlText w:val=""/>
      <w:lvlJc w:val="left"/>
      <w:pPr>
        <w:ind w:left="360" w:hanging="360"/>
      </w:pPr>
      <w:rPr>
        <w:rFonts w:ascii="Wingdings" w:hAnsi="Wingding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5" w15:restartNumberingAfterBreak="0">
    <w:nsid w:val="1A9B52E7"/>
    <w:multiLevelType w:val="hybridMultilevel"/>
    <w:tmpl w:val="001ECD42"/>
    <w:lvl w:ilvl="0" w:tplc="FF6A1874">
      <w:start w:val="1"/>
      <w:numFmt w:val="decimal"/>
      <w:pStyle w:val="ItadSectionTitleBlocknumbered"/>
      <w:lvlText w:val="%1."/>
      <w:lvlJc w:val="left"/>
      <w:pPr>
        <w:ind w:left="879" w:hanging="360"/>
      </w:pPr>
    </w:lvl>
    <w:lvl w:ilvl="1" w:tplc="08090019" w:tentative="1">
      <w:start w:val="1"/>
      <w:numFmt w:val="lowerLetter"/>
      <w:lvlText w:val="%2."/>
      <w:lvlJc w:val="left"/>
      <w:pPr>
        <w:ind w:left="1599" w:hanging="360"/>
      </w:pPr>
    </w:lvl>
    <w:lvl w:ilvl="2" w:tplc="0809001B" w:tentative="1">
      <w:start w:val="1"/>
      <w:numFmt w:val="lowerRoman"/>
      <w:lvlText w:val="%3."/>
      <w:lvlJc w:val="right"/>
      <w:pPr>
        <w:ind w:left="2319" w:hanging="180"/>
      </w:pPr>
    </w:lvl>
    <w:lvl w:ilvl="3" w:tplc="0809000F" w:tentative="1">
      <w:start w:val="1"/>
      <w:numFmt w:val="decimal"/>
      <w:lvlText w:val="%4."/>
      <w:lvlJc w:val="left"/>
      <w:pPr>
        <w:ind w:left="3039" w:hanging="360"/>
      </w:pPr>
    </w:lvl>
    <w:lvl w:ilvl="4" w:tplc="08090019" w:tentative="1">
      <w:start w:val="1"/>
      <w:numFmt w:val="lowerLetter"/>
      <w:lvlText w:val="%5."/>
      <w:lvlJc w:val="left"/>
      <w:pPr>
        <w:ind w:left="3759" w:hanging="360"/>
      </w:pPr>
    </w:lvl>
    <w:lvl w:ilvl="5" w:tplc="0809001B" w:tentative="1">
      <w:start w:val="1"/>
      <w:numFmt w:val="lowerRoman"/>
      <w:lvlText w:val="%6."/>
      <w:lvlJc w:val="right"/>
      <w:pPr>
        <w:ind w:left="4479" w:hanging="180"/>
      </w:pPr>
    </w:lvl>
    <w:lvl w:ilvl="6" w:tplc="0809000F" w:tentative="1">
      <w:start w:val="1"/>
      <w:numFmt w:val="decimal"/>
      <w:lvlText w:val="%7."/>
      <w:lvlJc w:val="left"/>
      <w:pPr>
        <w:ind w:left="5199" w:hanging="360"/>
      </w:pPr>
    </w:lvl>
    <w:lvl w:ilvl="7" w:tplc="08090019" w:tentative="1">
      <w:start w:val="1"/>
      <w:numFmt w:val="lowerLetter"/>
      <w:lvlText w:val="%8."/>
      <w:lvlJc w:val="left"/>
      <w:pPr>
        <w:ind w:left="5919" w:hanging="360"/>
      </w:pPr>
    </w:lvl>
    <w:lvl w:ilvl="8" w:tplc="0809001B" w:tentative="1">
      <w:start w:val="1"/>
      <w:numFmt w:val="lowerRoman"/>
      <w:lvlText w:val="%9."/>
      <w:lvlJc w:val="right"/>
      <w:pPr>
        <w:ind w:left="6639" w:hanging="180"/>
      </w:pPr>
    </w:lvl>
  </w:abstractNum>
  <w:abstractNum w:abstractNumId="16" w15:restartNumberingAfterBreak="0">
    <w:nsid w:val="1CB92B5F"/>
    <w:multiLevelType w:val="hybridMultilevel"/>
    <w:tmpl w:val="BAACE894"/>
    <w:lvl w:ilvl="0" w:tplc="D862A44C">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1EEA1ED2"/>
    <w:multiLevelType w:val="hybridMultilevel"/>
    <w:tmpl w:val="8DAA501E"/>
    <w:lvl w:ilvl="0" w:tplc="F836CDB8">
      <w:start w:val="1"/>
      <w:numFmt w:val="bullet"/>
      <w:pStyle w:val="ItadSubbullets"/>
      <w:lvlText w:val="o"/>
      <w:lvlJc w:val="left"/>
      <w:pPr>
        <w:ind w:left="1004" w:hanging="360"/>
      </w:pPr>
      <w:rPr>
        <w:rFonts w:ascii="Courier New" w:hAnsi="Courier New" w:cs="Courier New"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1F386F69"/>
    <w:multiLevelType w:val="hybridMultilevel"/>
    <w:tmpl w:val="DD687140"/>
    <w:lvl w:ilvl="0" w:tplc="0056618E">
      <w:start w:val="1"/>
      <w:numFmt w:val="bullet"/>
      <w:pStyle w:val="ItadBullets"/>
      <w:lvlText w:val=""/>
      <w:lvlJc w:val="left"/>
      <w:pPr>
        <w:ind w:left="107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3937DE9"/>
    <w:multiLevelType w:val="multilevel"/>
    <w:tmpl w:val="9AD0939C"/>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87C4EBD"/>
    <w:multiLevelType w:val="multilevel"/>
    <w:tmpl w:val="07E89F68"/>
    <w:lvl w:ilvl="0">
      <w:start w:val="1"/>
      <w:numFmt w:val="decimal"/>
      <w:pStyle w:val="Heading1"/>
      <w:lvlText w:val="%1"/>
      <w:lvlJc w:val="left"/>
      <w:pPr>
        <w:tabs>
          <w:tab w:val="num" w:pos="567"/>
        </w:tabs>
        <w:ind w:left="0" w:firstLine="567"/>
      </w:pPr>
      <w:rPr>
        <w:specVanish w:val="0"/>
      </w:rPr>
    </w:lvl>
    <w:lvl w:ilvl="1">
      <w:start w:val="1"/>
      <w:numFmt w:val="decimal"/>
      <w:pStyle w:val="Heading2"/>
      <w:lvlText w:val="%1.%2"/>
      <w:lvlJc w:val="left"/>
      <w:pPr>
        <w:tabs>
          <w:tab w:val="num" w:pos="567"/>
        </w:tabs>
        <w:ind w:left="0" w:firstLine="567"/>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3"/>
        </w:tabs>
        <w:ind w:left="-567" w:firstLine="567"/>
      </w:pPr>
      <w:rPr>
        <w:color w:val="3FB84E"/>
        <w:sz w:val="24"/>
        <w:szCs w:val="24"/>
        <w:specVanish w:val="0"/>
      </w:rPr>
    </w:lvl>
    <w:lvl w:ilvl="3">
      <w:start w:val="1"/>
      <w:numFmt w:val="decimal"/>
      <w:pStyle w:val="Heading4"/>
      <w:lvlText w:val="%1.%2.%3.%4"/>
      <w:lvlJc w:val="left"/>
      <w:pPr>
        <w:tabs>
          <w:tab w:val="num" w:pos="793"/>
        </w:tabs>
        <w:ind w:left="0" w:firstLine="567"/>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906"/>
        </w:tabs>
        <w:ind w:left="0" w:firstLine="906"/>
      </w:pPr>
      <w:rPr>
        <w:rFonts w:hint="default"/>
        <w:color w:val="3FB84E" w:themeColor="accent3"/>
      </w:rPr>
    </w:lvl>
    <w:lvl w:ilvl="5">
      <w:start w:val="1"/>
      <w:numFmt w:val="decimal"/>
      <w:lvlText w:val="%1.%2.%3.%4.%5.%6"/>
      <w:lvlJc w:val="left"/>
      <w:pPr>
        <w:tabs>
          <w:tab w:val="num" w:pos="1019"/>
        </w:tabs>
        <w:ind w:left="0" w:firstLine="1019"/>
      </w:pPr>
      <w:rPr>
        <w:rFonts w:hint="default"/>
        <w:color w:val="3FB84E" w:themeColor="accent3"/>
      </w:rPr>
    </w:lvl>
    <w:lvl w:ilvl="6">
      <w:start w:val="1"/>
      <w:numFmt w:val="decimal"/>
      <w:lvlText w:val="%1.%2.%3.%4.%5.%6.%7"/>
      <w:lvlJc w:val="left"/>
      <w:pPr>
        <w:tabs>
          <w:tab w:val="num" w:pos="1132"/>
        </w:tabs>
        <w:ind w:left="0" w:firstLine="1132"/>
      </w:pPr>
      <w:rPr>
        <w:rFonts w:hint="default"/>
        <w:color w:val="3FB84E" w:themeColor="accent3"/>
      </w:rPr>
    </w:lvl>
    <w:lvl w:ilvl="7">
      <w:start w:val="1"/>
      <w:numFmt w:val="decimal"/>
      <w:lvlText w:val="%1.%2.%3.%4.%5.%6.%7.%8"/>
      <w:lvlJc w:val="left"/>
      <w:pPr>
        <w:tabs>
          <w:tab w:val="num" w:pos="1245"/>
        </w:tabs>
        <w:ind w:left="0" w:firstLine="1245"/>
      </w:pPr>
      <w:rPr>
        <w:rFonts w:hint="default"/>
        <w:color w:val="3FB84E" w:themeColor="accent3"/>
      </w:rPr>
    </w:lvl>
    <w:lvl w:ilvl="8">
      <w:start w:val="1"/>
      <w:numFmt w:val="decimal"/>
      <w:lvlText w:val="%1.%2.%3.%4.%5.%6.%7.%8.%9"/>
      <w:lvlJc w:val="left"/>
      <w:pPr>
        <w:tabs>
          <w:tab w:val="num" w:pos="1358"/>
        </w:tabs>
        <w:ind w:left="0" w:firstLine="1358"/>
      </w:pPr>
      <w:rPr>
        <w:rFonts w:hint="default"/>
        <w:color w:val="3FB84E" w:themeColor="accent3"/>
      </w:rPr>
    </w:lvl>
  </w:abstractNum>
  <w:abstractNum w:abstractNumId="21" w15:restartNumberingAfterBreak="0">
    <w:nsid w:val="29CD46CB"/>
    <w:multiLevelType w:val="hybridMultilevel"/>
    <w:tmpl w:val="A7224B86"/>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2A967311"/>
    <w:multiLevelType w:val="hybridMultilevel"/>
    <w:tmpl w:val="813EC114"/>
    <w:lvl w:ilvl="0" w:tplc="19264A3E">
      <w:start w:val="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4D4A6B"/>
    <w:multiLevelType w:val="hybridMultilevel"/>
    <w:tmpl w:val="E62CDD58"/>
    <w:lvl w:ilvl="0" w:tplc="D862A44C">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354B4B6E"/>
    <w:multiLevelType w:val="hybridMultilevel"/>
    <w:tmpl w:val="464C1D5A"/>
    <w:lvl w:ilvl="0" w:tplc="6EDA0D8E">
      <w:start w:val="1"/>
      <w:numFmt w:val="decimal"/>
      <w:lvlText w:val="Figure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55C40C8"/>
    <w:multiLevelType w:val="hybridMultilevel"/>
    <w:tmpl w:val="49F6B394"/>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77243D6"/>
    <w:multiLevelType w:val="hybridMultilevel"/>
    <w:tmpl w:val="508A0E14"/>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E85E03"/>
    <w:multiLevelType w:val="multilevel"/>
    <w:tmpl w:val="79DC7CB6"/>
    <w:lvl w:ilvl="0">
      <w:start w:val="1"/>
      <w:numFmt w:val="decimal"/>
      <w:pStyle w:val="Itadnumberedlist"/>
      <w:lvlText w:val="%1"/>
      <w:lvlJc w:val="left"/>
      <w:pPr>
        <w:tabs>
          <w:tab w:val="num" w:pos="567"/>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680"/>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793"/>
        </w:tabs>
        <w:ind w:left="0" w:firstLine="567"/>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906"/>
        </w:tabs>
        <w:ind w:left="0" w:firstLine="906"/>
      </w:pPr>
      <w:rPr>
        <w:rFonts w:hint="default"/>
        <w:color w:val="3FB84E" w:themeColor="accent3"/>
      </w:rPr>
    </w:lvl>
    <w:lvl w:ilvl="5">
      <w:start w:val="1"/>
      <w:numFmt w:val="decimal"/>
      <w:lvlText w:val="%1.%2.%3.%4.%5.%6"/>
      <w:lvlJc w:val="left"/>
      <w:pPr>
        <w:tabs>
          <w:tab w:val="num" w:pos="1019"/>
        </w:tabs>
        <w:ind w:left="0" w:firstLine="1019"/>
      </w:pPr>
      <w:rPr>
        <w:rFonts w:hint="default"/>
        <w:color w:val="3FB84E" w:themeColor="accent3"/>
      </w:rPr>
    </w:lvl>
    <w:lvl w:ilvl="6">
      <w:start w:val="1"/>
      <w:numFmt w:val="decimal"/>
      <w:lvlText w:val="%1.%2.%3.%4.%5.%6.%7"/>
      <w:lvlJc w:val="left"/>
      <w:pPr>
        <w:tabs>
          <w:tab w:val="num" w:pos="1132"/>
        </w:tabs>
        <w:ind w:left="0" w:firstLine="1132"/>
      </w:pPr>
      <w:rPr>
        <w:rFonts w:hint="default"/>
        <w:color w:val="3FB84E" w:themeColor="accent3"/>
      </w:rPr>
    </w:lvl>
    <w:lvl w:ilvl="7">
      <w:start w:val="1"/>
      <w:numFmt w:val="decimal"/>
      <w:lvlText w:val="%1.%2.%3.%4.%5.%6.%7.%8"/>
      <w:lvlJc w:val="left"/>
      <w:pPr>
        <w:tabs>
          <w:tab w:val="num" w:pos="1245"/>
        </w:tabs>
        <w:ind w:left="0" w:firstLine="1245"/>
      </w:pPr>
      <w:rPr>
        <w:rFonts w:hint="default"/>
        <w:color w:val="3FB84E" w:themeColor="accent3"/>
      </w:rPr>
    </w:lvl>
    <w:lvl w:ilvl="8">
      <w:start w:val="1"/>
      <w:numFmt w:val="decimal"/>
      <w:lvlText w:val="%1.%2.%3.%4.%5.%6.%7.%8.%9"/>
      <w:lvlJc w:val="left"/>
      <w:pPr>
        <w:tabs>
          <w:tab w:val="num" w:pos="1358"/>
        </w:tabs>
        <w:ind w:left="0" w:firstLine="1358"/>
      </w:pPr>
      <w:rPr>
        <w:rFonts w:hint="default"/>
        <w:color w:val="3FB84E" w:themeColor="accent3"/>
      </w:rPr>
    </w:lvl>
  </w:abstractNum>
  <w:abstractNum w:abstractNumId="28" w15:restartNumberingAfterBreak="0">
    <w:nsid w:val="3D6E5541"/>
    <w:multiLevelType w:val="hybridMultilevel"/>
    <w:tmpl w:val="D152E2B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21F73B7"/>
    <w:multiLevelType w:val="multilevel"/>
    <w:tmpl w:val="3354675E"/>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3863191"/>
    <w:multiLevelType w:val="hybridMultilevel"/>
    <w:tmpl w:val="7B644214"/>
    <w:lvl w:ilvl="0" w:tplc="A0268436">
      <w:start w:val="1"/>
      <w:numFmt w:val="decimal"/>
      <w:pStyle w:val="Itadtablestyle"/>
      <w:lvlText w:val="Table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3D50483"/>
    <w:multiLevelType w:val="hybridMultilevel"/>
    <w:tmpl w:val="82103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45186315"/>
    <w:multiLevelType w:val="multilevel"/>
    <w:tmpl w:val="B88AFE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6B26BD1"/>
    <w:multiLevelType w:val="hybridMultilevel"/>
    <w:tmpl w:val="8F54191C"/>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49307484"/>
    <w:multiLevelType w:val="hybridMultilevel"/>
    <w:tmpl w:val="C2BAEE0E"/>
    <w:lvl w:ilvl="0" w:tplc="D862A44C">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49F20787"/>
    <w:multiLevelType w:val="hybridMultilevel"/>
    <w:tmpl w:val="C270D36C"/>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15:restartNumberingAfterBreak="0">
    <w:nsid w:val="4B054FFC"/>
    <w:multiLevelType w:val="hybridMultilevel"/>
    <w:tmpl w:val="FEAE11B0"/>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4C2147C0"/>
    <w:multiLevelType w:val="hybridMultilevel"/>
    <w:tmpl w:val="92BA5C60"/>
    <w:lvl w:ilvl="0" w:tplc="D862A44C">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4D5D2A57"/>
    <w:multiLevelType w:val="hybridMultilevel"/>
    <w:tmpl w:val="1F009F96"/>
    <w:lvl w:ilvl="0" w:tplc="08090005">
      <w:start w:val="1"/>
      <w:numFmt w:val="bullet"/>
      <w:lvlText w:val=""/>
      <w:lvlJc w:val="left"/>
      <w:pPr>
        <w:ind w:left="360" w:hanging="360"/>
      </w:pPr>
      <w:rPr>
        <w:rFonts w:ascii="Wingdings" w:hAnsi="Wingdings" w:hint="default"/>
        <w:color w:val="3B3B3C" w:themeColor="text1"/>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4EE7481D"/>
    <w:multiLevelType w:val="hybridMultilevel"/>
    <w:tmpl w:val="EDA2E5FE"/>
    <w:lvl w:ilvl="0" w:tplc="ABFC85B8">
      <w:start w:val="30"/>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53C04596"/>
    <w:multiLevelType w:val="multilevel"/>
    <w:tmpl w:val="BF34B89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 w15:restartNumberingAfterBreak="0">
    <w:nsid w:val="54773309"/>
    <w:multiLevelType w:val="hybridMultilevel"/>
    <w:tmpl w:val="1E58674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5DB7B48"/>
    <w:multiLevelType w:val="hybridMultilevel"/>
    <w:tmpl w:val="74C8B00A"/>
    <w:lvl w:ilvl="0" w:tplc="FFFFFFFF">
      <w:start w:val="1"/>
      <w:numFmt w:val="decimal"/>
      <w:lvlText w:val="%1."/>
      <w:lvlJc w:val="left"/>
      <w:pPr>
        <w:ind w:left="360" w:hanging="360"/>
      </w:pPr>
    </w:lvl>
    <w:lvl w:ilvl="1" w:tplc="D862A44C">
      <w:start w:val="1"/>
      <w:numFmt w:val="bullet"/>
      <w:lvlText w:val=""/>
      <w:lvlJc w:val="left"/>
      <w:pPr>
        <w:ind w:left="360" w:hanging="360"/>
      </w:pPr>
      <w:rPr>
        <w:rFonts w:ascii="Wingdings" w:hAnsi="Wingding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3" w15:restartNumberingAfterBreak="0">
    <w:nsid w:val="5B685E88"/>
    <w:multiLevelType w:val="hybridMultilevel"/>
    <w:tmpl w:val="9D38F264"/>
    <w:lvl w:ilvl="0" w:tplc="08090005">
      <w:start w:val="1"/>
      <w:numFmt w:val="bullet"/>
      <w:lvlText w:val=""/>
      <w:lvlJc w:val="left"/>
      <w:pPr>
        <w:ind w:left="417" w:hanging="360"/>
      </w:pPr>
      <w:rPr>
        <w:rFonts w:ascii="Wingdings" w:hAnsi="Wingdings" w:hint="default"/>
      </w:rPr>
    </w:lvl>
    <w:lvl w:ilvl="1" w:tplc="08090003" w:tentative="1">
      <w:start w:val="1"/>
      <w:numFmt w:val="bullet"/>
      <w:lvlText w:val="o"/>
      <w:lvlJc w:val="left"/>
      <w:pPr>
        <w:ind w:left="1137" w:hanging="360"/>
      </w:pPr>
      <w:rPr>
        <w:rFonts w:ascii="Courier New" w:hAnsi="Courier New" w:cs="Courier New" w:hint="default"/>
      </w:rPr>
    </w:lvl>
    <w:lvl w:ilvl="2" w:tplc="08090005" w:tentative="1">
      <w:start w:val="1"/>
      <w:numFmt w:val="bullet"/>
      <w:lvlText w:val=""/>
      <w:lvlJc w:val="left"/>
      <w:pPr>
        <w:ind w:left="1857" w:hanging="360"/>
      </w:pPr>
      <w:rPr>
        <w:rFonts w:ascii="Wingdings" w:hAnsi="Wingdings" w:hint="default"/>
      </w:rPr>
    </w:lvl>
    <w:lvl w:ilvl="3" w:tplc="08090001" w:tentative="1">
      <w:start w:val="1"/>
      <w:numFmt w:val="bullet"/>
      <w:lvlText w:val=""/>
      <w:lvlJc w:val="left"/>
      <w:pPr>
        <w:ind w:left="2577" w:hanging="360"/>
      </w:pPr>
      <w:rPr>
        <w:rFonts w:ascii="Symbol" w:hAnsi="Symbol" w:hint="default"/>
      </w:rPr>
    </w:lvl>
    <w:lvl w:ilvl="4" w:tplc="08090003" w:tentative="1">
      <w:start w:val="1"/>
      <w:numFmt w:val="bullet"/>
      <w:lvlText w:val="o"/>
      <w:lvlJc w:val="left"/>
      <w:pPr>
        <w:ind w:left="3297" w:hanging="360"/>
      </w:pPr>
      <w:rPr>
        <w:rFonts w:ascii="Courier New" w:hAnsi="Courier New" w:cs="Courier New" w:hint="default"/>
      </w:rPr>
    </w:lvl>
    <w:lvl w:ilvl="5" w:tplc="08090005" w:tentative="1">
      <w:start w:val="1"/>
      <w:numFmt w:val="bullet"/>
      <w:lvlText w:val=""/>
      <w:lvlJc w:val="left"/>
      <w:pPr>
        <w:ind w:left="4017" w:hanging="360"/>
      </w:pPr>
      <w:rPr>
        <w:rFonts w:ascii="Wingdings" w:hAnsi="Wingdings" w:hint="default"/>
      </w:rPr>
    </w:lvl>
    <w:lvl w:ilvl="6" w:tplc="08090001" w:tentative="1">
      <w:start w:val="1"/>
      <w:numFmt w:val="bullet"/>
      <w:lvlText w:val=""/>
      <w:lvlJc w:val="left"/>
      <w:pPr>
        <w:ind w:left="4737" w:hanging="360"/>
      </w:pPr>
      <w:rPr>
        <w:rFonts w:ascii="Symbol" w:hAnsi="Symbol" w:hint="default"/>
      </w:rPr>
    </w:lvl>
    <w:lvl w:ilvl="7" w:tplc="08090003" w:tentative="1">
      <w:start w:val="1"/>
      <w:numFmt w:val="bullet"/>
      <w:lvlText w:val="o"/>
      <w:lvlJc w:val="left"/>
      <w:pPr>
        <w:ind w:left="5457" w:hanging="360"/>
      </w:pPr>
      <w:rPr>
        <w:rFonts w:ascii="Courier New" w:hAnsi="Courier New" w:cs="Courier New" w:hint="default"/>
      </w:rPr>
    </w:lvl>
    <w:lvl w:ilvl="8" w:tplc="08090005" w:tentative="1">
      <w:start w:val="1"/>
      <w:numFmt w:val="bullet"/>
      <w:lvlText w:val=""/>
      <w:lvlJc w:val="left"/>
      <w:pPr>
        <w:ind w:left="6177" w:hanging="360"/>
      </w:pPr>
      <w:rPr>
        <w:rFonts w:ascii="Wingdings" w:hAnsi="Wingdings" w:hint="default"/>
      </w:rPr>
    </w:lvl>
  </w:abstractNum>
  <w:abstractNum w:abstractNumId="44" w15:restartNumberingAfterBreak="0">
    <w:nsid w:val="5B9408E9"/>
    <w:multiLevelType w:val="hybridMultilevel"/>
    <w:tmpl w:val="F2AC7696"/>
    <w:lvl w:ilvl="0" w:tplc="08090005">
      <w:start w:val="1"/>
      <w:numFmt w:val="bullet"/>
      <w:lvlText w:val=""/>
      <w:lvlJc w:val="left"/>
      <w:pPr>
        <w:ind w:left="360" w:hanging="360"/>
      </w:pPr>
      <w:rPr>
        <w:rFonts w:ascii="Wingdings" w:hAnsi="Wingdings" w:hint="default"/>
        <w:color w:val="3B3B3C" w:themeColor="text1"/>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5" w15:restartNumberingAfterBreak="0">
    <w:nsid w:val="5CDD4A39"/>
    <w:multiLevelType w:val="hybridMultilevel"/>
    <w:tmpl w:val="B6883666"/>
    <w:lvl w:ilvl="0" w:tplc="FFFFFFFF">
      <w:start w:val="1"/>
      <w:numFmt w:val="decimal"/>
      <w:lvlText w:val="%1."/>
      <w:lvlJc w:val="left"/>
      <w:pPr>
        <w:ind w:left="360" w:hanging="360"/>
      </w:pPr>
    </w:lvl>
    <w:lvl w:ilvl="1" w:tplc="D862A44C">
      <w:start w:val="1"/>
      <w:numFmt w:val="bullet"/>
      <w:lvlText w:val=""/>
      <w:lvlJc w:val="left"/>
      <w:pPr>
        <w:ind w:left="360" w:hanging="360"/>
      </w:pPr>
      <w:rPr>
        <w:rFonts w:ascii="Wingdings" w:hAnsi="Wingding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6" w15:restartNumberingAfterBreak="0">
    <w:nsid w:val="5FB61931"/>
    <w:multiLevelType w:val="hybridMultilevel"/>
    <w:tmpl w:val="334C4BE4"/>
    <w:lvl w:ilvl="0" w:tplc="DF6AA098">
      <w:start w:val="1"/>
      <w:numFmt w:val="bullet"/>
      <w:pStyle w:val="Textbox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60501FCD"/>
    <w:multiLevelType w:val="hybridMultilevel"/>
    <w:tmpl w:val="5218FBEE"/>
    <w:lvl w:ilvl="0" w:tplc="08090005">
      <w:start w:val="1"/>
      <w:numFmt w:val="bullet"/>
      <w:lvlText w:val=""/>
      <w:lvlJc w:val="left"/>
      <w:pPr>
        <w:ind w:left="360" w:hanging="360"/>
      </w:pPr>
      <w:rPr>
        <w:rFonts w:ascii="Wingdings" w:hAnsi="Wingdings" w:hint="default"/>
        <w:color w:val="3B3B3C" w:themeColor="text1"/>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62D96D62"/>
    <w:multiLevelType w:val="multilevel"/>
    <w:tmpl w:val="265AC04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7DD4E42"/>
    <w:multiLevelType w:val="hybridMultilevel"/>
    <w:tmpl w:val="147E75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95E7A23"/>
    <w:multiLevelType w:val="multilevel"/>
    <w:tmpl w:val="69008696"/>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D8901C0"/>
    <w:multiLevelType w:val="hybridMultilevel"/>
    <w:tmpl w:val="A9B64872"/>
    <w:lvl w:ilvl="0" w:tplc="08090005">
      <w:start w:val="1"/>
      <w:numFmt w:val="bullet"/>
      <w:lvlText w:val=""/>
      <w:lvlJc w:val="left"/>
      <w:pPr>
        <w:ind w:left="720" w:hanging="360"/>
      </w:pPr>
      <w:rPr>
        <w:rFonts w:ascii="Wingdings" w:hAnsi="Wingdings" w:hint="default"/>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6ED537B7"/>
    <w:multiLevelType w:val="hybridMultilevel"/>
    <w:tmpl w:val="5C324E0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6EFD2CC4"/>
    <w:multiLevelType w:val="hybridMultilevel"/>
    <w:tmpl w:val="502C12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31420D6"/>
    <w:multiLevelType w:val="multilevel"/>
    <w:tmpl w:val="E61EB4A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 w15:restartNumberingAfterBreak="0">
    <w:nsid w:val="73C9308F"/>
    <w:multiLevelType w:val="multilevel"/>
    <w:tmpl w:val="13481C2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 w15:restartNumberingAfterBreak="0">
    <w:nsid w:val="79870A5D"/>
    <w:multiLevelType w:val="hybridMultilevel"/>
    <w:tmpl w:val="68D2B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A7C2FCE"/>
    <w:multiLevelType w:val="hybridMultilevel"/>
    <w:tmpl w:val="683C207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7BC202AB"/>
    <w:multiLevelType w:val="hybridMultilevel"/>
    <w:tmpl w:val="2828089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7C4E0B02"/>
    <w:multiLevelType w:val="hybridMultilevel"/>
    <w:tmpl w:val="1F8A4182"/>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0" w15:restartNumberingAfterBreak="0">
    <w:nsid w:val="7C6B7242"/>
    <w:multiLevelType w:val="multilevel"/>
    <w:tmpl w:val="C0028FC6"/>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58463315">
    <w:abstractNumId w:val="18"/>
  </w:num>
  <w:num w:numId="2" w16cid:durableId="900365538">
    <w:abstractNumId w:val="20"/>
  </w:num>
  <w:num w:numId="3" w16cid:durableId="939215797">
    <w:abstractNumId w:val="9"/>
  </w:num>
  <w:num w:numId="4" w16cid:durableId="995690384">
    <w:abstractNumId w:val="17"/>
  </w:num>
  <w:num w:numId="5" w16cid:durableId="540634449">
    <w:abstractNumId w:val="30"/>
  </w:num>
  <w:num w:numId="6" w16cid:durableId="421266686">
    <w:abstractNumId w:val="24"/>
  </w:num>
  <w:num w:numId="7" w16cid:durableId="1010647396">
    <w:abstractNumId w:val="15"/>
  </w:num>
  <w:num w:numId="8" w16cid:durableId="297150872">
    <w:abstractNumId w:val="27"/>
  </w:num>
  <w:num w:numId="9" w16cid:durableId="769592291">
    <w:abstractNumId w:val="7"/>
  </w:num>
  <w:num w:numId="10" w16cid:durableId="1578830504">
    <w:abstractNumId w:val="53"/>
  </w:num>
  <w:num w:numId="11" w16cid:durableId="470900413">
    <w:abstractNumId w:val="33"/>
  </w:num>
  <w:num w:numId="12" w16cid:durableId="784541493">
    <w:abstractNumId w:val="26"/>
  </w:num>
  <w:num w:numId="13" w16cid:durableId="1884630661">
    <w:abstractNumId w:val="10"/>
  </w:num>
  <w:num w:numId="14" w16cid:durableId="1012803552">
    <w:abstractNumId w:val="59"/>
  </w:num>
  <w:num w:numId="15" w16cid:durableId="1687638867">
    <w:abstractNumId w:val="21"/>
  </w:num>
  <w:num w:numId="16" w16cid:durableId="118227176">
    <w:abstractNumId w:val="38"/>
  </w:num>
  <w:num w:numId="17" w16cid:durableId="578830720">
    <w:abstractNumId w:val="52"/>
  </w:num>
  <w:num w:numId="18" w16cid:durableId="45419898">
    <w:abstractNumId w:val="4"/>
  </w:num>
  <w:num w:numId="19" w16cid:durableId="1355112427">
    <w:abstractNumId w:val="44"/>
  </w:num>
  <w:num w:numId="20" w16cid:durableId="2008287209">
    <w:abstractNumId w:val="36"/>
  </w:num>
  <w:num w:numId="21" w16cid:durableId="909923471">
    <w:abstractNumId w:val="25"/>
  </w:num>
  <w:num w:numId="22" w16cid:durableId="947157637">
    <w:abstractNumId w:val="13"/>
  </w:num>
  <w:num w:numId="23" w16cid:durableId="674696722">
    <w:abstractNumId w:val="3"/>
  </w:num>
  <w:num w:numId="24" w16cid:durableId="921990843">
    <w:abstractNumId w:val="57"/>
  </w:num>
  <w:num w:numId="25" w16cid:durableId="1144851376">
    <w:abstractNumId w:val="39"/>
  </w:num>
  <w:num w:numId="26" w16cid:durableId="116409394">
    <w:abstractNumId w:val="46"/>
  </w:num>
  <w:num w:numId="27" w16cid:durableId="2098163523">
    <w:abstractNumId w:val="35"/>
  </w:num>
  <w:num w:numId="28" w16cid:durableId="33164582">
    <w:abstractNumId w:val="51"/>
  </w:num>
  <w:num w:numId="29" w16cid:durableId="1045830318">
    <w:abstractNumId w:val="6"/>
  </w:num>
  <w:num w:numId="30" w16cid:durableId="982002323">
    <w:abstractNumId w:val="55"/>
  </w:num>
  <w:num w:numId="31" w16cid:durableId="1143236083">
    <w:abstractNumId w:val="54"/>
  </w:num>
  <w:num w:numId="32" w16cid:durableId="893389589">
    <w:abstractNumId w:val="5"/>
  </w:num>
  <w:num w:numId="33" w16cid:durableId="480468051">
    <w:abstractNumId w:val="40"/>
  </w:num>
  <w:num w:numId="34" w16cid:durableId="1365056224">
    <w:abstractNumId w:val="48"/>
  </w:num>
  <w:num w:numId="35" w16cid:durableId="317459813">
    <w:abstractNumId w:val="12"/>
  </w:num>
  <w:num w:numId="36" w16cid:durableId="1217352302">
    <w:abstractNumId w:val="41"/>
  </w:num>
  <w:num w:numId="37" w16cid:durableId="1000549757">
    <w:abstractNumId w:val="1"/>
  </w:num>
  <w:num w:numId="38" w16cid:durableId="1529836621">
    <w:abstractNumId w:val="60"/>
  </w:num>
  <w:num w:numId="39" w16cid:durableId="1562598115">
    <w:abstractNumId w:val="11"/>
  </w:num>
  <w:num w:numId="40" w16cid:durableId="1565409528">
    <w:abstractNumId w:val="29"/>
  </w:num>
  <w:num w:numId="41" w16cid:durableId="1648784085">
    <w:abstractNumId w:val="19"/>
  </w:num>
  <w:num w:numId="42" w16cid:durableId="936448531">
    <w:abstractNumId w:val="50"/>
  </w:num>
  <w:num w:numId="43" w16cid:durableId="1447503487">
    <w:abstractNumId w:val="14"/>
  </w:num>
  <w:num w:numId="44" w16cid:durableId="1243027839">
    <w:abstractNumId w:val="45"/>
  </w:num>
  <w:num w:numId="45" w16cid:durableId="642125671">
    <w:abstractNumId w:val="42"/>
  </w:num>
  <w:num w:numId="46" w16cid:durableId="1165128989">
    <w:abstractNumId w:val="23"/>
  </w:num>
  <w:num w:numId="47" w16cid:durableId="1415660445">
    <w:abstractNumId w:val="34"/>
  </w:num>
  <w:num w:numId="48" w16cid:durableId="1793666553">
    <w:abstractNumId w:val="2"/>
  </w:num>
  <w:num w:numId="49" w16cid:durableId="1218124465">
    <w:abstractNumId w:val="37"/>
  </w:num>
  <w:num w:numId="50" w16cid:durableId="1396704931">
    <w:abstractNumId w:val="16"/>
  </w:num>
  <w:num w:numId="51" w16cid:durableId="586421250">
    <w:abstractNumId w:val="20"/>
  </w:num>
  <w:num w:numId="52" w16cid:durableId="1858692209">
    <w:abstractNumId w:val="20"/>
  </w:num>
  <w:num w:numId="53" w16cid:durableId="2083210378">
    <w:abstractNumId w:val="47"/>
  </w:num>
  <w:num w:numId="54" w16cid:durableId="642543230">
    <w:abstractNumId w:val="0"/>
  </w:num>
  <w:num w:numId="55" w16cid:durableId="431363153">
    <w:abstractNumId w:val="56"/>
  </w:num>
  <w:num w:numId="56" w16cid:durableId="958142744">
    <w:abstractNumId w:val="58"/>
  </w:num>
  <w:num w:numId="57" w16cid:durableId="1398550003">
    <w:abstractNumId w:val="32"/>
  </w:num>
  <w:num w:numId="58" w16cid:durableId="1687512933">
    <w:abstractNumId w:val="31"/>
  </w:num>
  <w:num w:numId="59" w16cid:durableId="847715753">
    <w:abstractNumId w:val="49"/>
  </w:num>
  <w:num w:numId="60" w16cid:durableId="1175723401">
    <w:abstractNumId w:val="28"/>
  </w:num>
  <w:num w:numId="61" w16cid:durableId="515536048">
    <w:abstractNumId w:val="7"/>
  </w:num>
  <w:num w:numId="62" w16cid:durableId="702438157">
    <w:abstractNumId w:val="7"/>
  </w:num>
  <w:num w:numId="63" w16cid:durableId="377823480">
    <w:abstractNumId w:val="20"/>
  </w:num>
  <w:num w:numId="64" w16cid:durableId="348143814">
    <w:abstractNumId w:val="20"/>
  </w:num>
  <w:num w:numId="65" w16cid:durableId="867303964">
    <w:abstractNumId w:val="20"/>
  </w:num>
  <w:num w:numId="66" w16cid:durableId="1116098953">
    <w:abstractNumId w:val="20"/>
  </w:num>
  <w:num w:numId="67" w16cid:durableId="808205581">
    <w:abstractNumId w:val="20"/>
  </w:num>
  <w:num w:numId="68" w16cid:durableId="21711585">
    <w:abstractNumId w:val="20"/>
  </w:num>
  <w:num w:numId="69" w16cid:durableId="1458766127">
    <w:abstractNumId w:val="20"/>
  </w:num>
  <w:num w:numId="70" w16cid:durableId="1452899264">
    <w:abstractNumId w:val="20"/>
  </w:num>
  <w:num w:numId="71" w16cid:durableId="1846944175">
    <w:abstractNumId w:val="20"/>
  </w:num>
  <w:num w:numId="72" w16cid:durableId="2107577665">
    <w:abstractNumId w:val="20"/>
  </w:num>
  <w:num w:numId="73" w16cid:durableId="804129100">
    <w:abstractNumId w:val="20"/>
  </w:num>
  <w:num w:numId="74" w16cid:durableId="1251934489">
    <w:abstractNumId w:val="20"/>
  </w:num>
  <w:num w:numId="75" w16cid:durableId="1355495024">
    <w:abstractNumId w:val="20"/>
  </w:num>
  <w:num w:numId="76" w16cid:durableId="11075036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83173530">
    <w:abstractNumId w:val="22"/>
  </w:num>
  <w:num w:numId="78" w16cid:durableId="1864317231">
    <w:abstractNumId w:val="20"/>
    <w:lvlOverride w:ilvl="0">
      <w:startOverride w:val="2"/>
    </w:lvlOverride>
    <w:lvlOverride w:ilvl="1">
      <w:startOverride w:val="1"/>
    </w:lvlOverride>
    <w:lvlOverride w:ilvl="2">
      <w:startOverride w:val="3"/>
    </w:lvlOverride>
  </w:num>
  <w:num w:numId="79" w16cid:durableId="1305046624">
    <w:abstractNumId w:val="20"/>
  </w:num>
  <w:num w:numId="80" w16cid:durableId="384178779">
    <w:abstractNumId w:val="20"/>
  </w:num>
  <w:num w:numId="81" w16cid:durableId="514344311">
    <w:abstractNumId w:val="20"/>
  </w:num>
  <w:num w:numId="82" w16cid:durableId="1988777519">
    <w:abstractNumId w:val="20"/>
  </w:num>
  <w:num w:numId="83" w16cid:durableId="2025667331">
    <w:abstractNumId w:val="20"/>
  </w:num>
  <w:num w:numId="84" w16cid:durableId="731932448">
    <w:abstractNumId w:val="20"/>
  </w:num>
  <w:num w:numId="85" w16cid:durableId="337388287">
    <w:abstractNumId w:val="20"/>
  </w:num>
  <w:num w:numId="86" w16cid:durableId="1960604372">
    <w:abstractNumId w:val="20"/>
  </w:num>
  <w:num w:numId="87" w16cid:durableId="2140611967">
    <w:abstractNumId w:val="20"/>
  </w:num>
  <w:num w:numId="88" w16cid:durableId="1896115558">
    <w:abstractNumId w:val="20"/>
  </w:num>
  <w:num w:numId="89" w16cid:durableId="342243248">
    <w:abstractNumId w:val="20"/>
  </w:num>
  <w:num w:numId="90" w16cid:durableId="213544840">
    <w:abstractNumId w:val="20"/>
  </w:num>
  <w:num w:numId="91" w16cid:durableId="1455442684">
    <w:abstractNumId w:val="20"/>
  </w:num>
  <w:num w:numId="92" w16cid:durableId="1491099266">
    <w:abstractNumId w:val="20"/>
  </w:num>
  <w:num w:numId="93" w16cid:durableId="1044450380">
    <w:abstractNumId w:val="20"/>
  </w:num>
  <w:num w:numId="94" w16cid:durableId="1576624928">
    <w:abstractNumId w:val="20"/>
  </w:num>
  <w:num w:numId="95" w16cid:durableId="1409882345">
    <w:abstractNumId w:val="20"/>
  </w:num>
  <w:num w:numId="96" w16cid:durableId="2118206917">
    <w:abstractNumId w:val="20"/>
  </w:num>
  <w:num w:numId="97" w16cid:durableId="1404179931">
    <w:abstractNumId w:val="20"/>
  </w:num>
  <w:num w:numId="98" w16cid:durableId="1622614718">
    <w:abstractNumId w:val="20"/>
  </w:num>
  <w:num w:numId="99" w16cid:durableId="1549804874">
    <w:abstractNumId w:val="20"/>
  </w:num>
  <w:num w:numId="100" w16cid:durableId="547373540">
    <w:abstractNumId w:val="20"/>
  </w:num>
  <w:num w:numId="101" w16cid:durableId="1930888795">
    <w:abstractNumId w:val="46"/>
  </w:num>
  <w:num w:numId="102" w16cid:durableId="2086680714">
    <w:abstractNumId w:val="46"/>
  </w:num>
  <w:num w:numId="103" w16cid:durableId="205803365">
    <w:abstractNumId w:val="46"/>
  </w:num>
  <w:num w:numId="104" w16cid:durableId="488209888">
    <w:abstractNumId w:val="4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DateAndTime/>
  <w:embedTrueTypeFonts/>
  <w:saveSubsetFonts/>
  <w:activeWritingStyle w:appName="MSWord" w:lang="en-IE" w:vendorID="64" w:dllVersion="4096" w:nlCheck="1" w:checkStyle="0"/>
  <w:activeWritingStyle w:appName="MSWord" w:lang="en-GB" w:vendorID="64" w:dllVersion="0" w:nlCheck="1" w:checkStyle="0"/>
  <w:activeWritingStyle w:appName="MSWord" w:lang="en-US" w:vendorID="64" w:dllVersion="0" w:nlCheck="1" w:checkStyle="0"/>
  <w:proofState w:spelling="clean"/>
  <w:stylePaneFormatFilter w:val="5F04" w:allStyles="0" w:customStyles="0" w:latentStyles="1" w:stylesInUse="0" w:headingStyles="0" w:numberingStyles="0" w:tableStyles="0" w:directFormattingOnRuns="1" w:directFormattingOnParagraphs="1" w:directFormattingOnNumbering="1" w:directFormattingOnTables="1" w:clearFormatting="1" w:top3HeadingStyles="0" w:visibleStyles="1" w:alternateStyleNames="0"/>
  <w:stylePaneSortMethod w:val="000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MwMDG3tDQwMTM3MTdX0lEKTi0uzszPAykwtKgFAGC32CotAAAA"/>
  </w:docVars>
  <w:rsids>
    <w:rsidRoot w:val="004C2E28"/>
    <w:rsid w:val="00000053"/>
    <w:rsid w:val="000004E0"/>
    <w:rsid w:val="00000A43"/>
    <w:rsid w:val="00000C8F"/>
    <w:rsid w:val="00000EFA"/>
    <w:rsid w:val="00000FA9"/>
    <w:rsid w:val="00001372"/>
    <w:rsid w:val="000019AD"/>
    <w:rsid w:val="000022F5"/>
    <w:rsid w:val="000028A1"/>
    <w:rsid w:val="000029ED"/>
    <w:rsid w:val="00002D31"/>
    <w:rsid w:val="00002DC3"/>
    <w:rsid w:val="00004179"/>
    <w:rsid w:val="00004AB8"/>
    <w:rsid w:val="00004CFB"/>
    <w:rsid w:val="000059D5"/>
    <w:rsid w:val="00005A16"/>
    <w:rsid w:val="00005F6F"/>
    <w:rsid w:val="00005F8B"/>
    <w:rsid w:val="0000609E"/>
    <w:rsid w:val="00006FF3"/>
    <w:rsid w:val="0000738E"/>
    <w:rsid w:val="00007497"/>
    <w:rsid w:val="00007676"/>
    <w:rsid w:val="0001045B"/>
    <w:rsid w:val="0001057A"/>
    <w:rsid w:val="0001091F"/>
    <w:rsid w:val="00010A9E"/>
    <w:rsid w:val="0001101B"/>
    <w:rsid w:val="000117F2"/>
    <w:rsid w:val="00011E2B"/>
    <w:rsid w:val="000122D0"/>
    <w:rsid w:val="00012942"/>
    <w:rsid w:val="00012A32"/>
    <w:rsid w:val="00012EE7"/>
    <w:rsid w:val="00012F12"/>
    <w:rsid w:val="000134D3"/>
    <w:rsid w:val="000147E9"/>
    <w:rsid w:val="00014B11"/>
    <w:rsid w:val="000155E3"/>
    <w:rsid w:val="00015842"/>
    <w:rsid w:val="00015C54"/>
    <w:rsid w:val="00016049"/>
    <w:rsid w:val="00016A96"/>
    <w:rsid w:val="00017382"/>
    <w:rsid w:val="0001743C"/>
    <w:rsid w:val="00020E19"/>
    <w:rsid w:val="000217AD"/>
    <w:rsid w:val="00021B7D"/>
    <w:rsid w:val="0002264D"/>
    <w:rsid w:val="00022738"/>
    <w:rsid w:val="00022811"/>
    <w:rsid w:val="00022A93"/>
    <w:rsid w:val="0002330F"/>
    <w:rsid w:val="000234B9"/>
    <w:rsid w:val="00023FA3"/>
    <w:rsid w:val="000242EB"/>
    <w:rsid w:val="0002432C"/>
    <w:rsid w:val="0002497A"/>
    <w:rsid w:val="00024B94"/>
    <w:rsid w:val="00024F2F"/>
    <w:rsid w:val="00024F6F"/>
    <w:rsid w:val="00025184"/>
    <w:rsid w:val="00025ED7"/>
    <w:rsid w:val="00026704"/>
    <w:rsid w:val="00026B2C"/>
    <w:rsid w:val="00027055"/>
    <w:rsid w:val="000277EA"/>
    <w:rsid w:val="000278C4"/>
    <w:rsid w:val="00030540"/>
    <w:rsid w:val="0003058B"/>
    <w:rsid w:val="00030C6F"/>
    <w:rsid w:val="0003102D"/>
    <w:rsid w:val="0003171B"/>
    <w:rsid w:val="00031F80"/>
    <w:rsid w:val="0003207F"/>
    <w:rsid w:val="0003209D"/>
    <w:rsid w:val="00032457"/>
    <w:rsid w:val="00032EE7"/>
    <w:rsid w:val="00032F5D"/>
    <w:rsid w:val="00032FB0"/>
    <w:rsid w:val="00033027"/>
    <w:rsid w:val="000333D0"/>
    <w:rsid w:val="00033D3C"/>
    <w:rsid w:val="000340E1"/>
    <w:rsid w:val="00034246"/>
    <w:rsid w:val="000344B7"/>
    <w:rsid w:val="00034AF8"/>
    <w:rsid w:val="000351AC"/>
    <w:rsid w:val="00035332"/>
    <w:rsid w:val="00035C4E"/>
    <w:rsid w:val="0003615E"/>
    <w:rsid w:val="00036337"/>
    <w:rsid w:val="0003645A"/>
    <w:rsid w:val="000366EF"/>
    <w:rsid w:val="000367D1"/>
    <w:rsid w:val="000375CC"/>
    <w:rsid w:val="00037B71"/>
    <w:rsid w:val="00037B8C"/>
    <w:rsid w:val="000404A2"/>
    <w:rsid w:val="00040549"/>
    <w:rsid w:val="00040849"/>
    <w:rsid w:val="000408E1"/>
    <w:rsid w:val="000410A8"/>
    <w:rsid w:val="00041C53"/>
    <w:rsid w:val="0004496C"/>
    <w:rsid w:val="00044F29"/>
    <w:rsid w:val="00045217"/>
    <w:rsid w:val="000452DC"/>
    <w:rsid w:val="00045BD2"/>
    <w:rsid w:val="00045E21"/>
    <w:rsid w:val="00045EFA"/>
    <w:rsid w:val="00045F48"/>
    <w:rsid w:val="000460C7"/>
    <w:rsid w:val="00046E52"/>
    <w:rsid w:val="000470C4"/>
    <w:rsid w:val="00050B00"/>
    <w:rsid w:val="000510D6"/>
    <w:rsid w:val="00051109"/>
    <w:rsid w:val="000527D0"/>
    <w:rsid w:val="00052E11"/>
    <w:rsid w:val="00052E3D"/>
    <w:rsid w:val="00052F70"/>
    <w:rsid w:val="000530A0"/>
    <w:rsid w:val="00053BA0"/>
    <w:rsid w:val="000542B9"/>
    <w:rsid w:val="00054799"/>
    <w:rsid w:val="0005479B"/>
    <w:rsid w:val="0005498A"/>
    <w:rsid w:val="00056252"/>
    <w:rsid w:val="00056E8D"/>
    <w:rsid w:val="000570C5"/>
    <w:rsid w:val="00057155"/>
    <w:rsid w:val="00057A97"/>
    <w:rsid w:val="00060555"/>
    <w:rsid w:val="00060C52"/>
    <w:rsid w:val="00060F70"/>
    <w:rsid w:val="00062736"/>
    <w:rsid w:val="00062758"/>
    <w:rsid w:val="00062960"/>
    <w:rsid w:val="0006317D"/>
    <w:rsid w:val="00063567"/>
    <w:rsid w:val="000635A8"/>
    <w:rsid w:val="000642E1"/>
    <w:rsid w:val="00064712"/>
    <w:rsid w:val="000649DB"/>
    <w:rsid w:val="00064CEB"/>
    <w:rsid w:val="00064D90"/>
    <w:rsid w:val="00064ED1"/>
    <w:rsid w:val="00064F19"/>
    <w:rsid w:val="00064F48"/>
    <w:rsid w:val="000651DC"/>
    <w:rsid w:val="00065825"/>
    <w:rsid w:val="0006591D"/>
    <w:rsid w:val="00066126"/>
    <w:rsid w:val="0006656D"/>
    <w:rsid w:val="00066581"/>
    <w:rsid w:val="00066644"/>
    <w:rsid w:val="000669BD"/>
    <w:rsid w:val="00066BFA"/>
    <w:rsid w:val="00066E46"/>
    <w:rsid w:val="00066FDB"/>
    <w:rsid w:val="000673DD"/>
    <w:rsid w:val="000701C1"/>
    <w:rsid w:val="000704C4"/>
    <w:rsid w:val="00071147"/>
    <w:rsid w:val="000713A8"/>
    <w:rsid w:val="00071CEB"/>
    <w:rsid w:val="00071D0B"/>
    <w:rsid w:val="000725AE"/>
    <w:rsid w:val="00072716"/>
    <w:rsid w:val="00072867"/>
    <w:rsid w:val="00073260"/>
    <w:rsid w:val="00073B5E"/>
    <w:rsid w:val="00074182"/>
    <w:rsid w:val="000746B2"/>
    <w:rsid w:val="00074F32"/>
    <w:rsid w:val="0007576A"/>
    <w:rsid w:val="00075921"/>
    <w:rsid w:val="00075A3E"/>
    <w:rsid w:val="00075B8B"/>
    <w:rsid w:val="000761F2"/>
    <w:rsid w:val="00076294"/>
    <w:rsid w:val="000767E3"/>
    <w:rsid w:val="00076E67"/>
    <w:rsid w:val="00077066"/>
    <w:rsid w:val="000771B2"/>
    <w:rsid w:val="00077343"/>
    <w:rsid w:val="0007746A"/>
    <w:rsid w:val="00077971"/>
    <w:rsid w:val="00077ADD"/>
    <w:rsid w:val="00077B26"/>
    <w:rsid w:val="00077CD1"/>
    <w:rsid w:val="000801C6"/>
    <w:rsid w:val="00080292"/>
    <w:rsid w:val="000802B4"/>
    <w:rsid w:val="0008073E"/>
    <w:rsid w:val="00080A51"/>
    <w:rsid w:val="00081065"/>
    <w:rsid w:val="00081813"/>
    <w:rsid w:val="000819D7"/>
    <w:rsid w:val="00081ED1"/>
    <w:rsid w:val="0008203C"/>
    <w:rsid w:val="000828DF"/>
    <w:rsid w:val="00082CBF"/>
    <w:rsid w:val="0008340B"/>
    <w:rsid w:val="00083770"/>
    <w:rsid w:val="00083886"/>
    <w:rsid w:val="00083937"/>
    <w:rsid w:val="00083FEB"/>
    <w:rsid w:val="0008429A"/>
    <w:rsid w:val="000844D1"/>
    <w:rsid w:val="00084610"/>
    <w:rsid w:val="000847D9"/>
    <w:rsid w:val="00085674"/>
    <w:rsid w:val="00085CB6"/>
    <w:rsid w:val="0008600C"/>
    <w:rsid w:val="00086594"/>
    <w:rsid w:val="0008681D"/>
    <w:rsid w:val="00086EE2"/>
    <w:rsid w:val="00087491"/>
    <w:rsid w:val="000906BF"/>
    <w:rsid w:val="00090A74"/>
    <w:rsid w:val="00090EF2"/>
    <w:rsid w:val="000910E3"/>
    <w:rsid w:val="0009114C"/>
    <w:rsid w:val="000918D5"/>
    <w:rsid w:val="0009191C"/>
    <w:rsid w:val="00092089"/>
    <w:rsid w:val="00093355"/>
    <w:rsid w:val="00093662"/>
    <w:rsid w:val="000938C1"/>
    <w:rsid w:val="00093B76"/>
    <w:rsid w:val="00093DEA"/>
    <w:rsid w:val="0009460F"/>
    <w:rsid w:val="00094C0F"/>
    <w:rsid w:val="000950C3"/>
    <w:rsid w:val="000959F9"/>
    <w:rsid w:val="00095A84"/>
    <w:rsid w:val="00095E4D"/>
    <w:rsid w:val="00095F43"/>
    <w:rsid w:val="0009646D"/>
    <w:rsid w:val="00096AA5"/>
    <w:rsid w:val="00096E6F"/>
    <w:rsid w:val="00096F5B"/>
    <w:rsid w:val="00097152"/>
    <w:rsid w:val="000978E8"/>
    <w:rsid w:val="000A0271"/>
    <w:rsid w:val="000A07FE"/>
    <w:rsid w:val="000A0B94"/>
    <w:rsid w:val="000A1370"/>
    <w:rsid w:val="000A1785"/>
    <w:rsid w:val="000A1CA5"/>
    <w:rsid w:val="000A337C"/>
    <w:rsid w:val="000A3EB2"/>
    <w:rsid w:val="000A4EF2"/>
    <w:rsid w:val="000A4FF5"/>
    <w:rsid w:val="000A5056"/>
    <w:rsid w:val="000A5529"/>
    <w:rsid w:val="000A5A14"/>
    <w:rsid w:val="000A5BC1"/>
    <w:rsid w:val="000A6151"/>
    <w:rsid w:val="000A6313"/>
    <w:rsid w:val="000A6AFD"/>
    <w:rsid w:val="000A79D1"/>
    <w:rsid w:val="000A7B0B"/>
    <w:rsid w:val="000A7D87"/>
    <w:rsid w:val="000A7F63"/>
    <w:rsid w:val="000B03C6"/>
    <w:rsid w:val="000B042D"/>
    <w:rsid w:val="000B062C"/>
    <w:rsid w:val="000B1AE2"/>
    <w:rsid w:val="000B232F"/>
    <w:rsid w:val="000B281E"/>
    <w:rsid w:val="000B2A16"/>
    <w:rsid w:val="000B2BE6"/>
    <w:rsid w:val="000B3072"/>
    <w:rsid w:val="000B492D"/>
    <w:rsid w:val="000B509B"/>
    <w:rsid w:val="000B5A81"/>
    <w:rsid w:val="000B68B5"/>
    <w:rsid w:val="000B6EEE"/>
    <w:rsid w:val="000B77D0"/>
    <w:rsid w:val="000B7815"/>
    <w:rsid w:val="000B782C"/>
    <w:rsid w:val="000B797B"/>
    <w:rsid w:val="000B7B96"/>
    <w:rsid w:val="000BC315"/>
    <w:rsid w:val="000C0466"/>
    <w:rsid w:val="000C0F3E"/>
    <w:rsid w:val="000C16AC"/>
    <w:rsid w:val="000C196E"/>
    <w:rsid w:val="000C19D3"/>
    <w:rsid w:val="000C1A16"/>
    <w:rsid w:val="000C1CA3"/>
    <w:rsid w:val="000C1F5A"/>
    <w:rsid w:val="000C1F86"/>
    <w:rsid w:val="000C219A"/>
    <w:rsid w:val="000C281E"/>
    <w:rsid w:val="000C2A18"/>
    <w:rsid w:val="000C2D5D"/>
    <w:rsid w:val="000C30A0"/>
    <w:rsid w:val="000C323F"/>
    <w:rsid w:val="000C366A"/>
    <w:rsid w:val="000C369B"/>
    <w:rsid w:val="000C3A3A"/>
    <w:rsid w:val="000C3B9F"/>
    <w:rsid w:val="000C427F"/>
    <w:rsid w:val="000C42F6"/>
    <w:rsid w:val="000C4718"/>
    <w:rsid w:val="000C4D9E"/>
    <w:rsid w:val="000C4E95"/>
    <w:rsid w:val="000C5935"/>
    <w:rsid w:val="000C602C"/>
    <w:rsid w:val="000C6826"/>
    <w:rsid w:val="000C6CDA"/>
    <w:rsid w:val="000C6FFD"/>
    <w:rsid w:val="000C7046"/>
    <w:rsid w:val="000C712F"/>
    <w:rsid w:val="000C74D7"/>
    <w:rsid w:val="000C7F98"/>
    <w:rsid w:val="000D011C"/>
    <w:rsid w:val="000D02EB"/>
    <w:rsid w:val="000D0960"/>
    <w:rsid w:val="000D0B6C"/>
    <w:rsid w:val="000D10D7"/>
    <w:rsid w:val="000D17D2"/>
    <w:rsid w:val="000D1FF9"/>
    <w:rsid w:val="000D2821"/>
    <w:rsid w:val="000D2A43"/>
    <w:rsid w:val="000D33B8"/>
    <w:rsid w:val="000D3553"/>
    <w:rsid w:val="000D3823"/>
    <w:rsid w:val="000D3D90"/>
    <w:rsid w:val="000D3DC7"/>
    <w:rsid w:val="000D4458"/>
    <w:rsid w:val="000D45B9"/>
    <w:rsid w:val="000D4909"/>
    <w:rsid w:val="000D498B"/>
    <w:rsid w:val="000D5786"/>
    <w:rsid w:val="000D6AC2"/>
    <w:rsid w:val="000D6B3A"/>
    <w:rsid w:val="000D6E73"/>
    <w:rsid w:val="000D74FF"/>
    <w:rsid w:val="000D7769"/>
    <w:rsid w:val="000D7A6D"/>
    <w:rsid w:val="000E059F"/>
    <w:rsid w:val="000E0828"/>
    <w:rsid w:val="000E0D53"/>
    <w:rsid w:val="000E0F93"/>
    <w:rsid w:val="000E155D"/>
    <w:rsid w:val="000E1891"/>
    <w:rsid w:val="000E1B36"/>
    <w:rsid w:val="000E1EBA"/>
    <w:rsid w:val="000E2706"/>
    <w:rsid w:val="000E2D7C"/>
    <w:rsid w:val="000E364B"/>
    <w:rsid w:val="000E3748"/>
    <w:rsid w:val="000E3797"/>
    <w:rsid w:val="000E3B0C"/>
    <w:rsid w:val="000E3C1C"/>
    <w:rsid w:val="000E3E7A"/>
    <w:rsid w:val="000E4293"/>
    <w:rsid w:val="000E4779"/>
    <w:rsid w:val="000E47F5"/>
    <w:rsid w:val="000E4A8F"/>
    <w:rsid w:val="000E547E"/>
    <w:rsid w:val="000E5680"/>
    <w:rsid w:val="000E5955"/>
    <w:rsid w:val="000E5DEB"/>
    <w:rsid w:val="000E5EAC"/>
    <w:rsid w:val="000E5EE0"/>
    <w:rsid w:val="000E6111"/>
    <w:rsid w:val="000E6127"/>
    <w:rsid w:val="000E6528"/>
    <w:rsid w:val="000E65A7"/>
    <w:rsid w:val="000E6AE0"/>
    <w:rsid w:val="000E6C8B"/>
    <w:rsid w:val="000E6E0E"/>
    <w:rsid w:val="000E72A3"/>
    <w:rsid w:val="000E7A0A"/>
    <w:rsid w:val="000F0580"/>
    <w:rsid w:val="000F0935"/>
    <w:rsid w:val="000F0D0D"/>
    <w:rsid w:val="000F1006"/>
    <w:rsid w:val="000F124E"/>
    <w:rsid w:val="000F12F8"/>
    <w:rsid w:val="000F20D6"/>
    <w:rsid w:val="000F3933"/>
    <w:rsid w:val="000F3B2A"/>
    <w:rsid w:val="000F3DAA"/>
    <w:rsid w:val="000F466C"/>
    <w:rsid w:val="000F476D"/>
    <w:rsid w:val="000F4FCF"/>
    <w:rsid w:val="000F551A"/>
    <w:rsid w:val="000F58B8"/>
    <w:rsid w:val="000F5A85"/>
    <w:rsid w:val="000F5A8C"/>
    <w:rsid w:val="000F5E14"/>
    <w:rsid w:val="000F66DB"/>
    <w:rsid w:val="000F6D31"/>
    <w:rsid w:val="000F6EC5"/>
    <w:rsid w:val="000F7045"/>
    <w:rsid w:val="000F7177"/>
    <w:rsid w:val="000F745C"/>
    <w:rsid w:val="000F74AC"/>
    <w:rsid w:val="000F772C"/>
    <w:rsid w:val="000F7E78"/>
    <w:rsid w:val="0010001C"/>
    <w:rsid w:val="00100526"/>
    <w:rsid w:val="00100B62"/>
    <w:rsid w:val="00100E81"/>
    <w:rsid w:val="00100F75"/>
    <w:rsid w:val="0010131A"/>
    <w:rsid w:val="001018CA"/>
    <w:rsid w:val="00101C2B"/>
    <w:rsid w:val="00101C42"/>
    <w:rsid w:val="00101DE3"/>
    <w:rsid w:val="001022C7"/>
    <w:rsid w:val="00102984"/>
    <w:rsid w:val="00102E6C"/>
    <w:rsid w:val="00103193"/>
    <w:rsid w:val="0010335D"/>
    <w:rsid w:val="00103A03"/>
    <w:rsid w:val="00103DFF"/>
    <w:rsid w:val="001043E4"/>
    <w:rsid w:val="00104677"/>
    <w:rsid w:val="0010471D"/>
    <w:rsid w:val="00104AC1"/>
    <w:rsid w:val="00105319"/>
    <w:rsid w:val="00105495"/>
    <w:rsid w:val="00105CD0"/>
    <w:rsid w:val="00106238"/>
    <w:rsid w:val="0010624B"/>
    <w:rsid w:val="001064CC"/>
    <w:rsid w:val="001064D3"/>
    <w:rsid w:val="00106599"/>
    <w:rsid w:val="00106ECE"/>
    <w:rsid w:val="00107704"/>
    <w:rsid w:val="0011023B"/>
    <w:rsid w:val="00110264"/>
    <w:rsid w:val="00110662"/>
    <w:rsid w:val="00110723"/>
    <w:rsid w:val="00110935"/>
    <w:rsid w:val="00110A10"/>
    <w:rsid w:val="00110B79"/>
    <w:rsid w:val="00110DD3"/>
    <w:rsid w:val="00110FBD"/>
    <w:rsid w:val="0011102C"/>
    <w:rsid w:val="0011130C"/>
    <w:rsid w:val="00111840"/>
    <w:rsid w:val="001122A2"/>
    <w:rsid w:val="00112655"/>
    <w:rsid w:val="001130A1"/>
    <w:rsid w:val="0011326C"/>
    <w:rsid w:val="001132E5"/>
    <w:rsid w:val="001135C3"/>
    <w:rsid w:val="00113EAB"/>
    <w:rsid w:val="00114682"/>
    <w:rsid w:val="001147AB"/>
    <w:rsid w:val="00114994"/>
    <w:rsid w:val="00115008"/>
    <w:rsid w:val="001168A7"/>
    <w:rsid w:val="00116AEC"/>
    <w:rsid w:val="00117531"/>
    <w:rsid w:val="00117556"/>
    <w:rsid w:val="00117584"/>
    <w:rsid w:val="00120139"/>
    <w:rsid w:val="001201A1"/>
    <w:rsid w:val="001203C2"/>
    <w:rsid w:val="00120928"/>
    <w:rsid w:val="00120A18"/>
    <w:rsid w:val="001210BF"/>
    <w:rsid w:val="00121372"/>
    <w:rsid w:val="001215AD"/>
    <w:rsid w:val="00121620"/>
    <w:rsid w:val="00121848"/>
    <w:rsid w:val="001219D9"/>
    <w:rsid w:val="00121F53"/>
    <w:rsid w:val="00122080"/>
    <w:rsid w:val="00122388"/>
    <w:rsid w:val="00123259"/>
    <w:rsid w:val="00123567"/>
    <w:rsid w:val="00123CD0"/>
    <w:rsid w:val="0012408A"/>
    <w:rsid w:val="001244D7"/>
    <w:rsid w:val="00125454"/>
    <w:rsid w:val="001255BC"/>
    <w:rsid w:val="00125A00"/>
    <w:rsid w:val="00126FEF"/>
    <w:rsid w:val="0012737B"/>
    <w:rsid w:val="00127694"/>
    <w:rsid w:val="001305E1"/>
    <w:rsid w:val="001306B2"/>
    <w:rsid w:val="00130A4D"/>
    <w:rsid w:val="00130D66"/>
    <w:rsid w:val="00131957"/>
    <w:rsid w:val="00131BBE"/>
    <w:rsid w:val="0013226E"/>
    <w:rsid w:val="00132F0C"/>
    <w:rsid w:val="00133186"/>
    <w:rsid w:val="001332A9"/>
    <w:rsid w:val="00133661"/>
    <w:rsid w:val="00134BF5"/>
    <w:rsid w:val="00134D5A"/>
    <w:rsid w:val="0013507B"/>
    <w:rsid w:val="001350AF"/>
    <w:rsid w:val="00135B8A"/>
    <w:rsid w:val="00135FF0"/>
    <w:rsid w:val="0013624D"/>
    <w:rsid w:val="00136279"/>
    <w:rsid w:val="001364AC"/>
    <w:rsid w:val="00136576"/>
    <w:rsid w:val="0013677D"/>
    <w:rsid w:val="0013716A"/>
    <w:rsid w:val="001376CA"/>
    <w:rsid w:val="00140856"/>
    <w:rsid w:val="00140C1F"/>
    <w:rsid w:val="00140F00"/>
    <w:rsid w:val="00141360"/>
    <w:rsid w:val="001415BB"/>
    <w:rsid w:val="001415D1"/>
    <w:rsid w:val="001416BF"/>
    <w:rsid w:val="00141CE7"/>
    <w:rsid w:val="00141CF6"/>
    <w:rsid w:val="00141DE7"/>
    <w:rsid w:val="001420DF"/>
    <w:rsid w:val="001428F5"/>
    <w:rsid w:val="00143A95"/>
    <w:rsid w:val="00145559"/>
    <w:rsid w:val="00145AB2"/>
    <w:rsid w:val="00145F31"/>
    <w:rsid w:val="0014635E"/>
    <w:rsid w:val="00146588"/>
    <w:rsid w:val="00146E7B"/>
    <w:rsid w:val="00146FAA"/>
    <w:rsid w:val="001472EC"/>
    <w:rsid w:val="00147833"/>
    <w:rsid w:val="00147954"/>
    <w:rsid w:val="00147B15"/>
    <w:rsid w:val="001503E4"/>
    <w:rsid w:val="00150F81"/>
    <w:rsid w:val="00151232"/>
    <w:rsid w:val="0015133E"/>
    <w:rsid w:val="001517E0"/>
    <w:rsid w:val="0015233C"/>
    <w:rsid w:val="001531D8"/>
    <w:rsid w:val="00153532"/>
    <w:rsid w:val="00153E26"/>
    <w:rsid w:val="001547AF"/>
    <w:rsid w:val="00155326"/>
    <w:rsid w:val="00155418"/>
    <w:rsid w:val="00156251"/>
    <w:rsid w:val="00157D50"/>
    <w:rsid w:val="00157F62"/>
    <w:rsid w:val="001600A6"/>
    <w:rsid w:val="0016077C"/>
    <w:rsid w:val="001614DD"/>
    <w:rsid w:val="0016312B"/>
    <w:rsid w:val="00163C39"/>
    <w:rsid w:val="00163F93"/>
    <w:rsid w:val="001643E6"/>
    <w:rsid w:val="00164448"/>
    <w:rsid w:val="00164886"/>
    <w:rsid w:val="00164909"/>
    <w:rsid w:val="00165469"/>
    <w:rsid w:val="001655E4"/>
    <w:rsid w:val="001657DF"/>
    <w:rsid w:val="00166CED"/>
    <w:rsid w:val="00166E30"/>
    <w:rsid w:val="0016717F"/>
    <w:rsid w:val="0016768F"/>
    <w:rsid w:val="0016776A"/>
    <w:rsid w:val="0016778F"/>
    <w:rsid w:val="001677FD"/>
    <w:rsid w:val="00167A19"/>
    <w:rsid w:val="00171107"/>
    <w:rsid w:val="00171927"/>
    <w:rsid w:val="00171DA5"/>
    <w:rsid w:val="0017267F"/>
    <w:rsid w:val="001734EC"/>
    <w:rsid w:val="001736A8"/>
    <w:rsid w:val="00173A08"/>
    <w:rsid w:val="00173AED"/>
    <w:rsid w:val="00173BD3"/>
    <w:rsid w:val="00173E5A"/>
    <w:rsid w:val="00174DC3"/>
    <w:rsid w:val="0017598F"/>
    <w:rsid w:val="00175B32"/>
    <w:rsid w:val="00175D2E"/>
    <w:rsid w:val="00175FC8"/>
    <w:rsid w:val="00176064"/>
    <w:rsid w:val="00176307"/>
    <w:rsid w:val="00176537"/>
    <w:rsid w:val="00176782"/>
    <w:rsid w:val="00176A4F"/>
    <w:rsid w:val="0017701D"/>
    <w:rsid w:val="00177AE2"/>
    <w:rsid w:val="00177F3E"/>
    <w:rsid w:val="00180557"/>
    <w:rsid w:val="00180904"/>
    <w:rsid w:val="00180959"/>
    <w:rsid w:val="00180CFC"/>
    <w:rsid w:val="001811A9"/>
    <w:rsid w:val="001811F7"/>
    <w:rsid w:val="001812D9"/>
    <w:rsid w:val="0018168F"/>
    <w:rsid w:val="001817EC"/>
    <w:rsid w:val="00181864"/>
    <w:rsid w:val="00181C13"/>
    <w:rsid w:val="0018229C"/>
    <w:rsid w:val="00182E16"/>
    <w:rsid w:val="00184D27"/>
    <w:rsid w:val="00184DE5"/>
    <w:rsid w:val="0018517C"/>
    <w:rsid w:val="001851ED"/>
    <w:rsid w:val="00185577"/>
    <w:rsid w:val="00186039"/>
    <w:rsid w:val="001863FA"/>
    <w:rsid w:val="00186B71"/>
    <w:rsid w:val="001874BC"/>
    <w:rsid w:val="00187CAC"/>
    <w:rsid w:val="00187D6F"/>
    <w:rsid w:val="001900E6"/>
    <w:rsid w:val="00190793"/>
    <w:rsid w:val="001907C9"/>
    <w:rsid w:val="00190A7D"/>
    <w:rsid w:val="00191048"/>
    <w:rsid w:val="00191237"/>
    <w:rsid w:val="00191606"/>
    <w:rsid w:val="00191C1A"/>
    <w:rsid w:val="0019230A"/>
    <w:rsid w:val="0019276E"/>
    <w:rsid w:val="00192778"/>
    <w:rsid w:val="00192BEC"/>
    <w:rsid w:val="001931F9"/>
    <w:rsid w:val="00193DB4"/>
    <w:rsid w:val="00194CAE"/>
    <w:rsid w:val="001952B2"/>
    <w:rsid w:val="00195FA4"/>
    <w:rsid w:val="00195FA9"/>
    <w:rsid w:val="001961C5"/>
    <w:rsid w:val="001962E6"/>
    <w:rsid w:val="001969DB"/>
    <w:rsid w:val="00196C53"/>
    <w:rsid w:val="00196E39"/>
    <w:rsid w:val="00197456"/>
    <w:rsid w:val="0019745B"/>
    <w:rsid w:val="00197649"/>
    <w:rsid w:val="001976A8"/>
    <w:rsid w:val="00197782"/>
    <w:rsid w:val="00197D96"/>
    <w:rsid w:val="001A04E6"/>
    <w:rsid w:val="001A11B7"/>
    <w:rsid w:val="001A18E5"/>
    <w:rsid w:val="001A19A8"/>
    <w:rsid w:val="001A19D5"/>
    <w:rsid w:val="001A1C41"/>
    <w:rsid w:val="001A1E89"/>
    <w:rsid w:val="001A2505"/>
    <w:rsid w:val="001A2C76"/>
    <w:rsid w:val="001A2CBE"/>
    <w:rsid w:val="001A2E96"/>
    <w:rsid w:val="001A3103"/>
    <w:rsid w:val="001A3158"/>
    <w:rsid w:val="001A32DF"/>
    <w:rsid w:val="001A36E7"/>
    <w:rsid w:val="001A3729"/>
    <w:rsid w:val="001A3C66"/>
    <w:rsid w:val="001A4BDB"/>
    <w:rsid w:val="001A5377"/>
    <w:rsid w:val="001A5F60"/>
    <w:rsid w:val="001A699F"/>
    <w:rsid w:val="001A69C9"/>
    <w:rsid w:val="001A6ACF"/>
    <w:rsid w:val="001A6C7B"/>
    <w:rsid w:val="001A6F98"/>
    <w:rsid w:val="001A6FFB"/>
    <w:rsid w:val="001A7174"/>
    <w:rsid w:val="001B0B29"/>
    <w:rsid w:val="001B0BB1"/>
    <w:rsid w:val="001B14DA"/>
    <w:rsid w:val="001B1904"/>
    <w:rsid w:val="001B1E8D"/>
    <w:rsid w:val="001B1FB3"/>
    <w:rsid w:val="001B2251"/>
    <w:rsid w:val="001B35CC"/>
    <w:rsid w:val="001B3E34"/>
    <w:rsid w:val="001B4B88"/>
    <w:rsid w:val="001B4E50"/>
    <w:rsid w:val="001B58D9"/>
    <w:rsid w:val="001B5BE1"/>
    <w:rsid w:val="001B621C"/>
    <w:rsid w:val="001B698B"/>
    <w:rsid w:val="001B6D73"/>
    <w:rsid w:val="001B706E"/>
    <w:rsid w:val="001B7F72"/>
    <w:rsid w:val="001BB696"/>
    <w:rsid w:val="001C01F4"/>
    <w:rsid w:val="001C1B63"/>
    <w:rsid w:val="001C1F76"/>
    <w:rsid w:val="001C1FAE"/>
    <w:rsid w:val="001C20AE"/>
    <w:rsid w:val="001C25CA"/>
    <w:rsid w:val="001C2659"/>
    <w:rsid w:val="001C490B"/>
    <w:rsid w:val="001C493F"/>
    <w:rsid w:val="001C4ECD"/>
    <w:rsid w:val="001C4F63"/>
    <w:rsid w:val="001C4FD7"/>
    <w:rsid w:val="001C4FEC"/>
    <w:rsid w:val="001C5366"/>
    <w:rsid w:val="001C54E2"/>
    <w:rsid w:val="001C57AC"/>
    <w:rsid w:val="001C5880"/>
    <w:rsid w:val="001C5AA5"/>
    <w:rsid w:val="001C5AC4"/>
    <w:rsid w:val="001C5E71"/>
    <w:rsid w:val="001C6034"/>
    <w:rsid w:val="001C6671"/>
    <w:rsid w:val="001C6800"/>
    <w:rsid w:val="001C6CE1"/>
    <w:rsid w:val="001C79A7"/>
    <w:rsid w:val="001C7A03"/>
    <w:rsid w:val="001C7D06"/>
    <w:rsid w:val="001D033E"/>
    <w:rsid w:val="001D03F9"/>
    <w:rsid w:val="001D0661"/>
    <w:rsid w:val="001D0919"/>
    <w:rsid w:val="001D1F7D"/>
    <w:rsid w:val="001D260D"/>
    <w:rsid w:val="001D297C"/>
    <w:rsid w:val="001D2C68"/>
    <w:rsid w:val="001D2FB4"/>
    <w:rsid w:val="001D383C"/>
    <w:rsid w:val="001D3EC1"/>
    <w:rsid w:val="001D42CF"/>
    <w:rsid w:val="001D49A1"/>
    <w:rsid w:val="001D5283"/>
    <w:rsid w:val="001D5463"/>
    <w:rsid w:val="001D5C91"/>
    <w:rsid w:val="001D5FD3"/>
    <w:rsid w:val="001D651D"/>
    <w:rsid w:val="001D6FE5"/>
    <w:rsid w:val="001D78E6"/>
    <w:rsid w:val="001D79B2"/>
    <w:rsid w:val="001E07DF"/>
    <w:rsid w:val="001E0D6F"/>
    <w:rsid w:val="001E120B"/>
    <w:rsid w:val="001E12AA"/>
    <w:rsid w:val="001E155C"/>
    <w:rsid w:val="001E1648"/>
    <w:rsid w:val="001E1B61"/>
    <w:rsid w:val="001E1E8D"/>
    <w:rsid w:val="001E1F35"/>
    <w:rsid w:val="001E27D4"/>
    <w:rsid w:val="001E27DA"/>
    <w:rsid w:val="001E2832"/>
    <w:rsid w:val="001E29DE"/>
    <w:rsid w:val="001E2E72"/>
    <w:rsid w:val="001E353C"/>
    <w:rsid w:val="001E3BC4"/>
    <w:rsid w:val="001E3F75"/>
    <w:rsid w:val="001E43AB"/>
    <w:rsid w:val="001E4733"/>
    <w:rsid w:val="001E4BB5"/>
    <w:rsid w:val="001E52D0"/>
    <w:rsid w:val="001E5AD2"/>
    <w:rsid w:val="001E5C8B"/>
    <w:rsid w:val="001E5E25"/>
    <w:rsid w:val="001E5EED"/>
    <w:rsid w:val="001E5F45"/>
    <w:rsid w:val="001E6104"/>
    <w:rsid w:val="001E630F"/>
    <w:rsid w:val="001E6934"/>
    <w:rsid w:val="001E6C65"/>
    <w:rsid w:val="001E6D84"/>
    <w:rsid w:val="001E73AC"/>
    <w:rsid w:val="001E73CD"/>
    <w:rsid w:val="001E7B2C"/>
    <w:rsid w:val="001F04CC"/>
    <w:rsid w:val="001F0E3B"/>
    <w:rsid w:val="001F1B8D"/>
    <w:rsid w:val="001F20F3"/>
    <w:rsid w:val="001F29E0"/>
    <w:rsid w:val="001F2B3D"/>
    <w:rsid w:val="001F2DDE"/>
    <w:rsid w:val="001F2E7D"/>
    <w:rsid w:val="001F3913"/>
    <w:rsid w:val="001F3A2A"/>
    <w:rsid w:val="001F3B8F"/>
    <w:rsid w:val="001F3F1B"/>
    <w:rsid w:val="001F44BE"/>
    <w:rsid w:val="001F4525"/>
    <w:rsid w:val="001F4843"/>
    <w:rsid w:val="001F50E1"/>
    <w:rsid w:val="001F529C"/>
    <w:rsid w:val="001F5B4C"/>
    <w:rsid w:val="001F601C"/>
    <w:rsid w:val="001F6132"/>
    <w:rsid w:val="001F643F"/>
    <w:rsid w:val="001F6577"/>
    <w:rsid w:val="001F6C5B"/>
    <w:rsid w:val="001F766B"/>
    <w:rsid w:val="001F76C7"/>
    <w:rsid w:val="001F7A19"/>
    <w:rsid w:val="001F7EE5"/>
    <w:rsid w:val="002004B0"/>
    <w:rsid w:val="00200C19"/>
    <w:rsid w:val="00200D45"/>
    <w:rsid w:val="00200E0D"/>
    <w:rsid w:val="0020104A"/>
    <w:rsid w:val="0020123E"/>
    <w:rsid w:val="00201607"/>
    <w:rsid w:val="00201AC5"/>
    <w:rsid w:val="00201AF5"/>
    <w:rsid w:val="00201CEE"/>
    <w:rsid w:val="00201D6E"/>
    <w:rsid w:val="00201F28"/>
    <w:rsid w:val="00202259"/>
    <w:rsid w:val="0020276A"/>
    <w:rsid w:val="002029EB"/>
    <w:rsid w:val="00202FAC"/>
    <w:rsid w:val="00203660"/>
    <w:rsid w:val="00204230"/>
    <w:rsid w:val="00204A08"/>
    <w:rsid w:val="00204D4A"/>
    <w:rsid w:val="00205155"/>
    <w:rsid w:val="00205947"/>
    <w:rsid w:val="00205996"/>
    <w:rsid w:val="002066A0"/>
    <w:rsid w:val="002068E1"/>
    <w:rsid w:val="00206BC7"/>
    <w:rsid w:val="002077D4"/>
    <w:rsid w:val="0021001A"/>
    <w:rsid w:val="002100C3"/>
    <w:rsid w:val="002111C6"/>
    <w:rsid w:val="002116F3"/>
    <w:rsid w:val="00211A0E"/>
    <w:rsid w:val="0021217A"/>
    <w:rsid w:val="00212759"/>
    <w:rsid w:val="002132F8"/>
    <w:rsid w:val="0021333A"/>
    <w:rsid w:val="00213EAE"/>
    <w:rsid w:val="0021421E"/>
    <w:rsid w:val="0021449C"/>
    <w:rsid w:val="0021452C"/>
    <w:rsid w:val="00214748"/>
    <w:rsid w:val="00214AC4"/>
    <w:rsid w:val="002153D8"/>
    <w:rsid w:val="00215994"/>
    <w:rsid w:val="00215A4E"/>
    <w:rsid w:val="0021613E"/>
    <w:rsid w:val="0021637C"/>
    <w:rsid w:val="00216A5B"/>
    <w:rsid w:val="00216DFA"/>
    <w:rsid w:val="002170AC"/>
    <w:rsid w:val="00217258"/>
    <w:rsid w:val="00217BF5"/>
    <w:rsid w:val="00217C06"/>
    <w:rsid w:val="00220CAE"/>
    <w:rsid w:val="00220E11"/>
    <w:rsid w:val="00220F32"/>
    <w:rsid w:val="00220FC0"/>
    <w:rsid w:val="00221561"/>
    <w:rsid w:val="002219E7"/>
    <w:rsid w:val="002225FC"/>
    <w:rsid w:val="00222C91"/>
    <w:rsid w:val="00223110"/>
    <w:rsid w:val="002233AA"/>
    <w:rsid w:val="00223697"/>
    <w:rsid w:val="002238FC"/>
    <w:rsid w:val="00223BB9"/>
    <w:rsid w:val="00223FBF"/>
    <w:rsid w:val="002243AA"/>
    <w:rsid w:val="002244C3"/>
    <w:rsid w:val="00224526"/>
    <w:rsid w:val="002247A3"/>
    <w:rsid w:val="00224CF8"/>
    <w:rsid w:val="00225634"/>
    <w:rsid w:val="002257BE"/>
    <w:rsid w:val="0022580D"/>
    <w:rsid w:val="00225C01"/>
    <w:rsid w:val="00225D45"/>
    <w:rsid w:val="0022626C"/>
    <w:rsid w:val="00226292"/>
    <w:rsid w:val="00226A26"/>
    <w:rsid w:val="00226A46"/>
    <w:rsid w:val="00226A49"/>
    <w:rsid w:val="00226E0E"/>
    <w:rsid w:val="002272DA"/>
    <w:rsid w:val="00227996"/>
    <w:rsid w:val="00230004"/>
    <w:rsid w:val="00230E12"/>
    <w:rsid w:val="00231282"/>
    <w:rsid w:val="0023184E"/>
    <w:rsid w:val="00231DF1"/>
    <w:rsid w:val="0023234A"/>
    <w:rsid w:val="00233447"/>
    <w:rsid w:val="00233EF6"/>
    <w:rsid w:val="00234AA9"/>
    <w:rsid w:val="00235501"/>
    <w:rsid w:val="002356A6"/>
    <w:rsid w:val="0023581D"/>
    <w:rsid w:val="00235D9F"/>
    <w:rsid w:val="0023603B"/>
    <w:rsid w:val="00236060"/>
    <w:rsid w:val="0023641B"/>
    <w:rsid w:val="00236988"/>
    <w:rsid w:val="002372D6"/>
    <w:rsid w:val="00237B9D"/>
    <w:rsid w:val="00237DF5"/>
    <w:rsid w:val="00237EBE"/>
    <w:rsid w:val="00240297"/>
    <w:rsid w:val="0024063E"/>
    <w:rsid w:val="00240719"/>
    <w:rsid w:val="00240E69"/>
    <w:rsid w:val="002415BE"/>
    <w:rsid w:val="00242364"/>
    <w:rsid w:val="00242F94"/>
    <w:rsid w:val="0024332D"/>
    <w:rsid w:val="00243385"/>
    <w:rsid w:val="002433B9"/>
    <w:rsid w:val="002440EA"/>
    <w:rsid w:val="002445B8"/>
    <w:rsid w:val="00244FFB"/>
    <w:rsid w:val="0024505F"/>
    <w:rsid w:val="00245A1C"/>
    <w:rsid w:val="00245CE0"/>
    <w:rsid w:val="00245DEE"/>
    <w:rsid w:val="00245E44"/>
    <w:rsid w:val="00246D8F"/>
    <w:rsid w:val="00246E97"/>
    <w:rsid w:val="00246EFC"/>
    <w:rsid w:val="002470CA"/>
    <w:rsid w:val="002475B4"/>
    <w:rsid w:val="0024775C"/>
    <w:rsid w:val="00250382"/>
    <w:rsid w:val="00250392"/>
    <w:rsid w:val="00250646"/>
    <w:rsid w:val="00250A7B"/>
    <w:rsid w:val="00250FC8"/>
    <w:rsid w:val="002513CF"/>
    <w:rsid w:val="00251422"/>
    <w:rsid w:val="0025142D"/>
    <w:rsid w:val="002515CF"/>
    <w:rsid w:val="00251785"/>
    <w:rsid w:val="00252F68"/>
    <w:rsid w:val="00253223"/>
    <w:rsid w:val="0025339F"/>
    <w:rsid w:val="00253EF2"/>
    <w:rsid w:val="002545C3"/>
    <w:rsid w:val="00254713"/>
    <w:rsid w:val="002548CB"/>
    <w:rsid w:val="00254EEC"/>
    <w:rsid w:val="00256706"/>
    <w:rsid w:val="00256C6B"/>
    <w:rsid w:val="00256E8E"/>
    <w:rsid w:val="00257C74"/>
    <w:rsid w:val="00257EE2"/>
    <w:rsid w:val="002609D9"/>
    <w:rsid w:val="00260A19"/>
    <w:rsid w:val="0026116D"/>
    <w:rsid w:val="002611F2"/>
    <w:rsid w:val="00261F7B"/>
    <w:rsid w:val="002628ED"/>
    <w:rsid w:val="00262952"/>
    <w:rsid w:val="00262AA5"/>
    <w:rsid w:val="00262BEA"/>
    <w:rsid w:val="0026313D"/>
    <w:rsid w:val="002632A1"/>
    <w:rsid w:val="002635D1"/>
    <w:rsid w:val="0026393B"/>
    <w:rsid w:val="00264B23"/>
    <w:rsid w:val="002654DD"/>
    <w:rsid w:val="00265783"/>
    <w:rsid w:val="00265AA5"/>
    <w:rsid w:val="002662CD"/>
    <w:rsid w:val="0026684D"/>
    <w:rsid w:val="00266E64"/>
    <w:rsid w:val="0026739B"/>
    <w:rsid w:val="00267EA1"/>
    <w:rsid w:val="002700E8"/>
    <w:rsid w:val="0027010B"/>
    <w:rsid w:val="00270628"/>
    <w:rsid w:val="00270908"/>
    <w:rsid w:val="00270AC7"/>
    <w:rsid w:val="00270C9C"/>
    <w:rsid w:val="0027217F"/>
    <w:rsid w:val="00272528"/>
    <w:rsid w:val="002726FC"/>
    <w:rsid w:val="00272A6F"/>
    <w:rsid w:val="00272EE9"/>
    <w:rsid w:val="002731D6"/>
    <w:rsid w:val="00273469"/>
    <w:rsid w:val="002743F3"/>
    <w:rsid w:val="002748A1"/>
    <w:rsid w:val="002749FC"/>
    <w:rsid w:val="00274B4A"/>
    <w:rsid w:val="00274CAA"/>
    <w:rsid w:val="00274E0D"/>
    <w:rsid w:val="00274E13"/>
    <w:rsid w:val="0027536F"/>
    <w:rsid w:val="0027650D"/>
    <w:rsid w:val="002765B9"/>
    <w:rsid w:val="002765F3"/>
    <w:rsid w:val="002770C3"/>
    <w:rsid w:val="00277BB3"/>
    <w:rsid w:val="00280089"/>
    <w:rsid w:val="0028018A"/>
    <w:rsid w:val="0028034E"/>
    <w:rsid w:val="00280C28"/>
    <w:rsid w:val="00280DE1"/>
    <w:rsid w:val="00280FC9"/>
    <w:rsid w:val="0028152B"/>
    <w:rsid w:val="00281C9B"/>
    <w:rsid w:val="00281E90"/>
    <w:rsid w:val="0028235F"/>
    <w:rsid w:val="00282AE1"/>
    <w:rsid w:val="00282BDF"/>
    <w:rsid w:val="002830D6"/>
    <w:rsid w:val="00283294"/>
    <w:rsid w:val="00283657"/>
    <w:rsid w:val="00284063"/>
    <w:rsid w:val="00284689"/>
    <w:rsid w:val="00284CC4"/>
    <w:rsid w:val="002854FF"/>
    <w:rsid w:val="0028600E"/>
    <w:rsid w:val="00286877"/>
    <w:rsid w:val="00287825"/>
    <w:rsid w:val="00287C59"/>
    <w:rsid w:val="0029078A"/>
    <w:rsid w:val="002907E3"/>
    <w:rsid w:val="00290E6E"/>
    <w:rsid w:val="00291040"/>
    <w:rsid w:val="00291609"/>
    <w:rsid w:val="00291A98"/>
    <w:rsid w:val="00291ADB"/>
    <w:rsid w:val="00291D98"/>
    <w:rsid w:val="00291F7F"/>
    <w:rsid w:val="002921EA"/>
    <w:rsid w:val="00292713"/>
    <w:rsid w:val="00292B8C"/>
    <w:rsid w:val="00292FA8"/>
    <w:rsid w:val="0029317D"/>
    <w:rsid w:val="00293C5A"/>
    <w:rsid w:val="002940B1"/>
    <w:rsid w:val="00294107"/>
    <w:rsid w:val="002944F0"/>
    <w:rsid w:val="002949C5"/>
    <w:rsid w:val="00294DA6"/>
    <w:rsid w:val="0029584E"/>
    <w:rsid w:val="0029595A"/>
    <w:rsid w:val="00295B73"/>
    <w:rsid w:val="00295BAA"/>
    <w:rsid w:val="00295D0E"/>
    <w:rsid w:val="00296E6E"/>
    <w:rsid w:val="0029730A"/>
    <w:rsid w:val="0029743F"/>
    <w:rsid w:val="00297689"/>
    <w:rsid w:val="00297748"/>
    <w:rsid w:val="002978FB"/>
    <w:rsid w:val="00297AF5"/>
    <w:rsid w:val="002A00F8"/>
    <w:rsid w:val="002A0C4F"/>
    <w:rsid w:val="002A1415"/>
    <w:rsid w:val="002A18EF"/>
    <w:rsid w:val="002A1C97"/>
    <w:rsid w:val="002A22DA"/>
    <w:rsid w:val="002A2725"/>
    <w:rsid w:val="002A2833"/>
    <w:rsid w:val="002A308A"/>
    <w:rsid w:val="002A31A4"/>
    <w:rsid w:val="002A33CD"/>
    <w:rsid w:val="002A3A5D"/>
    <w:rsid w:val="002A3B57"/>
    <w:rsid w:val="002A432A"/>
    <w:rsid w:val="002A49C7"/>
    <w:rsid w:val="002A55A3"/>
    <w:rsid w:val="002A6C2C"/>
    <w:rsid w:val="002A6F0A"/>
    <w:rsid w:val="002A6F9B"/>
    <w:rsid w:val="002A7C51"/>
    <w:rsid w:val="002A7E9D"/>
    <w:rsid w:val="002A7F21"/>
    <w:rsid w:val="002B03C0"/>
    <w:rsid w:val="002B0723"/>
    <w:rsid w:val="002B0E54"/>
    <w:rsid w:val="002B16EC"/>
    <w:rsid w:val="002B2445"/>
    <w:rsid w:val="002B27B6"/>
    <w:rsid w:val="002B2B99"/>
    <w:rsid w:val="002B2ED9"/>
    <w:rsid w:val="002B3053"/>
    <w:rsid w:val="002B3DDC"/>
    <w:rsid w:val="002B3F0A"/>
    <w:rsid w:val="002B40B0"/>
    <w:rsid w:val="002B4315"/>
    <w:rsid w:val="002B4567"/>
    <w:rsid w:val="002B4C1A"/>
    <w:rsid w:val="002B4E01"/>
    <w:rsid w:val="002B51D3"/>
    <w:rsid w:val="002B5BDB"/>
    <w:rsid w:val="002B5DFC"/>
    <w:rsid w:val="002B67F0"/>
    <w:rsid w:val="002B6802"/>
    <w:rsid w:val="002B696C"/>
    <w:rsid w:val="002B6A6D"/>
    <w:rsid w:val="002B6B2E"/>
    <w:rsid w:val="002B6DE0"/>
    <w:rsid w:val="002B7477"/>
    <w:rsid w:val="002B7602"/>
    <w:rsid w:val="002B782D"/>
    <w:rsid w:val="002B7F91"/>
    <w:rsid w:val="002C010E"/>
    <w:rsid w:val="002C0331"/>
    <w:rsid w:val="002C041F"/>
    <w:rsid w:val="002C0C82"/>
    <w:rsid w:val="002C0DB4"/>
    <w:rsid w:val="002C11D2"/>
    <w:rsid w:val="002C124E"/>
    <w:rsid w:val="002C18E9"/>
    <w:rsid w:val="002C1E12"/>
    <w:rsid w:val="002C21AE"/>
    <w:rsid w:val="002C21CC"/>
    <w:rsid w:val="002C227F"/>
    <w:rsid w:val="002C2DB8"/>
    <w:rsid w:val="002C349A"/>
    <w:rsid w:val="002C359D"/>
    <w:rsid w:val="002C3B1F"/>
    <w:rsid w:val="002C3C60"/>
    <w:rsid w:val="002C3ED6"/>
    <w:rsid w:val="002C4A4A"/>
    <w:rsid w:val="002C5270"/>
    <w:rsid w:val="002C5367"/>
    <w:rsid w:val="002C5BB4"/>
    <w:rsid w:val="002C5C88"/>
    <w:rsid w:val="002C63F7"/>
    <w:rsid w:val="002C6DF8"/>
    <w:rsid w:val="002C73D6"/>
    <w:rsid w:val="002C7690"/>
    <w:rsid w:val="002C7C3D"/>
    <w:rsid w:val="002C7CFE"/>
    <w:rsid w:val="002C7F53"/>
    <w:rsid w:val="002D06CD"/>
    <w:rsid w:val="002D06DF"/>
    <w:rsid w:val="002D0A4D"/>
    <w:rsid w:val="002D0D04"/>
    <w:rsid w:val="002D0D5B"/>
    <w:rsid w:val="002D0FF3"/>
    <w:rsid w:val="002D12BB"/>
    <w:rsid w:val="002D1600"/>
    <w:rsid w:val="002D19A6"/>
    <w:rsid w:val="002D19CD"/>
    <w:rsid w:val="002D223F"/>
    <w:rsid w:val="002D2497"/>
    <w:rsid w:val="002D2C0E"/>
    <w:rsid w:val="002D2D2C"/>
    <w:rsid w:val="002D2E7A"/>
    <w:rsid w:val="002D2F13"/>
    <w:rsid w:val="002D2F66"/>
    <w:rsid w:val="002D3D51"/>
    <w:rsid w:val="002D5768"/>
    <w:rsid w:val="002D58AB"/>
    <w:rsid w:val="002D6027"/>
    <w:rsid w:val="002D6304"/>
    <w:rsid w:val="002D6706"/>
    <w:rsid w:val="002D6CF4"/>
    <w:rsid w:val="002D738D"/>
    <w:rsid w:val="002D7467"/>
    <w:rsid w:val="002E071A"/>
    <w:rsid w:val="002E0920"/>
    <w:rsid w:val="002E0CB4"/>
    <w:rsid w:val="002E0D26"/>
    <w:rsid w:val="002E0F2E"/>
    <w:rsid w:val="002E1017"/>
    <w:rsid w:val="002E12BE"/>
    <w:rsid w:val="002E1907"/>
    <w:rsid w:val="002E1C50"/>
    <w:rsid w:val="002E1C58"/>
    <w:rsid w:val="002E254D"/>
    <w:rsid w:val="002E2618"/>
    <w:rsid w:val="002E2695"/>
    <w:rsid w:val="002E2905"/>
    <w:rsid w:val="002E30F5"/>
    <w:rsid w:val="002E3501"/>
    <w:rsid w:val="002E3C42"/>
    <w:rsid w:val="002E41F7"/>
    <w:rsid w:val="002E43FC"/>
    <w:rsid w:val="002E501E"/>
    <w:rsid w:val="002E556D"/>
    <w:rsid w:val="002E585C"/>
    <w:rsid w:val="002E5B79"/>
    <w:rsid w:val="002E5D49"/>
    <w:rsid w:val="002E618E"/>
    <w:rsid w:val="002E6398"/>
    <w:rsid w:val="002E6752"/>
    <w:rsid w:val="002E67D7"/>
    <w:rsid w:val="002E67FF"/>
    <w:rsid w:val="002E73BB"/>
    <w:rsid w:val="002E73E3"/>
    <w:rsid w:val="002E7680"/>
    <w:rsid w:val="002E7DAF"/>
    <w:rsid w:val="002F01DE"/>
    <w:rsid w:val="002F0494"/>
    <w:rsid w:val="002F06A4"/>
    <w:rsid w:val="002F076F"/>
    <w:rsid w:val="002F13A2"/>
    <w:rsid w:val="002F17A2"/>
    <w:rsid w:val="002F223F"/>
    <w:rsid w:val="002F2382"/>
    <w:rsid w:val="002F2EFD"/>
    <w:rsid w:val="002F3EC4"/>
    <w:rsid w:val="002F4034"/>
    <w:rsid w:val="002F4A57"/>
    <w:rsid w:val="002F4D9A"/>
    <w:rsid w:val="002F4E48"/>
    <w:rsid w:val="002F5125"/>
    <w:rsid w:val="002F59A4"/>
    <w:rsid w:val="002F5FA4"/>
    <w:rsid w:val="002F65EA"/>
    <w:rsid w:val="002F6B60"/>
    <w:rsid w:val="002F6C8C"/>
    <w:rsid w:val="002F6F1C"/>
    <w:rsid w:val="002F7161"/>
    <w:rsid w:val="002F71EB"/>
    <w:rsid w:val="002F7912"/>
    <w:rsid w:val="00300891"/>
    <w:rsid w:val="00301276"/>
    <w:rsid w:val="003012A2"/>
    <w:rsid w:val="003012CC"/>
    <w:rsid w:val="003016D8"/>
    <w:rsid w:val="00301847"/>
    <w:rsid w:val="00301ADF"/>
    <w:rsid w:val="00301E73"/>
    <w:rsid w:val="00302B8B"/>
    <w:rsid w:val="003030B4"/>
    <w:rsid w:val="0030330E"/>
    <w:rsid w:val="00303BF4"/>
    <w:rsid w:val="00303DEA"/>
    <w:rsid w:val="003047E5"/>
    <w:rsid w:val="00304862"/>
    <w:rsid w:val="00304FB0"/>
    <w:rsid w:val="0030565A"/>
    <w:rsid w:val="00305850"/>
    <w:rsid w:val="00305B58"/>
    <w:rsid w:val="00305B8A"/>
    <w:rsid w:val="003064B6"/>
    <w:rsid w:val="0030654C"/>
    <w:rsid w:val="00306D74"/>
    <w:rsid w:val="00306F85"/>
    <w:rsid w:val="00306F9F"/>
    <w:rsid w:val="003074C7"/>
    <w:rsid w:val="0030757D"/>
    <w:rsid w:val="00307994"/>
    <w:rsid w:val="00307B02"/>
    <w:rsid w:val="00307D3E"/>
    <w:rsid w:val="0031008C"/>
    <w:rsid w:val="0031067F"/>
    <w:rsid w:val="00310943"/>
    <w:rsid w:val="003111CD"/>
    <w:rsid w:val="003114FF"/>
    <w:rsid w:val="003118EF"/>
    <w:rsid w:val="003119BA"/>
    <w:rsid w:val="00311B56"/>
    <w:rsid w:val="00311E23"/>
    <w:rsid w:val="00311FEA"/>
    <w:rsid w:val="00312359"/>
    <w:rsid w:val="00312500"/>
    <w:rsid w:val="00312ABF"/>
    <w:rsid w:val="00312E41"/>
    <w:rsid w:val="003136E1"/>
    <w:rsid w:val="003141B4"/>
    <w:rsid w:val="0031432F"/>
    <w:rsid w:val="00314399"/>
    <w:rsid w:val="0031444E"/>
    <w:rsid w:val="00314877"/>
    <w:rsid w:val="00314A34"/>
    <w:rsid w:val="00314A4C"/>
    <w:rsid w:val="00314A69"/>
    <w:rsid w:val="00314C82"/>
    <w:rsid w:val="00314DD9"/>
    <w:rsid w:val="003153FC"/>
    <w:rsid w:val="0031550B"/>
    <w:rsid w:val="00315740"/>
    <w:rsid w:val="00315B79"/>
    <w:rsid w:val="00315EE3"/>
    <w:rsid w:val="0031641F"/>
    <w:rsid w:val="0031675E"/>
    <w:rsid w:val="003169E0"/>
    <w:rsid w:val="00316D2B"/>
    <w:rsid w:val="0031728A"/>
    <w:rsid w:val="003175B8"/>
    <w:rsid w:val="00317A3A"/>
    <w:rsid w:val="00320A67"/>
    <w:rsid w:val="00320C1A"/>
    <w:rsid w:val="00320E2F"/>
    <w:rsid w:val="00320EF5"/>
    <w:rsid w:val="0032150D"/>
    <w:rsid w:val="00321D80"/>
    <w:rsid w:val="003224CC"/>
    <w:rsid w:val="0032258F"/>
    <w:rsid w:val="00322F65"/>
    <w:rsid w:val="00323327"/>
    <w:rsid w:val="00323E28"/>
    <w:rsid w:val="003242E3"/>
    <w:rsid w:val="00324C71"/>
    <w:rsid w:val="00324E25"/>
    <w:rsid w:val="0032534C"/>
    <w:rsid w:val="00325542"/>
    <w:rsid w:val="003257C7"/>
    <w:rsid w:val="003258D5"/>
    <w:rsid w:val="0032613C"/>
    <w:rsid w:val="003265E5"/>
    <w:rsid w:val="003268CA"/>
    <w:rsid w:val="00326B37"/>
    <w:rsid w:val="00326F09"/>
    <w:rsid w:val="003270B4"/>
    <w:rsid w:val="003272D3"/>
    <w:rsid w:val="003273D3"/>
    <w:rsid w:val="00327DE9"/>
    <w:rsid w:val="00330966"/>
    <w:rsid w:val="00330A30"/>
    <w:rsid w:val="0033102E"/>
    <w:rsid w:val="00331E0E"/>
    <w:rsid w:val="0033229F"/>
    <w:rsid w:val="00332765"/>
    <w:rsid w:val="00332C68"/>
    <w:rsid w:val="003334C6"/>
    <w:rsid w:val="00333C8C"/>
    <w:rsid w:val="00333F26"/>
    <w:rsid w:val="003342F2"/>
    <w:rsid w:val="00334956"/>
    <w:rsid w:val="00335009"/>
    <w:rsid w:val="003350F4"/>
    <w:rsid w:val="003356AB"/>
    <w:rsid w:val="003360B3"/>
    <w:rsid w:val="00336339"/>
    <w:rsid w:val="0033640B"/>
    <w:rsid w:val="00336583"/>
    <w:rsid w:val="003366E3"/>
    <w:rsid w:val="00336D3C"/>
    <w:rsid w:val="00337010"/>
    <w:rsid w:val="003377CB"/>
    <w:rsid w:val="00340162"/>
    <w:rsid w:val="0034031C"/>
    <w:rsid w:val="00340386"/>
    <w:rsid w:val="00340809"/>
    <w:rsid w:val="00340C69"/>
    <w:rsid w:val="003410B8"/>
    <w:rsid w:val="00341954"/>
    <w:rsid w:val="00341970"/>
    <w:rsid w:val="00341BE3"/>
    <w:rsid w:val="003429F6"/>
    <w:rsid w:val="00342F12"/>
    <w:rsid w:val="00342F25"/>
    <w:rsid w:val="003431FE"/>
    <w:rsid w:val="003432D2"/>
    <w:rsid w:val="00343547"/>
    <w:rsid w:val="00343680"/>
    <w:rsid w:val="00344119"/>
    <w:rsid w:val="00344750"/>
    <w:rsid w:val="00344A8E"/>
    <w:rsid w:val="00344CA5"/>
    <w:rsid w:val="00344E06"/>
    <w:rsid w:val="003451A5"/>
    <w:rsid w:val="00345354"/>
    <w:rsid w:val="00345559"/>
    <w:rsid w:val="003455BF"/>
    <w:rsid w:val="00345D32"/>
    <w:rsid w:val="00345E7E"/>
    <w:rsid w:val="00345F9D"/>
    <w:rsid w:val="0034660E"/>
    <w:rsid w:val="00347227"/>
    <w:rsid w:val="003472A8"/>
    <w:rsid w:val="003473CC"/>
    <w:rsid w:val="0034754E"/>
    <w:rsid w:val="00347607"/>
    <w:rsid w:val="00347FC4"/>
    <w:rsid w:val="003503EB"/>
    <w:rsid w:val="00350CB7"/>
    <w:rsid w:val="003515DB"/>
    <w:rsid w:val="00351845"/>
    <w:rsid w:val="003518DF"/>
    <w:rsid w:val="003518E3"/>
    <w:rsid w:val="00351D4B"/>
    <w:rsid w:val="00351FAC"/>
    <w:rsid w:val="00352110"/>
    <w:rsid w:val="00352483"/>
    <w:rsid w:val="003527C1"/>
    <w:rsid w:val="00352921"/>
    <w:rsid w:val="00353059"/>
    <w:rsid w:val="0035325F"/>
    <w:rsid w:val="0035355E"/>
    <w:rsid w:val="00354165"/>
    <w:rsid w:val="00354C4E"/>
    <w:rsid w:val="00355187"/>
    <w:rsid w:val="003553E2"/>
    <w:rsid w:val="00355665"/>
    <w:rsid w:val="00355D8F"/>
    <w:rsid w:val="00356176"/>
    <w:rsid w:val="00356311"/>
    <w:rsid w:val="00356BC3"/>
    <w:rsid w:val="00356D2B"/>
    <w:rsid w:val="00357621"/>
    <w:rsid w:val="00357929"/>
    <w:rsid w:val="00357CAB"/>
    <w:rsid w:val="00357DCC"/>
    <w:rsid w:val="00360738"/>
    <w:rsid w:val="00360A69"/>
    <w:rsid w:val="00360EBB"/>
    <w:rsid w:val="0036139F"/>
    <w:rsid w:val="003614BB"/>
    <w:rsid w:val="00361FA7"/>
    <w:rsid w:val="003623FC"/>
    <w:rsid w:val="00362505"/>
    <w:rsid w:val="00362909"/>
    <w:rsid w:val="003636D3"/>
    <w:rsid w:val="003638E1"/>
    <w:rsid w:val="003642FB"/>
    <w:rsid w:val="003647BA"/>
    <w:rsid w:val="00364A3F"/>
    <w:rsid w:val="00364D97"/>
    <w:rsid w:val="00364FEE"/>
    <w:rsid w:val="003652B7"/>
    <w:rsid w:val="00365AB7"/>
    <w:rsid w:val="00365B12"/>
    <w:rsid w:val="00365FBF"/>
    <w:rsid w:val="00366742"/>
    <w:rsid w:val="003668EB"/>
    <w:rsid w:val="00366DEC"/>
    <w:rsid w:val="00370006"/>
    <w:rsid w:val="003701FB"/>
    <w:rsid w:val="0037056C"/>
    <w:rsid w:val="00371171"/>
    <w:rsid w:val="0037149B"/>
    <w:rsid w:val="00371B9A"/>
    <w:rsid w:val="00371D8F"/>
    <w:rsid w:val="0037245C"/>
    <w:rsid w:val="003724AE"/>
    <w:rsid w:val="00372520"/>
    <w:rsid w:val="0037259F"/>
    <w:rsid w:val="00372896"/>
    <w:rsid w:val="00372C24"/>
    <w:rsid w:val="00373295"/>
    <w:rsid w:val="003732A8"/>
    <w:rsid w:val="003735DE"/>
    <w:rsid w:val="00373634"/>
    <w:rsid w:val="00374333"/>
    <w:rsid w:val="00374463"/>
    <w:rsid w:val="0037477E"/>
    <w:rsid w:val="00374C59"/>
    <w:rsid w:val="00375218"/>
    <w:rsid w:val="003755BF"/>
    <w:rsid w:val="003758BD"/>
    <w:rsid w:val="003765AB"/>
    <w:rsid w:val="0037667A"/>
    <w:rsid w:val="003770C0"/>
    <w:rsid w:val="00377381"/>
    <w:rsid w:val="00377AF1"/>
    <w:rsid w:val="00377B2B"/>
    <w:rsid w:val="00377B4A"/>
    <w:rsid w:val="00377BA8"/>
    <w:rsid w:val="003807A7"/>
    <w:rsid w:val="00381989"/>
    <w:rsid w:val="00381F7E"/>
    <w:rsid w:val="00382052"/>
    <w:rsid w:val="0038253D"/>
    <w:rsid w:val="00382617"/>
    <w:rsid w:val="0038277B"/>
    <w:rsid w:val="0038382D"/>
    <w:rsid w:val="0038383A"/>
    <w:rsid w:val="00383D42"/>
    <w:rsid w:val="00383EA9"/>
    <w:rsid w:val="003841A4"/>
    <w:rsid w:val="003844E3"/>
    <w:rsid w:val="00384C6A"/>
    <w:rsid w:val="00385368"/>
    <w:rsid w:val="003859CA"/>
    <w:rsid w:val="003861AF"/>
    <w:rsid w:val="00386940"/>
    <w:rsid w:val="00386A31"/>
    <w:rsid w:val="00386DD9"/>
    <w:rsid w:val="00386EAA"/>
    <w:rsid w:val="0038719D"/>
    <w:rsid w:val="003876FE"/>
    <w:rsid w:val="00387739"/>
    <w:rsid w:val="00387949"/>
    <w:rsid w:val="00387AC2"/>
    <w:rsid w:val="00387DE6"/>
    <w:rsid w:val="003904AD"/>
    <w:rsid w:val="00390503"/>
    <w:rsid w:val="00390727"/>
    <w:rsid w:val="00390962"/>
    <w:rsid w:val="00390A6B"/>
    <w:rsid w:val="00390DF3"/>
    <w:rsid w:val="00391404"/>
    <w:rsid w:val="00392035"/>
    <w:rsid w:val="003922D4"/>
    <w:rsid w:val="0039234C"/>
    <w:rsid w:val="003924BD"/>
    <w:rsid w:val="00392A43"/>
    <w:rsid w:val="00392DA5"/>
    <w:rsid w:val="003934D6"/>
    <w:rsid w:val="0039447B"/>
    <w:rsid w:val="00394860"/>
    <w:rsid w:val="00394CB1"/>
    <w:rsid w:val="0039520A"/>
    <w:rsid w:val="003954FE"/>
    <w:rsid w:val="003961C9"/>
    <w:rsid w:val="00396998"/>
    <w:rsid w:val="00396ABE"/>
    <w:rsid w:val="00396EC8"/>
    <w:rsid w:val="00396FB3"/>
    <w:rsid w:val="0039725D"/>
    <w:rsid w:val="00397516"/>
    <w:rsid w:val="0039792F"/>
    <w:rsid w:val="003A05A4"/>
    <w:rsid w:val="003A0CCD"/>
    <w:rsid w:val="003A0CEA"/>
    <w:rsid w:val="003A0EB1"/>
    <w:rsid w:val="003A0EF0"/>
    <w:rsid w:val="003A10AE"/>
    <w:rsid w:val="003A121D"/>
    <w:rsid w:val="003A122C"/>
    <w:rsid w:val="003A2166"/>
    <w:rsid w:val="003A26E7"/>
    <w:rsid w:val="003A2D8C"/>
    <w:rsid w:val="003A36E0"/>
    <w:rsid w:val="003A3CB7"/>
    <w:rsid w:val="003A3EB7"/>
    <w:rsid w:val="003A466E"/>
    <w:rsid w:val="003A47B5"/>
    <w:rsid w:val="003A4B29"/>
    <w:rsid w:val="003A57A8"/>
    <w:rsid w:val="003A6862"/>
    <w:rsid w:val="003A6B46"/>
    <w:rsid w:val="003A6CC3"/>
    <w:rsid w:val="003A7612"/>
    <w:rsid w:val="003B0457"/>
    <w:rsid w:val="003B0795"/>
    <w:rsid w:val="003B09BC"/>
    <w:rsid w:val="003B0F44"/>
    <w:rsid w:val="003B1429"/>
    <w:rsid w:val="003B150D"/>
    <w:rsid w:val="003B29A1"/>
    <w:rsid w:val="003B336F"/>
    <w:rsid w:val="003B3407"/>
    <w:rsid w:val="003B369F"/>
    <w:rsid w:val="003B3C3E"/>
    <w:rsid w:val="003B4E3C"/>
    <w:rsid w:val="003B61FA"/>
    <w:rsid w:val="003B623E"/>
    <w:rsid w:val="003B6737"/>
    <w:rsid w:val="003B6917"/>
    <w:rsid w:val="003B6FD2"/>
    <w:rsid w:val="003B77C2"/>
    <w:rsid w:val="003B7962"/>
    <w:rsid w:val="003B7FE3"/>
    <w:rsid w:val="003C182F"/>
    <w:rsid w:val="003C1D60"/>
    <w:rsid w:val="003C229C"/>
    <w:rsid w:val="003C30F5"/>
    <w:rsid w:val="003C340B"/>
    <w:rsid w:val="003C3D0D"/>
    <w:rsid w:val="003C4181"/>
    <w:rsid w:val="003C4438"/>
    <w:rsid w:val="003C445B"/>
    <w:rsid w:val="003C44B4"/>
    <w:rsid w:val="003C4851"/>
    <w:rsid w:val="003C510B"/>
    <w:rsid w:val="003C5146"/>
    <w:rsid w:val="003C5E92"/>
    <w:rsid w:val="003C5F46"/>
    <w:rsid w:val="003C6D75"/>
    <w:rsid w:val="003C6E16"/>
    <w:rsid w:val="003C79FD"/>
    <w:rsid w:val="003D001C"/>
    <w:rsid w:val="003D00DD"/>
    <w:rsid w:val="003D020D"/>
    <w:rsid w:val="003D05F9"/>
    <w:rsid w:val="003D09C8"/>
    <w:rsid w:val="003D0BE3"/>
    <w:rsid w:val="003D13AD"/>
    <w:rsid w:val="003D13EB"/>
    <w:rsid w:val="003D1F25"/>
    <w:rsid w:val="003D1FF3"/>
    <w:rsid w:val="003D21AD"/>
    <w:rsid w:val="003D23D2"/>
    <w:rsid w:val="003D2729"/>
    <w:rsid w:val="003D273A"/>
    <w:rsid w:val="003D281E"/>
    <w:rsid w:val="003D294F"/>
    <w:rsid w:val="003D2D2A"/>
    <w:rsid w:val="003D2D36"/>
    <w:rsid w:val="003D2DC2"/>
    <w:rsid w:val="003D2ECA"/>
    <w:rsid w:val="003D31E9"/>
    <w:rsid w:val="003D3404"/>
    <w:rsid w:val="003D39C0"/>
    <w:rsid w:val="003D48B1"/>
    <w:rsid w:val="003D5CEF"/>
    <w:rsid w:val="003D5DFE"/>
    <w:rsid w:val="003D6245"/>
    <w:rsid w:val="003D658D"/>
    <w:rsid w:val="003D698E"/>
    <w:rsid w:val="003D6A04"/>
    <w:rsid w:val="003D7102"/>
    <w:rsid w:val="003D729E"/>
    <w:rsid w:val="003D7965"/>
    <w:rsid w:val="003E00B8"/>
    <w:rsid w:val="003E0270"/>
    <w:rsid w:val="003E032D"/>
    <w:rsid w:val="003E032E"/>
    <w:rsid w:val="003E0415"/>
    <w:rsid w:val="003E0620"/>
    <w:rsid w:val="003E0AA8"/>
    <w:rsid w:val="003E0C95"/>
    <w:rsid w:val="003E0D95"/>
    <w:rsid w:val="003E1F72"/>
    <w:rsid w:val="003E213B"/>
    <w:rsid w:val="003E24D9"/>
    <w:rsid w:val="003E274B"/>
    <w:rsid w:val="003E3369"/>
    <w:rsid w:val="003E3780"/>
    <w:rsid w:val="003E3D6B"/>
    <w:rsid w:val="003E3DFE"/>
    <w:rsid w:val="003E43F5"/>
    <w:rsid w:val="003E490F"/>
    <w:rsid w:val="003E4B10"/>
    <w:rsid w:val="003E4FB1"/>
    <w:rsid w:val="003E51FF"/>
    <w:rsid w:val="003E5B5A"/>
    <w:rsid w:val="003E64AB"/>
    <w:rsid w:val="003E6D86"/>
    <w:rsid w:val="003E7253"/>
    <w:rsid w:val="003E73F3"/>
    <w:rsid w:val="003E76E0"/>
    <w:rsid w:val="003E76FC"/>
    <w:rsid w:val="003E7824"/>
    <w:rsid w:val="003E7D64"/>
    <w:rsid w:val="003F0776"/>
    <w:rsid w:val="003F087D"/>
    <w:rsid w:val="003F0C6E"/>
    <w:rsid w:val="003F1011"/>
    <w:rsid w:val="003F1183"/>
    <w:rsid w:val="003F13C6"/>
    <w:rsid w:val="003F146B"/>
    <w:rsid w:val="003F19FD"/>
    <w:rsid w:val="003F1EFB"/>
    <w:rsid w:val="003F1FC3"/>
    <w:rsid w:val="003F20D6"/>
    <w:rsid w:val="003F251D"/>
    <w:rsid w:val="003F2B3E"/>
    <w:rsid w:val="003F2FDE"/>
    <w:rsid w:val="003F33D1"/>
    <w:rsid w:val="003F3601"/>
    <w:rsid w:val="003F3739"/>
    <w:rsid w:val="003F3A17"/>
    <w:rsid w:val="003F3A9D"/>
    <w:rsid w:val="003F3AB4"/>
    <w:rsid w:val="003F3D54"/>
    <w:rsid w:val="003F402D"/>
    <w:rsid w:val="003F40AA"/>
    <w:rsid w:val="003F4246"/>
    <w:rsid w:val="003F4484"/>
    <w:rsid w:val="003F4780"/>
    <w:rsid w:val="003F48D8"/>
    <w:rsid w:val="003F4A34"/>
    <w:rsid w:val="003F4D5E"/>
    <w:rsid w:val="003F51B1"/>
    <w:rsid w:val="003F56FA"/>
    <w:rsid w:val="003F5719"/>
    <w:rsid w:val="003F5837"/>
    <w:rsid w:val="003F5920"/>
    <w:rsid w:val="003F5C7B"/>
    <w:rsid w:val="003F5E68"/>
    <w:rsid w:val="003F5ED9"/>
    <w:rsid w:val="003F73AA"/>
    <w:rsid w:val="003F773B"/>
    <w:rsid w:val="003F7A3F"/>
    <w:rsid w:val="003F7AFE"/>
    <w:rsid w:val="00400A24"/>
    <w:rsid w:val="00400AC1"/>
    <w:rsid w:val="004014F4"/>
    <w:rsid w:val="00401663"/>
    <w:rsid w:val="00401776"/>
    <w:rsid w:val="004017C3"/>
    <w:rsid w:val="00401B4F"/>
    <w:rsid w:val="00401B95"/>
    <w:rsid w:val="00402916"/>
    <w:rsid w:val="00403290"/>
    <w:rsid w:val="00403461"/>
    <w:rsid w:val="00403890"/>
    <w:rsid w:val="004040AA"/>
    <w:rsid w:val="00404EF3"/>
    <w:rsid w:val="00404F99"/>
    <w:rsid w:val="0040559B"/>
    <w:rsid w:val="00405746"/>
    <w:rsid w:val="004057C2"/>
    <w:rsid w:val="00405B5B"/>
    <w:rsid w:val="004063AA"/>
    <w:rsid w:val="0040654A"/>
    <w:rsid w:val="00406810"/>
    <w:rsid w:val="004069FC"/>
    <w:rsid w:val="00406C8C"/>
    <w:rsid w:val="0040711A"/>
    <w:rsid w:val="00407C6F"/>
    <w:rsid w:val="00407E39"/>
    <w:rsid w:val="0041030C"/>
    <w:rsid w:val="004104D7"/>
    <w:rsid w:val="0041050A"/>
    <w:rsid w:val="004107F8"/>
    <w:rsid w:val="0041082E"/>
    <w:rsid w:val="0041095B"/>
    <w:rsid w:val="00410CDA"/>
    <w:rsid w:val="00410FBE"/>
    <w:rsid w:val="00411603"/>
    <w:rsid w:val="00411930"/>
    <w:rsid w:val="0041194B"/>
    <w:rsid w:val="00411A32"/>
    <w:rsid w:val="00412C94"/>
    <w:rsid w:val="00412EA7"/>
    <w:rsid w:val="00413117"/>
    <w:rsid w:val="00414137"/>
    <w:rsid w:val="0041477C"/>
    <w:rsid w:val="00414C33"/>
    <w:rsid w:val="00414C9D"/>
    <w:rsid w:val="00414FD4"/>
    <w:rsid w:val="004157B9"/>
    <w:rsid w:val="00415986"/>
    <w:rsid w:val="00415B1B"/>
    <w:rsid w:val="00415EB2"/>
    <w:rsid w:val="00417F01"/>
    <w:rsid w:val="004206B6"/>
    <w:rsid w:val="00420815"/>
    <w:rsid w:val="00420B21"/>
    <w:rsid w:val="00420B38"/>
    <w:rsid w:val="0042146E"/>
    <w:rsid w:val="004223E7"/>
    <w:rsid w:val="00422733"/>
    <w:rsid w:val="0042343E"/>
    <w:rsid w:val="004242AE"/>
    <w:rsid w:val="0042450E"/>
    <w:rsid w:val="004248E1"/>
    <w:rsid w:val="00424B7F"/>
    <w:rsid w:val="00424EB8"/>
    <w:rsid w:val="0042546B"/>
    <w:rsid w:val="0042556B"/>
    <w:rsid w:val="0042597A"/>
    <w:rsid w:val="00425CB7"/>
    <w:rsid w:val="00425EEF"/>
    <w:rsid w:val="004265FE"/>
    <w:rsid w:val="00426BB1"/>
    <w:rsid w:val="00427092"/>
    <w:rsid w:val="00427867"/>
    <w:rsid w:val="00427F50"/>
    <w:rsid w:val="0043093E"/>
    <w:rsid w:val="00431500"/>
    <w:rsid w:val="00431E6B"/>
    <w:rsid w:val="00431EE3"/>
    <w:rsid w:val="00432299"/>
    <w:rsid w:val="004323DA"/>
    <w:rsid w:val="00432B77"/>
    <w:rsid w:val="00434E4C"/>
    <w:rsid w:val="0043588D"/>
    <w:rsid w:val="00435F75"/>
    <w:rsid w:val="004363B4"/>
    <w:rsid w:val="004363E2"/>
    <w:rsid w:val="00436C74"/>
    <w:rsid w:val="00437058"/>
    <w:rsid w:val="004376CC"/>
    <w:rsid w:val="004378D0"/>
    <w:rsid w:val="004407A2"/>
    <w:rsid w:val="004407AF"/>
    <w:rsid w:val="004411A2"/>
    <w:rsid w:val="004411CF"/>
    <w:rsid w:val="004416AC"/>
    <w:rsid w:val="0044182E"/>
    <w:rsid w:val="004428B9"/>
    <w:rsid w:val="00442974"/>
    <w:rsid w:val="00442EE1"/>
    <w:rsid w:val="00443031"/>
    <w:rsid w:val="004435E6"/>
    <w:rsid w:val="0044387F"/>
    <w:rsid w:val="00443FBE"/>
    <w:rsid w:val="0044448E"/>
    <w:rsid w:val="00444B77"/>
    <w:rsid w:val="00444F6E"/>
    <w:rsid w:val="004453E6"/>
    <w:rsid w:val="00445496"/>
    <w:rsid w:val="004454A9"/>
    <w:rsid w:val="00445648"/>
    <w:rsid w:val="00445CB9"/>
    <w:rsid w:val="00445F84"/>
    <w:rsid w:val="0044668E"/>
    <w:rsid w:val="00446DC4"/>
    <w:rsid w:val="004474B8"/>
    <w:rsid w:val="00447716"/>
    <w:rsid w:val="0044774F"/>
    <w:rsid w:val="00450058"/>
    <w:rsid w:val="00450071"/>
    <w:rsid w:val="0045048E"/>
    <w:rsid w:val="0045091B"/>
    <w:rsid w:val="00450F1B"/>
    <w:rsid w:val="0045167F"/>
    <w:rsid w:val="004519DB"/>
    <w:rsid w:val="00451D2E"/>
    <w:rsid w:val="00451FB8"/>
    <w:rsid w:val="00452349"/>
    <w:rsid w:val="00452356"/>
    <w:rsid w:val="0045297B"/>
    <w:rsid w:val="00452A42"/>
    <w:rsid w:val="004533D3"/>
    <w:rsid w:val="004538B1"/>
    <w:rsid w:val="00453B07"/>
    <w:rsid w:val="00453ECF"/>
    <w:rsid w:val="0045413B"/>
    <w:rsid w:val="004541BB"/>
    <w:rsid w:val="0045464C"/>
    <w:rsid w:val="0045506D"/>
    <w:rsid w:val="0045530C"/>
    <w:rsid w:val="00455B90"/>
    <w:rsid w:val="00456015"/>
    <w:rsid w:val="0045671B"/>
    <w:rsid w:val="00456C36"/>
    <w:rsid w:val="00456FCA"/>
    <w:rsid w:val="00457AF8"/>
    <w:rsid w:val="00457C69"/>
    <w:rsid w:val="00457CDB"/>
    <w:rsid w:val="004600AB"/>
    <w:rsid w:val="004602C9"/>
    <w:rsid w:val="00461885"/>
    <w:rsid w:val="004619EC"/>
    <w:rsid w:val="004620D1"/>
    <w:rsid w:val="0046335E"/>
    <w:rsid w:val="0046345A"/>
    <w:rsid w:val="00464DEA"/>
    <w:rsid w:val="00465831"/>
    <w:rsid w:val="00465CA6"/>
    <w:rsid w:val="00466266"/>
    <w:rsid w:val="00466D80"/>
    <w:rsid w:val="00466F5A"/>
    <w:rsid w:val="004671CD"/>
    <w:rsid w:val="00467565"/>
    <w:rsid w:val="004677C2"/>
    <w:rsid w:val="004677C3"/>
    <w:rsid w:val="00467D12"/>
    <w:rsid w:val="00467EC1"/>
    <w:rsid w:val="0047007B"/>
    <w:rsid w:val="00470168"/>
    <w:rsid w:val="00470226"/>
    <w:rsid w:val="00470499"/>
    <w:rsid w:val="004704E3"/>
    <w:rsid w:val="004707CB"/>
    <w:rsid w:val="004716DF"/>
    <w:rsid w:val="00471B54"/>
    <w:rsid w:val="004726F1"/>
    <w:rsid w:val="00472DFB"/>
    <w:rsid w:val="00473198"/>
    <w:rsid w:val="0047342D"/>
    <w:rsid w:val="00473772"/>
    <w:rsid w:val="00473CBB"/>
    <w:rsid w:val="00474096"/>
    <w:rsid w:val="004743AE"/>
    <w:rsid w:val="0047487D"/>
    <w:rsid w:val="0047528D"/>
    <w:rsid w:val="00475401"/>
    <w:rsid w:val="0047561F"/>
    <w:rsid w:val="004756A2"/>
    <w:rsid w:val="004757F6"/>
    <w:rsid w:val="00476113"/>
    <w:rsid w:val="0047650C"/>
    <w:rsid w:val="0047670E"/>
    <w:rsid w:val="00476737"/>
    <w:rsid w:val="00477029"/>
    <w:rsid w:val="004771F9"/>
    <w:rsid w:val="00480BE7"/>
    <w:rsid w:val="00480DFB"/>
    <w:rsid w:val="0048157F"/>
    <w:rsid w:val="00482142"/>
    <w:rsid w:val="00482615"/>
    <w:rsid w:val="0048369B"/>
    <w:rsid w:val="00483CBE"/>
    <w:rsid w:val="00483FC0"/>
    <w:rsid w:val="00484408"/>
    <w:rsid w:val="00484D6A"/>
    <w:rsid w:val="00484E97"/>
    <w:rsid w:val="00484EDD"/>
    <w:rsid w:val="0048523F"/>
    <w:rsid w:val="004858C7"/>
    <w:rsid w:val="00485C81"/>
    <w:rsid w:val="00485D71"/>
    <w:rsid w:val="00485FD4"/>
    <w:rsid w:val="004864B2"/>
    <w:rsid w:val="00487710"/>
    <w:rsid w:val="00487FD4"/>
    <w:rsid w:val="004903FC"/>
    <w:rsid w:val="00490537"/>
    <w:rsid w:val="00490857"/>
    <w:rsid w:val="0049111C"/>
    <w:rsid w:val="0049113A"/>
    <w:rsid w:val="004928E8"/>
    <w:rsid w:val="0049325A"/>
    <w:rsid w:val="004935D1"/>
    <w:rsid w:val="004937A5"/>
    <w:rsid w:val="004942E9"/>
    <w:rsid w:val="004947C1"/>
    <w:rsid w:val="00494891"/>
    <w:rsid w:val="00494A94"/>
    <w:rsid w:val="00494B9F"/>
    <w:rsid w:val="00495042"/>
    <w:rsid w:val="004964D6"/>
    <w:rsid w:val="00496E43"/>
    <w:rsid w:val="00497112"/>
    <w:rsid w:val="0049715A"/>
    <w:rsid w:val="004973CD"/>
    <w:rsid w:val="004978DF"/>
    <w:rsid w:val="00497924"/>
    <w:rsid w:val="00497C94"/>
    <w:rsid w:val="004A0292"/>
    <w:rsid w:val="004A03CB"/>
    <w:rsid w:val="004A05F9"/>
    <w:rsid w:val="004A13A7"/>
    <w:rsid w:val="004A1459"/>
    <w:rsid w:val="004A1466"/>
    <w:rsid w:val="004A17FB"/>
    <w:rsid w:val="004A1AB0"/>
    <w:rsid w:val="004A1B73"/>
    <w:rsid w:val="004A1D18"/>
    <w:rsid w:val="004A21BD"/>
    <w:rsid w:val="004A22CA"/>
    <w:rsid w:val="004A2406"/>
    <w:rsid w:val="004A2697"/>
    <w:rsid w:val="004A276C"/>
    <w:rsid w:val="004A31D5"/>
    <w:rsid w:val="004A34F0"/>
    <w:rsid w:val="004A3DC6"/>
    <w:rsid w:val="004A3E41"/>
    <w:rsid w:val="004A430B"/>
    <w:rsid w:val="004A456F"/>
    <w:rsid w:val="004A4B07"/>
    <w:rsid w:val="004A539C"/>
    <w:rsid w:val="004A5590"/>
    <w:rsid w:val="004A575A"/>
    <w:rsid w:val="004A58FB"/>
    <w:rsid w:val="004A622E"/>
    <w:rsid w:val="004A6427"/>
    <w:rsid w:val="004A6F05"/>
    <w:rsid w:val="004A728E"/>
    <w:rsid w:val="004B078D"/>
    <w:rsid w:val="004B0B33"/>
    <w:rsid w:val="004B0DBF"/>
    <w:rsid w:val="004B1054"/>
    <w:rsid w:val="004B171B"/>
    <w:rsid w:val="004B1E50"/>
    <w:rsid w:val="004B258F"/>
    <w:rsid w:val="004B25BD"/>
    <w:rsid w:val="004B32A8"/>
    <w:rsid w:val="004B49A8"/>
    <w:rsid w:val="004B4D57"/>
    <w:rsid w:val="004B5362"/>
    <w:rsid w:val="004B5723"/>
    <w:rsid w:val="004B576C"/>
    <w:rsid w:val="004B5972"/>
    <w:rsid w:val="004B598F"/>
    <w:rsid w:val="004B5C29"/>
    <w:rsid w:val="004B61E3"/>
    <w:rsid w:val="004B6A4B"/>
    <w:rsid w:val="004B6D1A"/>
    <w:rsid w:val="004B6EF8"/>
    <w:rsid w:val="004B7C53"/>
    <w:rsid w:val="004C05C9"/>
    <w:rsid w:val="004C065E"/>
    <w:rsid w:val="004C0ABA"/>
    <w:rsid w:val="004C1262"/>
    <w:rsid w:val="004C128B"/>
    <w:rsid w:val="004C17C3"/>
    <w:rsid w:val="004C1EBE"/>
    <w:rsid w:val="004C1FEA"/>
    <w:rsid w:val="004C2E28"/>
    <w:rsid w:val="004C2E9A"/>
    <w:rsid w:val="004C3378"/>
    <w:rsid w:val="004C3664"/>
    <w:rsid w:val="004C3E04"/>
    <w:rsid w:val="004C4453"/>
    <w:rsid w:val="004C4683"/>
    <w:rsid w:val="004C47B8"/>
    <w:rsid w:val="004C49E8"/>
    <w:rsid w:val="004C59A8"/>
    <w:rsid w:val="004C5B3C"/>
    <w:rsid w:val="004C5F98"/>
    <w:rsid w:val="004C63AB"/>
    <w:rsid w:val="004D00CE"/>
    <w:rsid w:val="004D03E5"/>
    <w:rsid w:val="004D1368"/>
    <w:rsid w:val="004D1FB3"/>
    <w:rsid w:val="004D209F"/>
    <w:rsid w:val="004D21E5"/>
    <w:rsid w:val="004D2248"/>
    <w:rsid w:val="004D2B19"/>
    <w:rsid w:val="004D2E31"/>
    <w:rsid w:val="004D2F9F"/>
    <w:rsid w:val="004D34B8"/>
    <w:rsid w:val="004D374E"/>
    <w:rsid w:val="004D40E4"/>
    <w:rsid w:val="004D41DB"/>
    <w:rsid w:val="004D4417"/>
    <w:rsid w:val="004D4AC4"/>
    <w:rsid w:val="004D5650"/>
    <w:rsid w:val="004D57C2"/>
    <w:rsid w:val="004D5974"/>
    <w:rsid w:val="004D6407"/>
    <w:rsid w:val="004D6B70"/>
    <w:rsid w:val="004D6BC1"/>
    <w:rsid w:val="004D7199"/>
    <w:rsid w:val="004D773D"/>
    <w:rsid w:val="004D79C8"/>
    <w:rsid w:val="004D79F9"/>
    <w:rsid w:val="004D7FC2"/>
    <w:rsid w:val="004E039F"/>
    <w:rsid w:val="004E1722"/>
    <w:rsid w:val="004E175F"/>
    <w:rsid w:val="004E1762"/>
    <w:rsid w:val="004E1AAE"/>
    <w:rsid w:val="004E1EDC"/>
    <w:rsid w:val="004E1FC1"/>
    <w:rsid w:val="004E26F6"/>
    <w:rsid w:val="004E310F"/>
    <w:rsid w:val="004E3313"/>
    <w:rsid w:val="004E341C"/>
    <w:rsid w:val="004E3650"/>
    <w:rsid w:val="004E39BF"/>
    <w:rsid w:val="004E4449"/>
    <w:rsid w:val="004E4BEB"/>
    <w:rsid w:val="004E4CD1"/>
    <w:rsid w:val="004E52C0"/>
    <w:rsid w:val="004E5F66"/>
    <w:rsid w:val="004E6217"/>
    <w:rsid w:val="004E7474"/>
    <w:rsid w:val="004F04F7"/>
    <w:rsid w:val="004F05F2"/>
    <w:rsid w:val="004F0B81"/>
    <w:rsid w:val="004F0DF2"/>
    <w:rsid w:val="004F0EED"/>
    <w:rsid w:val="004F1099"/>
    <w:rsid w:val="004F2021"/>
    <w:rsid w:val="004F2115"/>
    <w:rsid w:val="004F3480"/>
    <w:rsid w:val="004F3CF4"/>
    <w:rsid w:val="004F4AE3"/>
    <w:rsid w:val="004F5651"/>
    <w:rsid w:val="004F5962"/>
    <w:rsid w:val="004F5ACF"/>
    <w:rsid w:val="004F6953"/>
    <w:rsid w:val="004F6D86"/>
    <w:rsid w:val="004F70D8"/>
    <w:rsid w:val="004F7E9D"/>
    <w:rsid w:val="00500BCF"/>
    <w:rsid w:val="00500D5B"/>
    <w:rsid w:val="0050185A"/>
    <w:rsid w:val="00501C6A"/>
    <w:rsid w:val="00502227"/>
    <w:rsid w:val="00502530"/>
    <w:rsid w:val="0050268C"/>
    <w:rsid w:val="00502EE2"/>
    <w:rsid w:val="005033D0"/>
    <w:rsid w:val="00503572"/>
    <w:rsid w:val="00503AA5"/>
    <w:rsid w:val="00503F76"/>
    <w:rsid w:val="005040D0"/>
    <w:rsid w:val="005043AA"/>
    <w:rsid w:val="00504705"/>
    <w:rsid w:val="005049D5"/>
    <w:rsid w:val="00504C24"/>
    <w:rsid w:val="00504E64"/>
    <w:rsid w:val="0050508E"/>
    <w:rsid w:val="00505315"/>
    <w:rsid w:val="0050578F"/>
    <w:rsid w:val="00505907"/>
    <w:rsid w:val="00505E75"/>
    <w:rsid w:val="00505EF3"/>
    <w:rsid w:val="005068D0"/>
    <w:rsid w:val="0050696B"/>
    <w:rsid w:val="0050717F"/>
    <w:rsid w:val="005077F8"/>
    <w:rsid w:val="00510497"/>
    <w:rsid w:val="005106CC"/>
    <w:rsid w:val="00510C14"/>
    <w:rsid w:val="0051109B"/>
    <w:rsid w:val="0051116F"/>
    <w:rsid w:val="00511304"/>
    <w:rsid w:val="005113A8"/>
    <w:rsid w:val="00511F61"/>
    <w:rsid w:val="00512B23"/>
    <w:rsid w:val="00512F37"/>
    <w:rsid w:val="00512F9C"/>
    <w:rsid w:val="00513B29"/>
    <w:rsid w:val="005146C4"/>
    <w:rsid w:val="00514F2D"/>
    <w:rsid w:val="00514F9A"/>
    <w:rsid w:val="00515EDB"/>
    <w:rsid w:val="00516360"/>
    <w:rsid w:val="00516D17"/>
    <w:rsid w:val="00516DF8"/>
    <w:rsid w:val="00516F7D"/>
    <w:rsid w:val="00517976"/>
    <w:rsid w:val="0052025D"/>
    <w:rsid w:val="0052085C"/>
    <w:rsid w:val="00520BC1"/>
    <w:rsid w:val="00520CBD"/>
    <w:rsid w:val="0052243C"/>
    <w:rsid w:val="005228FB"/>
    <w:rsid w:val="005229B1"/>
    <w:rsid w:val="00522DD2"/>
    <w:rsid w:val="00523B31"/>
    <w:rsid w:val="00523B56"/>
    <w:rsid w:val="00523D9F"/>
    <w:rsid w:val="00523DB2"/>
    <w:rsid w:val="005241B1"/>
    <w:rsid w:val="00524300"/>
    <w:rsid w:val="00524615"/>
    <w:rsid w:val="0052491B"/>
    <w:rsid w:val="00524E4F"/>
    <w:rsid w:val="00525A14"/>
    <w:rsid w:val="00525F6C"/>
    <w:rsid w:val="005266F9"/>
    <w:rsid w:val="00526DC5"/>
    <w:rsid w:val="00527072"/>
    <w:rsid w:val="005272AB"/>
    <w:rsid w:val="005278ED"/>
    <w:rsid w:val="00527B69"/>
    <w:rsid w:val="00530396"/>
    <w:rsid w:val="00530686"/>
    <w:rsid w:val="0053095E"/>
    <w:rsid w:val="00530AD8"/>
    <w:rsid w:val="005310D4"/>
    <w:rsid w:val="00531AB8"/>
    <w:rsid w:val="005326D6"/>
    <w:rsid w:val="00532721"/>
    <w:rsid w:val="00532A63"/>
    <w:rsid w:val="00532C41"/>
    <w:rsid w:val="00532F46"/>
    <w:rsid w:val="0053320E"/>
    <w:rsid w:val="00533374"/>
    <w:rsid w:val="005337D9"/>
    <w:rsid w:val="005338CF"/>
    <w:rsid w:val="00533AB5"/>
    <w:rsid w:val="00533D24"/>
    <w:rsid w:val="00533F55"/>
    <w:rsid w:val="00533FD7"/>
    <w:rsid w:val="005349D6"/>
    <w:rsid w:val="00534AF8"/>
    <w:rsid w:val="00535350"/>
    <w:rsid w:val="0053538F"/>
    <w:rsid w:val="005353BE"/>
    <w:rsid w:val="00535408"/>
    <w:rsid w:val="00535853"/>
    <w:rsid w:val="00535B0D"/>
    <w:rsid w:val="00535FC3"/>
    <w:rsid w:val="00536034"/>
    <w:rsid w:val="0053611F"/>
    <w:rsid w:val="00536F97"/>
    <w:rsid w:val="00537122"/>
    <w:rsid w:val="00537BFE"/>
    <w:rsid w:val="00540442"/>
    <w:rsid w:val="005408B2"/>
    <w:rsid w:val="00540E7C"/>
    <w:rsid w:val="005411B2"/>
    <w:rsid w:val="0054143E"/>
    <w:rsid w:val="00541F3A"/>
    <w:rsid w:val="005425F9"/>
    <w:rsid w:val="005432DE"/>
    <w:rsid w:val="005433F5"/>
    <w:rsid w:val="005446FA"/>
    <w:rsid w:val="005450AC"/>
    <w:rsid w:val="00545119"/>
    <w:rsid w:val="005454B4"/>
    <w:rsid w:val="0054559B"/>
    <w:rsid w:val="005455B7"/>
    <w:rsid w:val="005457D2"/>
    <w:rsid w:val="00545918"/>
    <w:rsid w:val="00545BC0"/>
    <w:rsid w:val="00545F9C"/>
    <w:rsid w:val="00546674"/>
    <w:rsid w:val="0054668C"/>
    <w:rsid w:val="005468BB"/>
    <w:rsid w:val="0054701E"/>
    <w:rsid w:val="00547933"/>
    <w:rsid w:val="00547F73"/>
    <w:rsid w:val="00550DF3"/>
    <w:rsid w:val="00550EF8"/>
    <w:rsid w:val="00551416"/>
    <w:rsid w:val="005518D5"/>
    <w:rsid w:val="00551D88"/>
    <w:rsid w:val="00552E9E"/>
    <w:rsid w:val="005534C4"/>
    <w:rsid w:val="005539D3"/>
    <w:rsid w:val="00553E27"/>
    <w:rsid w:val="0055439A"/>
    <w:rsid w:val="005544F4"/>
    <w:rsid w:val="00554648"/>
    <w:rsid w:val="00554839"/>
    <w:rsid w:val="00554A1E"/>
    <w:rsid w:val="00554B70"/>
    <w:rsid w:val="00555C95"/>
    <w:rsid w:val="00555F2B"/>
    <w:rsid w:val="0055653C"/>
    <w:rsid w:val="005567CC"/>
    <w:rsid w:val="00556B51"/>
    <w:rsid w:val="00557147"/>
    <w:rsid w:val="00557A33"/>
    <w:rsid w:val="00557E64"/>
    <w:rsid w:val="0056162A"/>
    <w:rsid w:val="00561883"/>
    <w:rsid w:val="00561EE5"/>
    <w:rsid w:val="005624A6"/>
    <w:rsid w:val="005624C6"/>
    <w:rsid w:val="00562582"/>
    <w:rsid w:val="00562856"/>
    <w:rsid w:val="00562E45"/>
    <w:rsid w:val="00563357"/>
    <w:rsid w:val="005633E1"/>
    <w:rsid w:val="00563B66"/>
    <w:rsid w:val="00563D39"/>
    <w:rsid w:val="00564066"/>
    <w:rsid w:val="00564C1A"/>
    <w:rsid w:val="00564DFB"/>
    <w:rsid w:val="00565128"/>
    <w:rsid w:val="00565371"/>
    <w:rsid w:val="00565A70"/>
    <w:rsid w:val="00565BB3"/>
    <w:rsid w:val="00565BC2"/>
    <w:rsid w:val="00565DD2"/>
    <w:rsid w:val="00565EC4"/>
    <w:rsid w:val="00565F62"/>
    <w:rsid w:val="005670F8"/>
    <w:rsid w:val="00567142"/>
    <w:rsid w:val="005672FB"/>
    <w:rsid w:val="005705C8"/>
    <w:rsid w:val="00571809"/>
    <w:rsid w:val="0057224A"/>
    <w:rsid w:val="00572304"/>
    <w:rsid w:val="005728EE"/>
    <w:rsid w:val="00572B51"/>
    <w:rsid w:val="00572E37"/>
    <w:rsid w:val="00573F42"/>
    <w:rsid w:val="0057405F"/>
    <w:rsid w:val="00574114"/>
    <w:rsid w:val="00574213"/>
    <w:rsid w:val="00574770"/>
    <w:rsid w:val="00574796"/>
    <w:rsid w:val="005749AB"/>
    <w:rsid w:val="005754D2"/>
    <w:rsid w:val="005756BD"/>
    <w:rsid w:val="00576351"/>
    <w:rsid w:val="005766D4"/>
    <w:rsid w:val="00576C33"/>
    <w:rsid w:val="00576E02"/>
    <w:rsid w:val="005771D7"/>
    <w:rsid w:val="0057770E"/>
    <w:rsid w:val="00577832"/>
    <w:rsid w:val="0057788F"/>
    <w:rsid w:val="005807EF"/>
    <w:rsid w:val="005813E4"/>
    <w:rsid w:val="00581A39"/>
    <w:rsid w:val="00581E05"/>
    <w:rsid w:val="00582808"/>
    <w:rsid w:val="00582C4C"/>
    <w:rsid w:val="00582C9C"/>
    <w:rsid w:val="005837DA"/>
    <w:rsid w:val="005847A0"/>
    <w:rsid w:val="00584917"/>
    <w:rsid w:val="00584F9A"/>
    <w:rsid w:val="0058557C"/>
    <w:rsid w:val="00585A32"/>
    <w:rsid w:val="00585C49"/>
    <w:rsid w:val="00585DD1"/>
    <w:rsid w:val="00585E7D"/>
    <w:rsid w:val="00585F19"/>
    <w:rsid w:val="00586007"/>
    <w:rsid w:val="0058652F"/>
    <w:rsid w:val="005866F5"/>
    <w:rsid w:val="0058675B"/>
    <w:rsid w:val="00587399"/>
    <w:rsid w:val="005873B3"/>
    <w:rsid w:val="005876A5"/>
    <w:rsid w:val="0058791C"/>
    <w:rsid w:val="00587C9E"/>
    <w:rsid w:val="00587D57"/>
    <w:rsid w:val="0059028A"/>
    <w:rsid w:val="00590648"/>
    <w:rsid w:val="005906F6"/>
    <w:rsid w:val="00590B45"/>
    <w:rsid w:val="005912A2"/>
    <w:rsid w:val="00591AE9"/>
    <w:rsid w:val="00591F43"/>
    <w:rsid w:val="00592034"/>
    <w:rsid w:val="00593859"/>
    <w:rsid w:val="00593DA7"/>
    <w:rsid w:val="00593E1C"/>
    <w:rsid w:val="00594474"/>
    <w:rsid w:val="0059472A"/>
    <w:rsid w:val="00594922"/>
    <w:rsid w:val="00595693"/>
    <w:rsid w:val="00595D43"/>
    <w:rsid w:val="00596418"/>
    <w:rsid w:val="005970FA"/>
    <w:rsid w:val="0059741E"/>
    <w:rsid w:val="00597578"/>
    <w:rsid w:val="00597AE6"/>
    <w:rsid w:val="00597BD5"/>
    <w:rsid w:val="00597D54"/>
    <w:rsid w:val="005A0049"/>
    <w:rsid w:val="005A05CE"/>
    <w:rsid w:val="005A0971"/>
    <w:rsid w:val="005A0FF6"/>
    <w:rsid w:val="005A1375"/>
    <w:rsid w:val="005A13D0"/>
    <w:rsid w:val="005A144A"/>
    <w:rsid w:val="005A1582"/>
    <w:rsid w:val="005A1C79"/>
    <w:rsid w:val="005A21C5"/>
    <w:rsid w:val="005A31AC"/>
    <w:rsid w:val="005A32F4"/>
    <w:rsid w:val="005A3FB7"/>
    <w:rsid w:val="005A425D"/>
    <w:rsid w:val="005A51C7"/>
    <w:rsid w:val="005A5637"/>
    <w:rsid w:val="005A56DC"/>
    <w:rsid w:val="005A5DA6"/>
    <w:rsid w:val="005A627D"/>
    <w:rsid w:val="005A6F75"/>
    <w:rsid w:val="005A729F"/>
    <w:rsid w:val="005A7443"/>
    <w:rsid w:val="005A7766"/>
    <w:rsid w:val="005A7E0A"/>
    <w:rsid w:val="005A7EF2"/>
    <w:rsid w:val="005B010A"/>
    <w:rsid w:val="005B080F"/>
    <w:rsid w:val="005B0C4C"/>
    <w:rsid w:val="005B0E95"/>
    <w:rsid w:val="005B100A"/>
    <w:rsid w:val="005B10E8"/>
    <w:rsid w:val="005B113F"/>
    <w:rsid w:val="005B1264"/>
    <w:rsid w:val="005B1378"/>
    <w:rsid w:val="005B175B"/>
    <w:rsid w:val="005B1A33"/>
    <w:rsid w:val="005B1D47"/>
    <w:rsid w:val="005B2031"/>
    <w:rsid w:val="005B2111"/>
    <w:rsid w:val="005B22B0"/>
    <w:rsid w:val="005B22D0"/>
    <w:rsid w:val="005B22F4"/>
    <w:rsid w:val="005B236F"/>
    <w:rsid w:val="005B2385"/>
    <w:rsid w:val="005B2E81"/>
    <w:rsid w:val="005B3498"/>
    <w:rsid w:val="005B3581"/>
    <w:rsid w:val="005B36CC"/>
    <w:rsid w:val="005B389D"/>
    <w:rsid w:val="005B3B51"/>
    <w:rsid w:val="005B3EAA"/>
    <w:rsid w:val="005B40D9"/>
    <w:rsid w:val="005B4661"/>
    <w:rsid w:val="005B5DBE"/>
    <w:rsid w:val="005B5E51"/>
    <w:rsid w:val="005B6532"/>
    <w:rsid w:val="005B6911"/>
    <w:rsid w:val="005B6B3D"/>
    <w:rsid w:val="005B708E"/>
    <w:rsid w:val="005B776E"/>
    <w:rsid w:val="005C0238"/>
    <w:rsid w:val="005C03E4"/>
    <w:rsid w:val="005C0E1C"/>
    <w:rsid w:val="005C140A"/>
    <w:rsid w:val="005C1943"/>
    <w:rsid w:val="005C2A23"/>
    <w:rsid w:val="005C34B9"/>
    <w:rsid w:val="005C370E"/>
    <w:rsid w:val="005C3929"/>
    <w:rsid w:val="005C3B85"/>
    <w:rsid w:val="005C4309"/>
    <w:rsid w:val="005C4761"/>
    <w:rsid w:val="005C49BE"/>
    <w:rsid w:val="005C4A5C"/>
    <w:rsid w:val="005C54F8"/>
    <w:rsid w:val="005C5920"/>
    <w:rsid w:val="005C5D9D"/>
    <w:rsid w:val="005C6033"/>
    <w:rsid w:val="005C65E5"/>
    <w:rsid w:val="005C67B7"/>
    <w:rsid w:val="005C6A2E"/>
    <w:rsid w:val="005C6FBD"/>
    <w:rsid w:val="005C7140"/>
    <w:rsid w:val="005C7480"/>
    <w:rsid w:val="005C77FA"/>
    <w:rsid w:val="005C7935"/>
    <w:rsid w:val="005C7D9A"/>
    <w:rsid w:val="005D1649"/>
    <w:rsid w:val="005D1724"/>
    <w:rsid w:val="005D19ED"/>
    <w:rsid w:val="005D1E89"/>
    <w:rsid w:val="005D2BF3"/>
    <w:rsid w:val="005D2FD8"/>
    <w:rsid w:val="005D30C2"/>
    <w:rsid w:val="005D33D8"/>
    <w:rsid w:val="005D3B45"/>
    <w:rsid w:val="005D41F5"/>
    <w:rsid w:val="005D55B2"/>
    <w:rsid w:val="005D5CE3"/>
    <w:rsid w:val="005D6801"/>
    <w:rsid w:val="005D68B3"/>
    <w:rsid w:val="005D6B2C"/>
    <w:rsid w:val="005D70C0"/>
    <w:rsid w:val="005D7678"/>
    <w:rsid w:val="005D781D"/>
    <w:rsid w:val="005E0C9C"/>
    <w:rsid w:val="005E0E8B"/>
    <w:rsid w:val="005E0ED0"/>
    <w:rsid w:val="005E138F"/>
    <w:rsid w:val="005E1C6E"/>
    <w:rsid w:val="005E2185"/>
    <w:rsid w:val="005E22EE"/>
    <w:rsid w:val="005E2587"/>
    <w:rsid w:val="005E27B1"/>
    <w:rsid w:val="005E2B6F"/>
    <w:rsid w:val="005E2C10"/>
    <w:rsid w:val="005E3557"/>
    <w:rsid w:val="005E392A"/>
    <w:rsid w:val="005E3938"/>
    <w:rsid w:val="005E39BA"/>
    <w:rsid w:val="005E427A"/>
    <w:rsid w:val="005E454B"/>
    <w:rsid w:val="005E45BC"/>
    <w:rsid w:val="005E4F55"/>
    <w:rsid w:val="005E50F6"/>
    <w:rsid w:val="005E5112"/>
    <w:rsid w:val="005E524B"/>
    <w:rsid w:val="005E5A56"/>
    <w:rsid w:val="005E5D9A"/>
    <w:rsid w:val="005E611A"/>
    <w:rsid w:val="005E615B"/>
    <w:rsid w:val="005E661F"/>
    <w:rsid w:val="005E69ED"/>
    <w:rsid w:val="005E7126"/>
    <w:rsid w:val="005E725F"/>
    <w:rsid w:val="005E75BF"/>
    <w:rsid w:val="005F00A9"/>
    <w:rsid w:val="005F00CB"/>
    <w:rsid w:val="005F0177"/>
    <w:rsid w:val="005F01B7"/>
    <w:rsid w:val="005F07A7"/>
    <w:rsid w:val="005F08B0"/>
    <w:rsid w:val="005F1014"/>
    <w:rsid w:val="005F1C00"/>
    <w:rsid w:val="005F1D60"/>
    <w:rsid w:val="005F2DF9"/>
    <w:rsid w:val="005F3093"/>
    <w:rsid w:val="005F3333"/>
    <w:rsid w:val="005F3702"/>
    <w:rsid w:val="005F3739"/>
    <w:rsid w:val="005F383E"/>
    <w:rsid w:val="005F38B6"/>
    <w:rsid w:val="005F39C0"/>
    <w:rsid w:val="005F39FD"/>
    <w:rsid w:val="005F5061"/>
    <w:rsid w:val="005F532E"/>
    <w:rsid w:val="005F534B"/>
    <w:rsid w:val="005F590D"/>
    <w:rsid w:val="005F59AA"/>
    <w:rsid w:val="005F61AF"/>
    <w:rsid w:val="005F61D0"/>
    <w:rsid w:val="005F63A2"/>
    <w:rsid w:val="005F68CC"/>
    <w:rsid w:val="005F7142"/>
    <w:rsid w:val="005F7940"/>
    <w:rsid w:val="005F7E6E"/>
    <w:rsid w:val="00600064"/>
    <w:rsid w:val="00601BD0"/>
    <w:rsid w:val="00602356"/>
    <w:rsid w:val="00602AF2"/>
    <w:rsid w:val="00603455"/>
    <w:rsid w:val="0060368E"/>
    <w:rsid w:val="006040A6"/>
    <w:rsid w:val="006042CE"/>
    <w:rsid w:val="006048A0"/>
    <w:rsid w:val="00605636"/>
    <w:rsid w:val="006063F1"/>
    <w:rsid w:val="00606C4E"/>
    <w:rsid w:val="00606D4E"/>
    <w:rsid w:val="00606E1A"/>
    <w:rsid w:val="00607360"/>
    <w:rsid w:val="006079B6"/>
    <w:rsid w:val="00610708"/>
    <w:rsid w:val="00610828"/>
    <w:rsid w:val="00610D96"/>
    <w:rsid w:val="006110DA"/>
    <w:rsid w:val="0061180C"/>
    <w:rsid w:val="00611926"/>
    <w:rsid w:val="00611C24"/>
    <w:rsid w:val="00611C9C"/>
    <w:rsid w:val="00612BB7"/>
    <w:rsid w:val="00612E00"/>
    <w:rsid w:val="006132E2"/>
    <w:rsid w:val="0061371E"/>
    <w:rsid w:val="006139C5"/>
    <w:rsid w:val="00613F8E"/>
    <w:rsid w:val="006142D3"/>
    <w:rsid w:val="00614531"/>
    <w:rsid w:val="0061461B"/>
    <w:rsid w:val="00614646"/>
    <w:rsid w:val="00614994"/>
    <w:rsid w:val="006153B8"/>
    <w:rsid w:val="00615B6B"/>
    <w:rsid w:val="00615F36"/>
    <w:rsid w:val="0061686D"/>
    <w:rsid w:val="00617EF5"/>
    <w:rsid w:val="00620447"/>
    <w:rsid w:val="006204DA"/>
    <w:rsid w:val="00620904"/>
    <w:rsid w:val="006212F5"/>
    <w:rsid w:val="00621AEE"/>
    <w:rsid w:val="0062287C"/>
    <w:rsid w:val="00622E26"/>
    <w:rsid w:val="00623010"/>
    <w:rsid w:val="006238A2"/>
    <w:rsid w:val="00623A32"/>
    <w:rsid w:val="00623C37"/>
    <w:rsid w:val="00624402"/>
    <w:rsid w:val="006246E0"/>
    <w:rsid w:val="00624FC3"/>
    <w:rsid w:val="0062520E"/>
    <w:rsid w:val="006256DB"/>
    <w:rsid w:val="00625781"/>
    <w:rsid w:val="0062585A"/>
    <w:rsid w:val="00625AD4"/>
    <w:rsid w:val="00625B2C"/>
    <w:rsid w:val="00625FB9"/>
    <w:rsid w:val="00626E44"/>
    <w:rsid w:val="006271E9"/>
    <w:rsid w:val="00627323"/>
    <w:rsid w:val="0062741F"/>
    <w:rsid w:val="006275D0"/>
    <w:rsid w:val="00627B0D"/>
    <w:rsid w:val="00630483"/>
    <w:rsid w:val="00630735"/>
    <w:rsid w:val="00630BBD"/>
    <w:rsid w:val="006311AE"/>
    <w:rsid w:val="00631568"/>
    <w:rsid w:val="006315A3"/>
    <w:rsid w:val="006324FB"/>
    <w:rsid w:val="00633A68"/>
    <w:rsid w:val="00633AE8"/>
    <w:rsid w:val="006342D2"/>
    <w:rsid w:val="0063437A"/>
    <w:rsid w:val="00634637"/>
    <w:rsid w:val="00634860"/>
    <w:rsid w:val="00634B55"/>
    <w:rsid w:val="006352CD"/>
    <w:rsid w:val="00635512"/>
    <w:rsid w:val="0063557A"/>
    <w:rsid w:val="00635725"/>
    <w:rsid w:val="006358F3"/>
    <w:rsid w:val="00635C8B"/>
    <w:rsid w:val="00636155"/>
    <w:rsid w:val="00636188"/>
    <w:rsid w:val="0063641B"/>
    <w:rsid w:val="006368B7"/>
    <w:rsid w:val="0063691F"/>
    <w:rsid w:val="00636A01"/>
    <w:rsid w:val="00636B84"/>
    <w:rsid w:val="00636B95"/>
    <w:rsid w:val="006370F9"/>
    <w:rsid w:val="00637156"/>
    <w:rsid w:val="00637299"/>
    <w:rsid w:val="006379EE"/>
    <w:rsid w:val="00637D1D"/>
    <w:rsid w:val="00637D5F"/>
    <w:rsid w:val="006404A6"/>
    <w:rsid w:val="00641795"/>
    <w:rsid w:val="00641B20"/>
    <w:rsid w:val="0064225B"/>
    <w:rsid w:val="00642482"/>
    <w:rsid w:val="0064284F"/>
    <w:rsid w:val="00642F86"/>
    <w:rsid w:val="006433F8"/>
    <w:rsid w:val="00643CA8"/>
    <w:rsid w:val="0064419C"/>
    <w:rsid w:val="006444C3"/>
    <w:rsid w:val="00644C6E"/>
    <w:rsid w:val="00644EFA"/>
    <w:rsid w:val="006455D4"/>
    <w:rsid w:val="00645AC6"/>
    <w:rsid w:val="00646315"/>
    <w:rsid w:val="0064642A"/>
    <w:rsid w:val="006464EB"/>
    <w:rsid w:val="0064682C"/>
    <w:rsid w:val="0064688D"/>
    <w:rsid w:val="00646F01"/>
    <w:rsid w:val="006471FB"/>
    <w:rsid w:val="0064766B"/>
    <w:rsid w:val="006477BD"/>
    <w:rsid w:val="00647A36"/>
    <w:rsid w:val="0065011A"/>
    <w:rsid w:val="0065045B"/>
    <w:rsid w:val="00650DFF"/>
    <w:rsid w:val="006514D5"/>
    <w:rsid w:val="00651501"/>
    <w:rsid w:val="006516BA"/>
    <w:rsid w:val="006517BE"/>
    <w:rsid w:val="00651A24"/>
    <w:rsid w:val="00651C58"/>
    <w:rsid w:val="00651D15"/>
    <w:rsid w:val="00652294"/>
    <w:rsid w:val="00652C66"/>
    <w:rsid w:val="00652C71"/>
    <w:rsid w:val="00653005"/>
    <w:rsid w:val="00654201"/>
    <w:rsid w:val="00654244"/>
    <w:rsid w:val="00654893"/>
    <w:rsid w:val="0065495A"/>
    <w:rsid w:val="0065497C"/>
    <w:rsid w:val="00654DF6"/>
    <w:rsid w:val="00654E54"/>
    <w:rsid w:val="0065554B"/>
    <w:rsid w:val="00655EE7"/>
    <w:rsid w:val="00656856"/>
    <w:rsid w:val="006568E8"/>
    <w:rsid w:val="00657143"/>
    <w:rsid w:val="006578C2"/>
    <w:rsid w:val="0066006D"/>
    <w:rsid w:val="006605CB"/>
    <w:rsid w:val="0066085A"/>
    <w:rsid w:val="0066140D"/>
    <w:rsid w:val="006618CA"/>
    <w:rsid w:val="00661EA4"/>
    <w:rsid w:val="00662944"/>
    <w:rsid w:val="00662AB7"/>
    <w:rsid w:val="00662C9F"/>
    <w:rsid w:val="00663934"/>
    <w:rsid w:val="006640EC"/>
    <w:rsid w:val="006641B5"/>
    <w:rsid w:val="00664257"/>
    <w:rsid w:val="0066428A"/>
    <w:rsid w:val="006645BF"/>
    <w:rsid w:val="006648AD"/>
    <w:rsid w:val="00664F16"/>
    <w:rsid w:val="0066533C"/>
    <w:rsid w:val="00665A90"/>
    <w:rsid w:val="00666081"/>
    <w:rsid w:val="0066666C"/>
    <w:rsid w:val="006667EB"/>
    <w:rsid w:val="00666D3C"/>
    <w:rsid w:val="00666E12"/>
    <w:rsid w:val="00667C2D"/>
    <w:rsid w:val="00667ED5"/>
    <w:rsid w:val="00667F14"/>
    <w:rsid w:val="0067020B"/>
    <w:rsid w:val="00670290"/>
    <w:rsid w:val="0067033A"/>
    <w:rsid w:val="006703E1"/>
    <w:rsid w:val="00670890"/>
    <w:rsid w:val="00670AB2"/>
    <w:rsid w:val="00670FAE"/>
    <w:rsid w:val="00671EA0"/>
    <w:rsid w:val="006723E6"/>
    <w:rsid w:val="006727DA"/>
    <w:rsid w:val="0067364F"/>
    <w:rsid w:val="00673BEC"/>
    <w:rsid w:val="00674203"/>
    <w:rsid w:val="00674F08"/>
    <w:rsid w:val="006755A0"/>
    <w:rsid w:val="00675F63"/>
    <w:rsid w:val="006764EA"/>
    <w:rsid w:val="0067711F"/>
    <w:rsid w:val="00677137"/>
    <w:rsid w:val="00680529"/>
    <w:rsid w:val="006815EB"/>
    <w:rsid w:val="0068228C"/>
    <w:rsid w:val="00682826"/>
    <w:rsid w:val="006829C8"/>
    <w:rsid w:val="00683903"/>
    <w:rsid w:val="00684665"/>
    <w:rsid w:val="006855B3"/>
    <w:rsid w:val="00685C08"/>
    <w:rsid w:val="006863A4"/>
    <w:rsid w:val="00686605"/>
    <w:rsid w:val="0068692B"/>
    <w:rsid w:val="00687176"/>
    <w:rsid w:val="006872E0"/>
    <w:rsid w:val="00687C2C"/>
    <w:rsid w:val="00690474"/>
    <w:rsid w:val="006905A2"/>
    <w:rsid w:val="0069138E"/>
    <w:rsid w:val="00691E2B"/>
    <w:rsid w:val="006922EB"/>
    <w:rsid w:val="006922FB"/>
    <w:rsid w:val="006924B0"/>
    <w:rsid w:val="0069284B"/>
    <w:rsid w:val="00692CE6"/>
    <w:rsid w:val="00693376"/>
    <w:rsid w:val="006934BA"/>
    <w:rsid w:val="00693C9D"/>
    <w:rsid w:val="00693D4E"/>
    <w:rsid w:val="0069441E"/>
    <w:rsid w:val="00694A71"/>
    <w:rsid w:val="00694B2A"/>
    <w:rsid w:val="00694B89"/>
    <w:rsid w:val="00695008"/>
    <w:rsid w:val="006954D1"/>
    <w:rsid w:val="006959C1"/>
    <w:rsid w:val="00695BAA"/>
    <w:rsid w:val="00695F45"/>
    <w:rsid w:val="00695F6F"/>
    <w:rsid w:val="00695FC2"/>
    <w:rsid w:val="006965FA"/>
    <w:rsid w:val="00697231"/>
    <w:rsid w:val="00697348"/>
    <w:rsid w:val="00697431"/>
    <w:rsid w:val="006A02B6"/>
    <w:rsid w:val="006A044A"/>
    <w:rsid w:val="006A12DE"/>
    <w:rsid w:val="006A1473"/>
    <w:rsid w:val="006A15CE"/>
    <w:rsid w:val="006A1DC5"/>
    <w:rsid w:val="006A22B2"/>
    <w:rsid w:val="006A2D97"/>
    <w:rsid w:val="006A2F64"/>
    <w:rsid w:val="006A3B37"/>
    <w:rsid w:val="006A4163"/>
    <w:rsid w:val="006A4508"/>
    <w:rsid w:val="006A4642"/>
    <w:rsid w:val="006A49B1"/>
    <w:rsid w:val="006A4BD2"/>
    <w:rsid w:val="006A504A"/>
    <w:rsid w:val="006A5214"/>
    <w:rsid w:val="006A522D"/>
    <w:rsid w:val="006A576B"/>
    <w:rsid w:val="006A613F"/>
    <w:rsid w:val="006A61A8"/>
    <w:rsid w:val="006A64BA"/>
    <w:rsid w:val="006A676B"/>
    <w:rsid w:val="006A68DA"/>
    <w:rsid w:val="006A6BA2"/>
    <w:rsid w:val="006A6F37"/>
    <w:rsid w:val="006A6F6B"/>
    <w:rsid w:val="006A72DC"/>
    <w:rsid w:val="006A768B"/>
    <w:rsid w:val="006A7CB4"/>
    <w:rsid w:val="006B08A2"/>
    <w:rsid w:val="006B0989"/>
    <w:rsid w:val="006B0ACA"/>
    <w:rsid w:val="006B1075"/>
    <w:rsid w:val="006B15D9"/>
    <w:rsid w:val="006B199D"/>
    <w:rsid w:val="006B1BA6"/>
    <w:rsid w:val="006B1D1D"/>
    <w:rsid w:val="006B277A"/>
    <w:rsid w:val="006B27A6"/>
    <w:rsid w:val="006B2A38"/>
    <w:rsid w:val="006B2CB5"/>
    <w:rsid w:val="006B2D1B"/>
    <w:rsid w:val="006B2E61"/>
    <w:rsid w:val="006B2E97"/>
    <w:rsid w:val="006B38A8"/>
    <w:rsid w:val="006B3DD5"/>
    <w:rsid w:val="006B4306"/>
    <w:rsid w:val="006B4AE4"/>
    <w:rsid w:val="006B51E1"/>
    <w:rsid w:val="006B51EC"/>
    <w:rsid w:val="006B5237"/>
    <w:rsid w:val="006B53D0"/>
    <w:rsid w:val="006B56B2"/>
    <w:rsid w:val="006B587A"/>
    <w:rsid w:val="006B6B77"/>
    <w:rsid w:val="006B71D9"/>
    <w:rsid w:val="006B7581"/>
    <w:rsid w:val="006B7FC1"/>
    <w:rsid w:val="006C01D6"/>
    <w:rsid w:val="006C12DD"/>
    <w:rsid w:val="006C16B0"/>
    <w:rsid w:val="006C1DF8"/>
    <w:rsid w:val="006C2020"/>
    <w:rsid w:val="006C2565"/>
    <w:rsid w:val="006C2833"/>
    <w:rsid w:val="006C2B3D"/>
    <w:rsid w:val="006C2BA4"/>
    <w:rsid w:val="006C2FB8"/>
    <w:rsid w:val="006C2FD9"/>
    <w:rsid w:val="006C31E6"/>
    <w:rsid w:val="006C38C1"/>
    <w:rsid w:val="006C3D29"/>
    <w:rsid w:val="006C442F"/>
    <w:rsid w:val="006C44AE"/>
    <w:rsid w:val="006C46C0"/>
    <w:rsid w:val="006C4C84"/>
    <w:rsid w:val="006C4F29"/>
    <w:rsid w:val="006C516C"/>
    <w:rsid w:val="006C53FC"/>
    <w:rsid w:val="006C5E16"/>
    <w:rsid w:val="006C64C0"/>
    <w:rsid w:val="006C654F"/>
    <w:rsid w:val="006C7714"/>
    <w:rsid w:val="006C7C38"/>
    <w:rsid w:val="006D010D"/>
    <w:rsid w:val="006D0244"/>
    <w:rsid w:val="006D0485"/>
    <w:rsid w:val="006D04A2"/>
    <w:rsid w:val="006D088A"/>
    <w:rsid w:val="006D0927"/>
    <w:rsid w:val="006D0FCB"/>
    <w:rsid w:val="006D138E"/>
    <w:rsid w:val="006D1B1E"/>
    <w:rsid w:val="006D23E8"/>
    <w:rsid w:val="006D2B63"/>
    <w:rsid w:val="006D2C5D"/>
    <w:rsid w:val="006D2FD4"/>
    <w:rsid w:val="006D30AB"/>
    <w:rsid w:val="006D35AC"/>
    <w:rsid w:val="006D3B14"/>
    <w:rsid w:val="006D3B6A"/>
    <w:rsid w:val="006D3DEE"/>
    <w:rsid w:val="006D3DFC"/>
    <w:rsid w:val="006D3F99"/>
    <w:rsid w:val="006D4276"/>
    <w:rsid w:val="006D4390"/>
    <w:rsid w:val="006D46DC"/>
    <w:rsid w:val="006D4D19"/>
    <w:rsid w:val="006D4E06"/>
    <w:rsid w:val="006D5011"/>
    <w:rsid w:val="006D50A8"/>
    <w:rsid w:val="006D57FE"/>
    <w:rsid w:val="006D60D4"/>
    <w:rsid w:val="006D67D3"/>
    <w:rsid w:val="006D69C4"/>
    <w:rsid w:val="006D6CA0"/>
    <w:rsid w:val="006D7325"/>
    <w:rsid w:val="006D7590"/>
    <w:rsid w:val="006E00E8"/>
    <w:rsid w:val="006E042E"/>
    <w:rsid w:val="006E04B2"/>
    <w:rsid w:val="006E06D0"/>
    <w:rsid w:val="006E0815"/>
    <w:rsid w:val="006E0DFD"/>
    <w:rsid w:val="006E1506"/>
    <w:rsid w:val="006E1825"/>
    <w:rsid w:val="006E2770"/>
    <w:rsid w:val="006E2B5E"/>
    <w:rsid w:val="006E2DD8"/>
    <w:rsid w:val="006E2EB5"/>
    <w:rsid w:val="006E3027"/>
    <w:rsid w:val="006E30F8"/>
    <w:rsid w:val="006E37CC"/>
    <w:rsid w:val="006E4091"/>
    <w:rsid w:val="006E42F0"/>
    <w:rsid w:val="006E4978"/>
    <w:rsid w:val="006E533B"/>
    <w:rsid w:val="006E5525"/>
    <w:rsid w:val="006E5948"/>
    <w:rsid w:val="006E5A5A"/>
    <w:rsid w:val="006E5B16"/>
    <w:rsid w:val="006E61DF"/>
    <w:rsid w:val="006E704B"/>
    <w:rsid w:val="006E712B"/>
    <w:rsid w:val="006F0000"/>
    <w:rsid w:val="006F018C"/>
    <w:rsid w:val="006F0672"/>
    <w:rsid w:val="006F13C0"/>
    <w:rsid w:val="006F1981"/>
    <w:rsid w:val="006F1C72"/>
    <w:rsid w:val="006F203E"/>
    <w:rsid w:val="006F277C"/>
    <w:rsid w:val="006F2DED"/>
    <w:rsid w:val="006F355A"/>
    <w:rsid w:val="006F38EC"/>
    <w:rsid w:val="006F3AE1"/>
    <w:rsid w:val="006F3E4A"/>
    <w:rsid w:val="006F42C5"/>
    <w:rsid w:val="006F46F6"/>
    <w:rsid w:val="006F4DCF"/>
    <w:rsid w:val="006F504D"/>
    <w:rsid w:val="006F51B7"/>
    <w:rsid w:val="006F5884"/>
    <w:rsid w:val="006F63AE"/>
    <w:rsid w:val="006F643E"/>
    <w:rsid w:val="006F6780"/>
    <w:rsid w:val="006F6CBF"/>
    <w:rsid w:val="006F6EEC"/>
    <w:rsid w:val="006F7016"/>
    <w:rsid w:val="006F7AB1"/>
    <w:rsid w:val="006F7B35"/>
    <w:rsid w:val="0070077C"/>
    <w:rsid w:val="007008DA"/>
    <w:rsid w:val="0070095A"/>
    <w:rsid w:val="00700C66"/>
    <w:rsid w:val="0070116C"/>
    <w:rsid w:val="00701A17"/>
    <w:rsid w:val="00701E70"/>
    <w:rsid w:val="00702B1D"/>
    <w:rsid w:val="007031D0"/>
    <w:rsid w:val="00703481"/>
    <w:rsid w:val="00703D29"/>
    <w:rsid w:val="00703DCA"/>
    <w:rsid w:val="007048E6"/>
    <w:rsid w:val="007050B0"/>
    <w:rsid w:val="007052A4"/>
    <w:rsid w:val="0070542C"/>
    <w:rsid w:val="0070544B"/>
    <w:rsid w:val="00705BA7"/>
    <w:rsid w:val="007060EC"/>
    <w:rsid w:val="0070633D"/>
    <w:rsid w:val="007064CF"/>
    <w:rsid w:val="00706543"/>
    <w:rsid w:val="00706B0A"/>
    <w:rsid w:val="00706F58"/>
    <w:rsid w:val="00707581"/>
    <w:rsid w:val="007075DE"/>
    <w:rsid w:val="0070785E"/>
    <w:rsid w:val="0070788D"/>
    <w:rsid w:val="0070AAE0"/>
    <w:rsid w:val="007106A9"/>
    <w:rsid w:val="007107AB"/>
    <w:rsid w:val="007109DD"/>
    <w:rsid w:val="00710BF0"/>
    <w:rsid w:val="00711246"/>
    <w:rsid w:val="00711506"/>
    <w:rsid w:val="00711C9F"/>
    <w:rsid w:val="007120BB"/>
    <w:rsid w:val="00712B05"/>
    <w:rsid w:val="00712FF1"/>
    <w:rsid w:val="00713067"/>
    <w:rsid w:val="00713356"/>
    <w:rsid w:val="00713DB9"/>
    <w:rsid w:val="0071491B"/>
    <w:rsid w:val="00714E38"/>
    <w:rsid w:val="00714F24"/>
    <w:rsid w:val="00715146"/>
    <w:rsid w:val="007152F1"/>
    <w:rsid w:val="00715642"/>
    <w:rsid w:val="007161A9"/>
    <w:rsid w:val="0071627D"/>
    <w:rsid w:val="007162D4"/>
    <w:rsid w:val="0071684A"/>
    <w:rsid w:val="0071696D"/>
    <w:rsid w:val="00716DC0"/>
    <w:rsid w:val="0071756C"/>
    <w:rsid w:val="007178D6"/>
    <w:rsid w:val="00717A7A"/>
    <w:rsid w:val="00720006"/>
    <w:rsid w:val="007200C5"/>
    <w:rsid w:val="00720302"/>
    <w:rsid w:val="00720323"/>
    <w:rsid w:val="00720D17"/>
    <w:rsid w:val="00720E53"/>
    <w:rsid w:val="0072143C"/>
    <w:rsid w:val="00721F96"/>
    <w:rsid w:val="00722269"/>
    <w:rsid w:val="00722653"/>
    <w:rsid w:val="0072301B"/>
    <w:rsid w:val="00723229"/>
    <w:rsid w:val="00723A8B"/>
    <w:rsid w:val="00723B6A"/>
    <w:rsid w:val="00723F6C"/>
    <w:rsid w:val="00724204"/>
    <w:rsid w:val="00725337"/>
    <w:rsid w:val="00725A7E"/>
    <w:rsid w:val="00725C91"/>
    <w:rsid w:val="007269AF"/>
    <w:rsid w:val="00726C6F"/>
    <w:rsid w:val="00726CE3"/>
    <w:rsid w:val="007278EF"/>
    <w:rsid w:val="00727976"/>
    <w:rsid w:val="00727FDE"/>
    <w:rsid w:val="0073037B"/>
    <w:rsid w:val="00730917"/>
    <w:rsid w:val="00730D8C"/>
    <w:rsid w:val="00731C04"/>
    <w:rsid w:val="0073201C"/>
    <w:rsid w:val="00732243"/>
    <w:rsid w:val="00732429"/>
    <w:rsid w:val="007328BC"/>
    <w:rsid w:val="00734269"/>
    <w:rsid w:val="00734389"/>
    <w:rsid w:val="007346C7"/>
    <w:rsid w:val="00734A64"/>
    <w:rsid w:val="00734B53"/>
    <w:rsid w:val="007360F4"/>
    <w:rsid w:val="007362C0"/>
    <w:rsid w:val="0073700F"/>
    <w:rsid w:val="00737035"/>
    <w:rsid w:val="007379FD"/>
    <w:rsid w:val="0073DBD6"/>
    <w:rsid w:val="00740056"/>
    <w:rsid w:val="00740EF4"/>
    <w:rsid w:val="00740F47"/>
    <w:rsid w:val="007415DD"/>
    <w:rsid w:val="0074194A"/>
    <w:rsid w:val="00741B21"/>
    <w:rsid w:val="00742913"/>
    <w:rsid w:val="00742A2C"/>
    <w:rsid w:val="00742E0A"/>
    <w:rsid w:val="00743178"/>
    <w:rsid w:val="00743589"/>
    <w:rsid w:val="00743914"/>
    <w:rsid w:val="007443C5"/>
    <w:rsid w:val="00744522"/>
    <w:rsid w:val="00744F88"/>
    <w:rsid w:val="007453D8"/>
    <w:rsid w:val="007459F4"/>
    <w:rsid w:val="00745A88"/>
    <w:rsid w:val="00746542"/>
    <w:rsid w:val="00746D02"/>
    <w:rsid w:val="007477EC"/>
    <w:rsid w:val="00747811"/>
    <w:rsid w:val="00747A98"/>
    <w:rsid w:val="00747DAD"/>
    <w:rsid w:val="00750195"/>
    <w:rsid w:val="0075028A"/>
    <w:rsid w:val="0075040C"/>
    <w:rsid w:val="0075063B"/>
    <w:rsid w:val="00750CD1"/>
    <w:rsid w:val="00751440"/>
    <w:rsid w:val="00751789"/>
    <w:rsid w:val="007517B2"/>
    <w:rsid w:val="007521D3"/>
    <w:rsid w:val="00752481"/>
    <w:rsid w:val="007524CA"/>
    <w:rsid w:val="007526F5"/>
    <w:rsid w:val="007529DE"/>
    <w:rsid w:val="00752D46"/>
    <w:rsid w:val="007531A7"/>
    <w:rsid w:val="00753999"/>
    <w:rsid w:val="00753DB5"/>
    <w:rsid w:val="00753FFE"/>
    <w:rsid w:val="007540A5"/>
    <w:rsid w:val="00754133"/>
    <w:rsid w:val="00754449"/>
    <w:rsid w:val="00754721"/>
    <w:rsid w:val="0075508B"/>
    <w:rsid w:val="00755596"/>
    <w:rsid w:val="007555D0"/>
    <w:rsid w:val="007558B4"/>
    <w:rsid w:val="00755D15"/>
    <w:rsid w:val="00756F15"/>
    <w:rsid w:val="00757199"/>
    <w:rsid w:val="0075763C"/>
    <w:rsid w:val="00757B36"/>
    <w:rsid w:val="00757FB0"/>
    <w:rsid w:val="007601B3"/>
    <w:rsid w:val="007604CA"/>
    <w:rsid w:val="00760AB5"/>
    <w:rsid w:val="00760C5E"/>
    <w:rsid w:val="00761222"/>
    <w:rsid w:val="0076139F"/>
    <w:rsid w:val="00761748"/>
    <w:rsid w:val="00761C3F"/>
    <w:rsid w:val="007622F8"/>
    <w:rsid w:val="00762550"/>
    <w:rsid w:val="007628A7"/>
    <w:rsid w:val="007629EC"/>
    <w:rsid w:val="00762CA8"/>
    <w:rsid w:val="00762D65"/>
    <w:rsid w:val="00762DBF"/>
    <w:rsid w:val="00764349"/>
    <w:rsid w:val="00764566"/>
    <w:rsid w:val="00764995"/>
    <w:rsid w:val="00765136"/>
    <w:rsid w:val="0076563E"/>
    <w:rsid w:val="00765AF6"/>
    <w:rsid w:val="00765EE6"/>
    <w:rsid w:val="00765FF1"/>
    <w:rsid w:val="00766187"/>
    <w:rsid w:val="007663D0"/>
    <w:rsid w:val="00766676"/>
    <w:rsid w:val="00766A13"/>
    <w:rsid w:val="00766AD3"/>
    <w:rsid w:val="0076711B"/>
    <w:rsid w:val="007673A5"/>
    <w:rsid w:val="007678BC"/>
    <w:rsid w:val="00770340"/>
    <w:rsid w:val="00770880"/>
    <w:rsid w:val="007712B3"/>
    <w:rsid w:val="00771626"/>
    <w:rsid w:val="00771A88"/>
    <w:rsid w:val="00771E94"/>
    <w:rsid w:val="0077245D"/>
    <w:rsid w:val="0077278F"/>
    <w:rsid w:val="007729B3"/>
    <w:rsid w:val="00772DAE"/>
    <w:rsid w:val="007733E3"/>
    <w:rsid w:val="007740CE"/>
    <w:rsid w:val="007749E4"/>
    <w:rsid w:val="00774B95"/>
    <w:rsid w:val="00774C71"/>
    <w:rsid w:val="007753B6"/>
    <w:rsid w:val="007753CF"/>
    <w:rsid w:val="0077550D"/>
    <w:rsid w:val="00776CAB"/>
    <w:rsid w:val="007772BD"/>
    <w:rsid w:val="00777F82"/>
    <w:rsid w:val="00780277"/>
    <w:rsid w:val="007802E6"/>
    <w:rsid w:val="007806AC"/>
    <w:rsid w:val="00780754"/>
    <w:rsid w:val="00780C9E"/>
    <w:rsid w:val="007811EB"/>
    <w:rsid w:val="007819F4"/>
    <w:rsid w:val="00781CDC"/>
    <w:rsid w:val="00781E88"/>
    <w:rsid w:val="007826D8"/>
    <w:rsid w:val="00782744"/>
    <w:rsid w:val="00782EC6"/>
    <w:rsid w:val="00782FE9"/>
    <w:rsid w:val="007832E3"/>
    <w:rsid w:val="00783321"/>
    <w:rsid w:val="007835D6"/>
    <w:rsid w:val="00783F60"/>
    <w:rsid w:val="0078418C"/>
    <w:rsid w:val="007841ED"/>
    <w:rsid w:val="00784477"/>
    <w:rsid w:val="00785418"/>
    <w:rsid w:val="00785739"/>
    <w:rsid w:val="00785956"/>
    <w:rsid w:val="00785985"/>
    <w:rsid w:val="00785C01"/>
    <w:rsid w:val="00785E41"/>
    <w:rsid w:val="0078658E"/>
    <w:rsid w:val="00790411"/>
    <w:rsid w:val="00790892"/>
    <w:rsid w:val="00790A86"/>
    <w:rsid w:val="00790C06"/>
    <w:rsid w:val="0079107C"/>
    <w:rsid w:val="00791914"/>
    <w:rsid w:val="007919DD"/>
    <w:rsid w:val="00791C85"/>
    <w:rsid w:val="007920E7"/>
    <w:rsid w:val="007926BD"/>
    <w:rsid w:val="00792A94"/>
    <w:rsid w:val="00792AFC"/>
    <w:rsid w:val="007931C3"/>
    <w:rsid w:val="0079322F"/>
    <w:rsid w:val="0079380F"/>
    <w:rsid w:val="00793A1C"/>
    <w:rsid w:val="00793B7A"/>
    <w:rsid w:val="00793C46"/>
    <w:rsid w:val="00794059"/>
    <w:rsid w:val="00794A0E"/>
    <w:rsid w:val="00794C76"/>
    <w:rsid w:val="00795560"/>
    <w:rsid w:val="0079589D"/>
    <w:rsid w:val="00795935"/>
    <w:rsid w:val="00796989"/>
    <w:rsid w:val="0079737C"/>
    <w:rsid w:val="007979E6"/>
    <w:rsid w:val="00797A58"/>
    <w:rsid w:val="00797D0C"/>
    <w:rsid w:val="007A00C0"/>
    <w:rsid w:val="007A020D"/>
    <w:rsid w:val="007A03C0"/>
    <w:rsid w:val="007A08C5"/>
    <w:rsid w:val="007A0D5E"/>
    <w:rsid w:val="007A0E5C"/>
    <w:rsid w:val="007A1A08"/>
    <w:rsid w:val="007A2485"/>
    <w:rsid w:val="007A322A"/>
    <w:rsid w:val="007A3682"/>
    <w:rsid w:val="007A3D4C"/>
    <w:rsid w:val="007A4129"/>
    <w:rsid w:val="007A4154"/>
    <w:rsid w:val="007A4269"/>
    <w:rsid w:val="007A562B"/>
    <w:rsid w:val="007A574D"/>
    <w:rsid w:val="007A6226"/>
    <w:rsid w:val="007A62DD"/>
    <w:rsid w:val="007A69F9"/>
    <w:rsid w:val="007A71C6"/>
    <w:rsid w:val="007A726B"/>
    <w:rsid w:val="007A7466"/>
    <w:rsid w:val="007A781C"/>
    <w:rsid w:val="007A7938"/>
    <w:rsid w:val="007A7E0F"/>
    <w:rsid w:val="007B007E"/>
    <w:rsid w:val="007B023D"/>
    <w:rsid w:val="007B038C"/>
    <w:rsid w:val="007B06B9"/>
    <w:rsid w:val="007B0701"/>
    <w:rsid w:val="007B0D32"/>
    <w:rsid w:val="007B11B0"/>
    <w:rsid w:val="007B1214"/>
    <w:rsid w:val="007B14B2"/>
    <w:rsid w:val="007B1FC7"/>
    <w:rsid w:val="007B23DB"/>
    <w:rsid w:val="007B259B"/>
    <w:rsid w:val="007B2E7F"/>
    <w:rsid w:val="007B3485"/>
    <w:rsid w:val="007B38BD"/>
    <w:rsid w:val="007B39DF"/>
    <w:rsid w:val="007B4863"/>
    <w:rsid w:val="007B48BC"/>
    <w:rsid w:val="007B4BC7"/>
    <w:rsid w:val="007B4EA3"/>
    <w:rsid w:val="007B4F7F"/>
    <w:rsid w:val="007B4FE7"/>
    <w:rsid w:val="007B50AD"/>
    <w:rsid w:val="007B5A1C"/>
    <w:rsid w:val="007B5BA3"/>
    <w:rsid w:val="007B63EA"/>
    <w:rsid w:val="007B6A92"/>
    <w:rsid w:val="007B6CE9"/>
    <w:rsid w:val="007B7341"/>
    <w:rsid w:val="007B7B0A"/>
    <w:rsid w:val="007B7D0B"/>
    <w:rsid w:val="007B7FC6"/>
    <w:rsid w:val="007C04AC"/>
    <w:rsid w:val="007C101D"/>
    <w:rsid w:val="007C105D"/>
    <w:rsid w:val="007C1779"/>
    <w:rsid w:val="007C18C6"/>
    <w:rsid w:val="007C1BB0"/>
    <w:rsid w:val="007C1BC7"/>
    <w:rsid w:val="007C1C0B"/>
    <w:rsid w:val="007C2103"/>
    <w:rsid w:val="007C216A"/>
    <w:rsid w:val="007C21BB"/>
    <w:rsid w:val="007C235A"/>
    <w:rsid w:val="007C2549"/>
    <w:rsid w:val="007C2689"/>
    <w:rsid w:val="007C28D9"/>
    <w:rsid w:val="007C2D79"/>
    <w:rsid w:val="007C3001"/>
    <w:rsid w:val="007C3400"/>
    <w:rsid w:val="007C3E7E"/>
    <w:rsid w:val="007C3F17"/>
    <w:rsid w:val="007C439A"/>
    <w:rsid w:val="007C45F7"/>
    <w:rsid w:val="007C4C12"/>
    <w:rsid w:val="007C5A8B"/>
    <w:rsid w:val="007C5ED7"/>
    <w:rsid w:val="007C72A2"/>
    <w:rsid w:val="007C7300"/>
    <w:rsid w:val="007C731D"/>
    <w:rsid w:val="007C7A9D"/>
    <w:rsid w:val="007C7D9B"/>
    <w:rsid w:val="007D0F72"/>
    <w:rsid w:val="007D151C"/>
    <w:rsid w:val="007D189C"/>
    <w:rsid w:val="007D18A3"/>
    <w:rsid w:val="007D1B55"/>
    <w:rsid w:val="007D2135"/>
    <w:rsid w:val="007D23A1"/>
    <w:rsid w:val="007D2740"/>
    <w:rsid w:val="007D2E99"/>
    <w:rsid w:val="007D2EFB"/>
    <w:rsid w:val="007D3216"/>
    <w:rsid w:val="007D381B"/>
    <w:rsid w:val="007D3937"/>
    <w:rsid w:val="007D3CBC"/>
    <w:rsid w:val="007D41A3"/>
    <w:rsid w:val="007D4C25"/>
    <w:rsid w:val="007D55BC"/>
    <w:rsid w:val="007D56F4"/>
    <w:rsid w:val="007D5702"/>
    <w:rsid w:val="007D5945"/>
    <w:rsid w:val="007D5A87"/>
    <w:rsid w:val="007D5AF6"/>
    <w:rsid w:val="007D5B61"/>
    <w:rsid w:val="007D6324"/>
    <w:rsid w:val="007D633D"/>
    <w:rsid w:val="007D6413"/>
    <w:rsid w:val="007D688C"/>
    <w:rsid w:val="007D7124"/>
    <w:rsid w:val="007D78BD"/>
    <w:rsid w:val="007D7B17"/>
    <w:rsid w:val="007D7D65"/>
    <w:rsid w:val="007E02E6"/>
    <w:rsid w:val="007E0660"/>
    <w:rsid w:val="007E0929"/>
    <w:rsid w:val="007E092D"/>
    <w:rsid w:val="007E0BDD"/>
    <w:rsid w:val="007E0D0B"/>
    <w:rsid w:val="007E102E"/>
    <w:rsid w:val="007E1080"/>
    <w:rsid w:val="007E13C2"/>
    <w:rsid w:val="007E1D9E"/>
    <w:rsid w:val="007E1E99"/>
    <w:rsid w:val="007E20F2"/>
    <w:rsid w:val="007E2F4B"/>
    <w:rsid w:val="007E372F"/>
    <w:rsid w:val="007E3B47"/>
    <w:rsid w:val="007E495E"/>
    <w:rsid w:val="007E55E0"/>
    <w:rsid w:val="007E5703"/>
    <w:rsid w:val="007E5774"/>
    <w:rsid w:val="007E6DD2"/>
    <w:rsid w:val="007E6E7F"/>
    <w:rsid w:val="007E71F7"/>
    <w:rsid w:val="007F0087"/>
    <w:rsid w:val="007F05C5"/>
    <w:rsid w:val="007F115F"/>
    <w:rsid w:val="007F1187"/>
    <w:rsid w:val="007F12FE"/>
    <w:rsid w:val="007F1970"/>
    <w:rsid w:val="007F1B1F"/>
    <w:rsid w:val="007F1D01"/>
    <w:rsid w:val="007F1D7D"/>
    <w:rsid w:val="007F1FF2"/>
    <w:rsid w:val="007F2128"/>
    <w:rsid w:val="007F2185"/>
    <w:rsid w:val="007F25D5"/>
    <w:rsid w:val="007F2916"/>
    <w:rsid w:val="007F2AA7"/>
    <w:rsid w:val="007F38BD"/>
    <w:rsid w:val="007F38F1"/>
    <w:rsid w:val="007F3CC5"/>
    <w:rsid w:val="007F3E6C"/>
    <w:rsid w:val="007F4313"/>
    <w:rsid w:val="007F4DF1"/>
    <w:rsid w:val="007F5050"/>
    <w:rsid w:val="007F5610"/>
    <w:rsid w:val="007F653C"/>
    <w:rsid w:val="007F6561"/>
    <w:rsid w:val="007F6670"/>
    <w:rsid w:val="007F69FA"/>
    <w:rsid w:val="007F6D8D"/>
    <w:rsid w:val="007F792B"/>
    <w:rsid w:val="007F7AE7"/>
    <w:rsid w:val="007F7D6F"/>
    <w:rsid w:val="00800077"/>
    <w:rsid w:val="008004C6"/>
    <w:rsid w:val="008007B7"/>
    <w:rsid w:val="00800B18"/>
    <w:rsid w:val="00800F7F"/>
    <w:rsid w:val="00801559"/>
    <w:rsid w:val="00801A1A"/>
    <w:rsid w:val="00801A65"/>
    <w:rsid w:val="00801C40"/>
    <w:rsid w:val="00802167"/>
    <w:rsid w:val="0080336D"/>
    <w:rsid w:val="00803396"/>
    <w:rsid w:val="0080347C"/>
    <w:rsid w:val="00803ACF"/>
    <w:rsid w:val="00803EA4"/>
    <w:rsid w:val="00803F81"/>
    <w:rsid w:val="0080412E"/>
    <w:rsid w:val="008041DC"/>
    <w:rsid w:val="008042BA"/>
    <w:rsid w:val="00804527"/>
    <w:rsid w:val="00804C3A"/>
    <w:rsid w:val="00804E4C"/>
    <w:rsid w:val="00804E6F"/>
    <w:rsid w:val="0080542E"/>
    <w:rsid w:val="008055DB"/>
    <w:rsid w:val="008068B2"/>
    <w:rsid w:val="00807642"/>
    <w:rsid w:val="008102EA"/>
    <w:rsid w:val="00810718"/>
    <w:rsid w:val="00810867"/>
    <w:rsid w:val="00810AA6"/>
    <w:rsid w:val="00810E7D"/>
    <w:rsid w:val="00810F72"/>
    <w:rsid w:val="00811731"/>
    <w:rsid w:val="00812094"/>
    <w:rsid w:val="00812433"/>
    <w:rsid w:val="008129F9"/>
    <w:rsid w:val="00812D9B"/>
    <w:rsid w:val="008132A3"/>
    <w:rsid w:val="00813341"/>
    <w:rsid w:val="00813D85"/>
    <w:rsid w:val="00813ED0"/>
    <w:rsid w:val="0081412B"/>
    <w:rsid w:val="0081421E"/>
    <w:rsid w:val="008147D5"/>
    <w:rsid w:val="00814CA7"/>
    <w:rsid w:val="00814FFE"/>
    <w:rsid w:val="008156B9"/>
    <w:rsid w:val="00816425"/>
    <w:rsid w:val="00816513"/>
    <w:rsid w:val="00816E83"/>
    <w:rsid w:val="0081718E"/>
    <w:rsid w:val="008173E0"/>
    <w:rsid w:val="00817928"/>
    <w:rsid w:val="00817A9E"/>
    <w:rsid w:val="0082039E"/>
    <w:rsid w:val="00820CA0"/>
    <w:rsid w:val="0082179F"/>
    <w:rsid w:val="00821A3F"/>
    <w:rsid w:val="00821B62"/>
    <w:rsid w:val="008230C2"/>
    <w:rsid w:val="00823182"/>
    <w:rsid w:val="00823272"/>
    <w:rsid w:val="0082349C"/>
    <w:rsid w:val="00823721"/>
    <w:rsid w:val="008238B4"/>
    <w:rsid w:val="008239F8"/>
    <w:rsid w:val="00824A8D"/>
    <w:rsid w:val="00824AB6"/>
    <w:rsid w:val="00824B41"/>
    <w:rsid w:val="00824DC8"/>
    <w:rsid w:val="00825297"/>
    <w:rsid w:val="00825B76"/>
    <w:rsid w:val="00825CDF"/>
    <w:rsid w:val="00825E56"/>
    <w:rsid w:val="0082604D"/>
    <w:rsid w:val="008264F4"/>
    <w:rsid w:val="008265E9"/>
    <w:rsid w:val="008266D6"/>
    <w:rsid w:val="00826898"/>
    <w:rsid w:val="00826A75"/>
    <w:rsid w:val="00826BC7"/>
    <w:rsid w:val="0082707B"/>
    <w:rsid w:val="00827806"/>
    <w:rsid w:val="00827903"/>
    <w:rsid w:val="008279A8"/>
    <w:rsid w:val="00827C75"/>
    <w:rsid w:val="00830AD5"/>
    <w:rsid w:val="00830ADC"/>
    <w:rsid w:val="00831914"/>
    <w:rsid w:val="00831A26"/>
    <w:rsid w:val="00831A2F"/>
    <w:rsid w:val="008324D4"/>
    <w:rsid w:val="00832763"/>
    <w:rsid w:val="00832E0F"/>
    <w:rsid w:val="0083359A"/>
    <w:rsid w:val="008335E4"/>
    <w:rsid w:val="00833BCC"/>
    <w:rsid w:val="00834176"/>
    <w:rsid w:val="008341DB"/>
    <w:rsid w:val="0083441E"/>
    <w:rsid w:val="008345CD"/>
    <w:rsid w:val="00834CBB"/>
    <w:rsid w:val="00836364"/>
    <w:rsid w:val="00836BB1"/>
    <w:rsid w:val="0083736F"/>
    <w:rsid w:val="00837577"/>
    <w:rsid w:val="0083757C"/>
    <w:rsid w:val="00837A2F"/>
    <w:rsid w:val="00840310"/>
    <w:rsid w:val="00840A8D"/>
    <w:rsid w:val="00840BC5"/>
    <w:rsid w:val="00840C09"/>
    <w:rsid w:val="00840DEB"/>
    <w:rsid w:val="00840F15"/>
    <w:rsid w:val="008414B6"/>
    <w:rsid w:val="00841ACE"/>
    <w:rsid w:val="0084242A"/>
    <w:rsid w:val="0084263C"/>
    <w:rsid w:val="00842A50"/>
    <w:rsid w:val="00843FA5"/>
    <w:rsid w:val="00844253"/>
    <w:rsid w:val="008449DB"/>
    <w:rsid w:val="00844B4C"/>
    <w:rsid w:val="00844FA8"/>
    <w:rsid w:val="00845A16"/>
    <w:rsid w:val="00845AAA"/>
    <w:rsid w:val="00845C3B"/>
    <w:rsid w:val="00845DC4"/>
    <w:rsid w:val="00845E46"/>
    <w:rsid w:val="00845FC2"/>
    <w:rsid w:val="008461DA"/>
    <w:rsid w:val="00846516"/>
    <w:rsid w:val="00847FC5"/>
    <w:rsid w:val="0085022A"/>
    <w:rsid w:val="0085095C"/>
    <w:rsid w:val="00850B95"/>
    <w:rsid w:val="00851BFF"/>
    <w:rsid w:val="00851DE2"/>
    <w:rsid w:val="00851DE6"/>
    <w:rsid w:val="008526B0"/>
    <w:rsid w:val="0085287D"/>
    <w:rsid w:val="00852E4E"/>
    <w:rsid w:val="008532C6"/>
    <w:rsid w:val="00853D7E"/>
    <w:rsid w:val="00854698"/>
    <w:rsid w:val="00854CDA"/>
    <w:rsid w:val="00854F07"/>
    <w:rsid w:val="00855440"/>
    <w:rsid w:val="00855806"/>
    <w:rsid w:val="008558B3"/>
    <w:rsid w:val="00855AAA"/>
    <w:rsid w:val="00855CFF"/>
    <w:rsid w:val="00856178"/>
    <w:rsid w:val="00856A6C"/>
    <w:rsid w:val="00857004"/>
    <w:rsid w:val="00857571"/>
    <w:rsid w:val="00857C02"/>
    <w:rsid w:val="00857E9F"/>
    <w:rsid w:val="0086018F"/>
    <w:rsid w:val="008603F0"/>
    <w:rsid w:val="00860932"/>
    <w:rsid w:val="00861254"/>
    <w:rsid w:val="00861982"/>
    <w:rsid w:val="00861C71"/>
    <w:rsid w:val="00861D30"/>
    <w:rsid w:val="00862066"/>
    <w:rsid w:val="00862358"/>
    <w:rsid w:val="00864446"/>
    <w:rsid w:val="00865439"/>
    <w:rsid w:val="00865471"/>
    <w:rsid w:val="0086557C"/>
    <w:rsid w:val="008658EE"/>
    <w:rsid w:val="00865A84"/>
    <w:rsid w:val="00866179"/>
    <w:rsid w:val="00866453"/>
    <w:rsid w:val="008667AE"/>
    <w:rsid w:val="00866830"/>
    <w:rsid w:val="00867214"/>
    <w:rsid w:val="008673C6"/>
    <w:rsid w:val="00867526"/>
    <w:rsid w:val="0087008F"/>
    <w:rsid w:val="0087074D"/>
    <w:rsid w:val="00871011"/>
    <w:rsid w:val="0087123B"/>
    <w:rsid w:val="008725FC"/>
    <w:rsid w:val="00872682"/>
    <w:rsid w:val="0087284F"/>
    <w:rsid w:val="00872AE0"/>
    <w:rsid w:val="008735D9"/>
    <w:rsid w:val="00873C16"/>
    <w:rsid w:val="00874368"/>
    <w:rsid w:val="00874568"/>
    <w:rsid w:val="00874FB0"/>
    <w:rsid w:val="0087511B"/>
    <w:rsid w:val="008757AC"/>
    <w:rsid w:val="00875B8C"/>
    <w:rsid w:val="00876099"/>
    <w:rsid w:val="00876123"/>
    <w:rsid w:val="00876B24"/>
    <w:rsid w:val="0087744C"/>
    <w:rsid w:val="00877E7D"/>
    <w:rsid w:val="00877F42"/>
    <w:rsid w:val="00880273"/>
    <w:rsid w:val="00880404"/>
    <w:rsid w:val="0088050C"/>
    <w:rsid w:val="00880A58"/>
    <w:rsid w:val="00880AE1"/>
    <w:rsid w:val="00880CDC"/>
    <w:rsid w:val="008811AB"/>
    <w:rsid w:val="008813D7"/>
    <w:rsid w:val="0088198B"/>
    <w:rsid w:val="00881CBD"/>
    <w:rsid w:val="00881D6E"/>
    <w:rsid w:val="00881F4E"/>
    <w:rsid w:val="00882455"/>
    <w:rsid w:val="00882650"/>
    <w:rsid w:val="008829F1"/>
    <w:rsid w:val="00882A47"/>
    <w:rsid w:val="00883409"/>
    <w:rsid w:val="00883851"/>
    <w:rsid w:val="0088393E"/>
    <w:rsid w:val="00884DA1"/>
    <w:rsid w:val="008851E5"/>
    <w:rsid w:val="008853AC"/>
    <w:rsid w:val="008853C7"/>
    <w:rsid w:val="00885998"/>
    <w:rsid w:val="0088607D"/>
    <w:rsid w:val="00886151"/>
    <w:rsid w:val="0088660E"/>
    <w:rsid w:val="00886631"/>
    <w:rsid w:val="0088728B"/>
    <w:rsid w:val="00887321"/>
    <w:rsid w:val="0088773D"/>
    <w:rsid w:val="008878FE"/>
    <w:rsid w:val="00887A09"/>
    <w:rsid w:val="00887BA6"/>
    <w:rsid w:val="00890239"/>
    <w:rsid w:val="0089045C"/>
    <w:rsid w:val="00890818"/>
    <w:rsid w:val="008911FA"/>
    <w:rsid w:val="008913AB"/>
    <w:rsid w:val="00891508"/>
    <w:rsid w:val="00891655"/>
    <w:rsid w:val="0089174B"/>
    <w:rsid w:val="008917CF"/>
    <w:rsid w:val="00891AED"/>
    <w:rsid w:val="00891D5E"/>
    <w:rsid w:val="00891F73"/>
    <w:rsid w:val="00892577"/>
    <w:rsid w:val="0089268F"/>
    <w:rsid w:val="008926F3"/>
    <w:rsid w:val="00892B00"/>
    <w:rsid w:val="00892BD1"/>
    <w:rsid w:val="00892CBA"/>
    <w:rsid w:val="008931E0"/>
    <w:rsid w:val="0089351B"/>
    <w:rsid w:val="008936C3"/>
    <w:rsid w:val="00893CEA"/>
    <w:rsid w:val="00893F70"/>
    <w:rsid w:val="00894616"/>
    <w:rsid w:val="0089479E"/>
    <w:rsid w:val="00896124"/>
    <w:rsid w:val="0089632A"/>
    <w:rsid w:val="00896836"/>
    <w:rsid w:val="00896A70"/>
    <w:rsid w:val="00896A97"/>
    <w:rsid w:val="00896D4F"/>
    <w:rsid w:val="0089710C"/>
    <w:rsid w:val="0089796E"/>
    <w:rsid w:val="008A0230"/>
    <w:rsid w:val="008A0469"/>
    <w:rsid w:val="008A12C9"/>
    <w:rsid w:val="008A14AD"/>
    <w:rsid w:val="008A1955"/>
    <w:rsid w:val="008A1F20"/>
    <w:rsid w:val="008A27CE"/>
    <w:rsid w:val="008A30A6"/>
    <w:rsid w:val="008A32D9"/>
    <w:rsid w:val="008A34EF"/>
    <w:rsid w:val="008A3888"/>
    <w:rsid w:val="008A3D2A"/>
    <w:rsid w:val="008A3EE8"/>
    <w:rsid w:val="008A40AA"/>
    <w:rsid w:val="008A41CA"/>
    <w:rsid w:val="008A468C"/>
    <w:rsid w:val="008A47F7"/>
    <w:rsid w:val="008A4C16"/>
    <w:rsid w:val="008A51DD"/>
    <w:rsid w:val="008A565D"/>
    <w:rsid w:val="008A56D4"/>
    <w:rsid w:val="008A5F69"/>
    <w:rsid w:val="008A5F96"/>
    <w:rsid w:val="008A6127"/>
    <w:rsid w:val="008A6135"/>
    <w:rsid w:val="008A6A61"/>
    <w:rsid w:val="008A6C13"/>
    <w:rsid w:val="008A72F7"/>
    <w:rsid w:val="008A7526"/>
    <w:rsid w:val="008A7912"/>
    <w:rsid w:val="008B0032"/>
    <w:rsid w:val="008B04E9"/>
    <w:rsid w:val="008B07D6"/>
    <w:rsid w:val="008B14DB"/>
    <w:rsid w:val="008B1530"/>
    <w:rsid w:val="008B164E"/>
    <w:rsid w:val="008B1665"/>
    <w:rsid w:val="008B1EE6"/>
    <w:rsid w:val="008B22DD"/>
    <w:rsid w:val="008B2AAA"/>
    <w:rsid w:val="008B3191"/>
    <w:rsid w:val="008B3559"/>
    <w:rsid w:val="008B3C5E"/>
    <w:rsid w:val="008B3DE3"/>
    <w:rsid w:val="008B3E74"/>
    <w:rsid w:val="008B43C2"/>
    <w:rsid w:val="008B4E35"/>
    <w:rsid w:val="008B4F5C"/>
    <w:rsid w:val="008B5D91"/>
    <w:rsid w:val="008B5DA3"/>
    <w:rsid w:val="008B6746"/>
    <w:rsid w:val="008B70D9"/>
    <w:rsid w:val="008B71AC"/>
    <w:rsid w:val="008B71BB"/>
    <w:rsid w:val="008B7864"/>
    <w:rsid w:val="008B7B3F"/>
    <w:rsid w:val="008C010D"/>
    <w:rsid w:val="008C04C5"/>
    <w:rsid w:val="008C0BB7"/>
    <w:rsid w:val="008C1285"/>
    <w:rsid w:val="008C182F"/>
    <w:rsid w:val="008C1DC1"/>
    <w:rsid w:val="008C222C"/>
    <w:rsid w:val="008C2B0F"/>
    <w:rsid w:val="008C2C87"/>
    <w:rsid w:val="008C30D6"/>
    <w:rsid w:val="008C3107"/>
    <w:rsid w:val="008C37A4"/>
    <w:rsid w:val="008C3F4B"/>
    <w:rsid w:val="008C404B"/>
    <w:rsid w:val="008C489E"/>
    <w:rsid w:val="008C4CBC"/>
    <w:rsid w:val="008C4E06"/>
    <w:rsid w:val="008C535B"/>
    <w:rsid w:val="008C540E"/>
    <w:rsid w:val="008C5872"/>
    <w:rsid w:val="008C5A1C"/>
    <w:rsid w:val="008C5CF2"/>
    <w:rsid w:val="008C61C8"/>
    <w:rsid w:val="008C696C"/>
    <w:rsid w:val="008C6D98"/>
    <w:rsid w:val="008C70B5"/>
    <w:rsid w:val="008C70F4"/>
    <w:rsid w:val="008C730A"/>
    <w:rsid w:val="008C732D"/>
    <w:rsid w:val="008C73C4"/>
    <w:rsid w:val="008C7A15"/>
    <w:rsid w:val="008C7A1C"/>
    <w:rsid w:val="008D09A1"/>
    <w:rsid w:val="008D0DE6"/>
    <w:rsid w:val="008D10D3"/>
    <w:rsid w:val="008D11AE"/>
    <w:rsid w:val="008D1370"/>
    <w:rsid w:val="008D146A"/>
    <w:rsid w:val="008D15B5"/>
    <w:rsid w:val="008D1656"/>
    <w:rsid w:val="008D1803"/>
    <w:rsid w:val="008D1A05"/>
    <w:rsid w:val="008D20FD"/>
    <w:rsid w:val="008D2C13"/>
    <w:rsid w:val="008D3212"/>
    <w:rsid w:val="008D331F"/>
    <w:rsid w:val="008D3C77"/>
    <w:rsid w:val="008D49F6"/>
    <w:rsid w:val="008D4BE7"/>
    <w:rsid w:val="008D4C8B"/>
    <w:rsid w:val="008D540A"/>
    <w:rsid w:val="008D594F"/>
    <w:rsid w:val="008D5C7F"/>
    <w:rsid w:val="008D645B"/>
    <w:rsid w:val="008D77B9"/>
    <w:rsid w:val="008E00C3"/>
    <w:rsid w:val="008E0173"/>
    <w:rsid w:val="008E068A"/>
    <w:rsid w:val="008E0C94"/>
    <w:rsid w:val="008E0D31"/>
    <w:rsid w:val="008E0E73"/>
    <w:rsid w:val="008E1E4B"/>
    <w:rsid w:val="008E1F91"/>
    <w:rsid w:val="008E20E5"/>
    <w:rsid w:val="008E2669"/>
    <w:rsid w:val="008E2FE7"/>
    <w:rsid w:val="008E30D0"/>
    <w:rsid w:val="008E3DEC"/>
    <w:rsid w:val="008E3E42"/>
    <w:rsid w:val="008E433C"/>
    <w:rsid w:val="008E4628"/>
    <w:rsid w:val="008E4C3E"/>
    <w:rsid w:val="008E50EB"/>
    <w:rsid w:val="008E5B82"/>
    <w:rsid w:val="008E62ED"/>
    <w:rsid w:val="008E65B3"/>
    <w:rsid w:val="008E6A1F"/>
    <w:rsid w:val="008E6B7A"/>
    <w:rsid w:val="008E6D93"/>
    <w:rsid w:val="008E7F6D"/>
    <w:rsid w:val="008F0533"/>
    <w:rsid w:val="008F0ED0"/>
    <w:rsid w:val="008F13E5"/>
    <w:rsid w:val="008F1F08"/>
    <w:rsid w:val="008F2233"/>
    <w:rsid w:val="008F29B0"/>
    <w:rsid w:val="008F2B2A"/>
    <w:rsid w:val="008F2DEC"/>
    <w:rsid w:val="008F2F90"/>
    <w:rsid w:val="008F3257"/>
    <w:rsid w:val="008F3362"/>
    <w:rsid w:val="008F391E"/>
    <w:rsid w:val="008F4D26"/>
    <w:rsid w:val="008F57A3"/>
    <w:rsid w:val="008F57A9"/>
    <w:rsid w:val="008F596F"/>
    <w:rsid w:val="008F5D0D"/>
    <w:rsid w:val="008F62A0"/>
    <w:rsid w:val="008F6600"/>
    <w:rsid w:val="008F67F7"/>
    <w:rsid w:val="008F6892"/>
    <w:rsid w:val="008F6BD9"/>
    <w:rsid w:val="008F6C5D"/>
    <w:rsid w:val="008F74C5"/>
    <w:rsid w:val="008F7759"/>
    <w:rsid w:val="008F7A53"/>
    <w:rsid w:val="009001C7"/>
    <w:rsid w:val="00900AFE"/>
    <w:rsid w:val="00900C6B"/>
    <w:rsid w:val="00900D8E"/>
    <w:rsid w:val="00900E0D"/>
    <w:rsid w:val="009018D3"/>
    <w:rsid w:val="00901D5D"/>
    <w:rsid w:val="009029A5"/>
    <w:rsid w:val="00902D76"/>
    <w:rsid w:val="00902ED4"/>
    <w:rsid w:val="00904252"/>
    <w:rsid w:val="0090459E"/>
    <w:rsid w:val="00904E88"/>
    <w:rsid w:val="00904FBD"/>
    <w:rsid w:val="009050B5"/>
    <w:rsid w:val="00905195"/>
    <w:rsid w:val="00905538"/>
    <w:rsid w:val="00905648"/>
    <w:rsid w:val="00905E3D"/>
    <w:rsid w:val="00906198"/>
    <w:rsid w:val="009064C8"/>
    <w:rsid w:val="009067EA"/>
    <w:rsid w:val="00906B84"/>
    <w:rsid w:val="00907AFB"/>
    <w:rsid w:val="00907B83"/>
    <w:rsid w:val="00907EE0"/>
    <w:rsid w:val="009106F3"/>
    <w:rsid w:val="00910981"/>
    <w:rsid w:val="009114D9"/>
    <w:rsid w:val="00911CBE"/>
    <w:rsid w:val="00912814"/>
    <w:rsid w:val="00912F4E"/>
    <w:rsid w:val="00913978"/>
    <w:rsid w:val="009144D1"/>
    <w:rsid w:val="00914A57"/>
    <w:rsid w:val="00914A86"/>
    <w:rsid w:val="00914D19"/>
    <w:rsid w:val="00914DFD"/>
    <w:rsid w:val="00915385"/>
    <w:rsid w:val="0091558F"/>
    <w:rsid w:val="009159F3"/>
    <w:rsid w:val="00916BF3"/>
    <w:rsid w:val="00917178"/>
    <w:rsid w:val="009172F7"/>
    <w:rsid w:val="00917438"/>
    <w:rsid w:val="0091758C"/>
    <w:rsid w:val="0091758F"/>
    <w:rsid w:val="009211FD"/>
    <w:rsid w:val="00921687"/>
    <w:rsid w:val="00921A9B"/>
    <w:rsid w:val="00921C5B"/>
    <w:rsid w:val="00921C85"/>
    <w:rsid w:val="00921D73"/>
    <w:rsid w:val="00921E5F"/>
    <w:rsid w:val="0092234C"/>
    <w:rsid w:val="009225FD"/>
    <w:rsid w:val="009229A8"/>
    <w:rsid w:val="009229E6"/>
    <w:rsid w:val="00922B39"/>
    <w:rsid w:val="00923A23"/>
    <w:rsid w:val="00923EDD"/>
    <w:rsid w:val="00924171"/>
    <w:rsid w:val="00924EB5"/>
    <w:rsid w:val="00924F51"/>
    <w:rsid w:val="00925C57"/>
    <w:rsid w:val="009263E0"/>
    <w:rsid w:val="0092653F"/>
    <w:rsid w:val="0092748E"/>
    <w:rsid w:val="009274A6"/>
    <w:rsid w:val="009275D2"/>
    <w:rsid w:val="00927601"/>
    <w:rsid w:val="009278ED"/>
    <w:rsid w:val="009300ED"/>
    <w:rsid w:val="009301B1"/>
    <w:rsid w:val="00930997"/>
    <w:rsid w:val="00930A1F"/>
    <w:rsid w:val="00930A7A"/>
    <w:rsid w:val="00930CBE"/>
    <w:rsid w:val="00930E54"/>
    <w:rsid w:val="0093174B"/>
    <w:rsid w:val="00931E04"/>
    <w:rsid w:val="00932406"/>
    <w:rsid w:val="0093292E"/>
    <w:rsid w:val="0093302C"/>
    <w:rsid w:val="00933BCA"/>
    <w:rsid w:val="00934F45"/>
    <w:rsid w:val="00934FA8"/>
    <w:rsid w:val="00935AA6"/>
    <w:rsid w:val="00935E3E"/>
    <w:rsid w:val="00936B28"/>
    <w:rsid w:val="00937ADF"/>
    <w:rsid w:val="00940110"/>
    <w:rsid w:val="00940999"/>
    <w:rsid w:val="00940DA5"/>
    <w:rsid w:val="00941229"/>
    <w:rsid w:val="009414A7"/>
    <w:rsid w:val="00941BAF"/>
    <w:rsid w:val="00941C38"/>
    <w:rsid w:val="00941C5B"/>
    <w:rsid w:val="009420D7"/>
    <w:rsid w:val="0094274C"/>
    <w:rsid w:val="0094278D"/>
    <w:rsid w:val="0094288D"/>
    <w:rsid w:val="0094308D"/>
    <w:rsid w:val="00943336"/>
    <w:rsid w:val="00943565"/>
    <w:rsid w:val="00943576"/>
    <w:rsid w:val="0094374B"/>
    <w:rsid w:val="00943D45"/>
    <w:rsid w:val="00944067"/>
    <w:rsid w:val="0094413C"/>
    <w:rsid w:val="009448EB"/>
    <w:rsid w:val="00944D55"/>
    <w:rsid w:val="00944DAC"/>
    <w:rsid w:val="00945410"/>
    <w:rsid w:val="00947096"/>
    <w:rsid w:val="00947640"/>
    <w:rsid w:val="00947A46"/>
    <w:rsid w:val="00947E4F"/>
    <w:rsid w:val="0095207E"/>
    <w:rsid w:val="00952105"/>
    <w:rsid w:val="0095296B"/>
    <w:rsid w:val="00952DD4"/>
    <w:rsid w:val="00953186"/>
    <w:rsid w:val="00953698"/>
    <w:rsid w:val="00953C34"/>
    <w:rsid w:val="00954090"/>
    <w:rsid w:val="009548A2"/>
    <w:rsid w:val="00954DB5"/>
    <w:rsid w:val="00954E42"/>
    <w:rsid w:val="00954F1D"/>
    <w:rsid w:val="0095501A"/>
    <w:rsid w:val="009550A9"/>
    <w:rsid w:val="009553CB"/>
    <w:rsid w:val="00955411"/>
    <w:rsid w:val="00955591"/>
    <w:rsid w:val="00955E59"/>
    <w:rsid w:val="00955F22"/>
    <w:rsid w:val="009567C2"/>
    <w:rsid w:val="0095704C"/>
    <w:rsid w:val="0095781D"/>
    <w:rsid w:val="00960263"/>
    <w:rsid w:val="009609CE"/>
    <w:rsid w:val="00960BE8"/>
    <w:rsid w:val="0096106B"/>
    <w:rsid w:val="00961114"/>
    <w:rsid w:val="00961493"/>
    <w:rsid w:val="009615F1"/>
    <w:rsid w:val="00961C30"/>
    <w:rsid w:val="00961D15"/>
    <w:rsid w:val="00961DF0"/>
    <w:rsid w:val="00962183"/>
    <w:rsid w:val="00962A78"/>
    <w:rsid w:val="00962AC6"/>
    <w:rsid w:val="00962C04"/>
    <w:rsid w:val="00962EF1"/>
    <w:rsid w:val="009635FD"/>
    <w:rsid w:val="0096390C"/>
    <w:rsid w:val="00963A0C"/>
    <w:rsid w:val="00963B4B"/>
    <w:rsid w:val="009644B6"/>
    <w:rsid w:val="0096483C"/>
    <w:rsid w:val="00964C1F"/>
    <w:rsid w:val="009651A3"/>
    <w:rsid w:val="009654FD"/>
    <w:rsid w:val="00965EC6"/>
    <w:rsid w:val="00966518"/>
    <w:rsid w:val="0096652F"/>
    <w:rsid w:val="00966C2C"/>
    <w:rsid w:val="00967041"/>
    <w:rsid w:val="00967499"/>
    <w:rsid w:val="009679A2"/>
    <w:rsid w:val="00967AB9"/>
    <w:rsid w:val="00967BBE"/>
    <w:rsid w:val="00970164"/>
    <w:rsid w:val="00970A68"/>
    <w:rsid w:val="00970C56"/>
    <w:rsid w:val="00971AF1"/>
    <w:rsid w:val="00971B4D"/>
    <w:rsid w:val="00971B73"/>
    <w:rsid w:val="0097216F"/>
    <w:rsid w:val="00972807"/>
    <w:rsid w:val="00972957"/>
    <w:rsid w:val="00972A7F"/>
    <w:rsid w:val="00973171"/>
    <w:rsid w:val="00973881"/>
    <w:rsid w:val="009743FD"/>
    <w:rsid w:val="00974516"/>
    <w:rsid w:val="00974627"/>
    <w:rsid w:val="0097524E"/>
    <w:rsid w:val="00975547"/>
    <w:rsid w:val="009758D7"/>
    <w:rsid w:val="0097633F"/>
    <w:rsid w:val="009768DD"/>
    <w:rsid w:val="00976CAA"/>
    <w:rsid w:val="00976ECC"/>
    <w:rsid w:val="00976F1A"/>
    <w:rsid w:val="009775CD"/>
    <w:rsid w:val="00977B9F"/>
    <w:rsid w:val="00977DA4"/>
    <w:rsid w:val="00980B53"/>
    <w:rsid w:val="00981369"/>
    <w:rsid w:val="00981BEB"/>
    <w:rsid w:val="0098236F"/>
    <w:rsid w:val="00982509"/>
    <w:rsid w:val="00983748"/>
    <w:rsid w:val="0098397C"/>
    <w:rsid w:val="009839D2"/>
    <w:rsid w:val="00983B72"/>
    <w:rsid w:val="00983DC0"/>
    <w:rsid w:val="00983F6D"/>
    <w:rsid w:val="0098407A"/>
    <w:rsid w:val="009844CF"/>
    <w:rsid w:val="00984B31"/>
    <w:rsid w:val="00984C55"/>
    <w:rsid w:val="00984C61"/>
    <w:rsid w:val="009852C9"/>
    <w:rsid w:val="0098536A"/>
    <w:rsid w:val="009856BC"/>
    <w:rsid w:val="009857C0"/>
    <w:rsid w:val="00985B8A"/>
    <w:rsid w:val="00986306"/>
    <w:rsid w:val="009867CF"/>
    <w:rsid w:val="00986840"/>
    <w:rsid w:val="00986FB7"/>
    <w:rsid w:val="00986FF2"/>
    <w:rsid w:val="009873FB"/>
    <w:rsid w:val="009874BD"/>
    <w:rsid w:val="009876C2"/>
    <w:rsid w:val="00987A3E"/>
    <w:rsid w:val="00987CA3"/>
    <w:rsid w:val="00987E73"/>
    <w:rsid w:val="0099009C"/>
    <w:rsid w:val="00990162"/>
    <w:rsid w:val="009901CF"/>
    <w:rsid w:val="0099111F"/>
    <w:rsid w:val="009913C6"/>
    <w:rsid w:val="00991827"/>
    <w:rsid w:val="009919AC"/>
    <w:rsid w:val="00992147"/>
    <w:rsid w:val="009923FC"/>
    <w:rsid w:val="00992A7D"/>
    <w:rsid w:val="00992F84"/>
    <w:rsid w:val="00993372"/>
    <w:rsid w:val="009936DD"/>
    <w:rsid w:val="009937C2"/>
    <w:rsid w:val="00993D17"/>
    <w:rsid w:val="00994168"/>
    <w:rsid w:val="009943DE"/>
    <w:rsid w:val="00994D0D"/>
    <w:rsid w:val="00994EDB"/>
    <w:rsid w:val="009957C5"/>
    <w:rsid w:val="0099582F"/>
    <w:rsid w:val="00996248"/>
    <w:rsid w:val="009964B7"/>
    <w:rsid w:val="009A0B6B"/>
    <w:rsid w:val="009A14C2"/>
    <w:rsid w:val="009A1D7A"/>
    <w:rsid w:val="009A1F9B"/>
    <w:rsid w:val="009A23DF"/>
    <w:rsid w:val="009A23ED"/>
    <w:rsid w:val="009A24F4"/>
    <w:rsid w:val="009A257B"/>
    <w:rsid w:val="009A269C"/>
    <w:rsid w:val="009A2EF7"/>
    <w:rsid w:val="009A300B"/>
    <w:rsid w:val="009A34F8"/>
    <w:rsid w:val="009A36D9"/>
    <w:rsid w:val="009A381D"/>
    <w:rsid w:val="009A3BF2"/>
    <w:rsid w:val="009A45AA"/>
    <w:rsid w:val="009A47FE"/>
    <w:rsid w:val="009A4F3E"/>
    <w:rsid w:val="009A5277"/>
    <w:rsid w:val="009A57AA"/>
    <w:rsid w:val="009A5F54"/>
    <w:rsid w:val="009A6948"/>
    <w:rsid w:val="009A7336"/>
    <w:rsid w:val="009A73FA"/>
    <w:rsid w:val="009A786B"/>
    <w:rsid w:val="009A790D"/>
    <w:rsid w:val="009A7BD2"/>
    <w:rsid w:val="009A7EC2"/>
    <w:rsid w:val="009A7ED2"/>
    <w:rsid w:val="009ADB43"/>
    <w:rsid w:val="009B0847"/>
    <w:rsid w:val="009B0ADC"/>
    <w:rsid w:val="009B147B"/>
    <w:rsid w:val="009B1CD3"/>
    <w:rsid w:val="009B2532"/>
    <w:rsid w:val="009B280E"/>
    <w:rsid w:val="009B2F16"/>
    <w:rsid w:val="009B3178"/>
    <w:rsid w:val="009B38A5"/>
    <w:rsid w:val="009B38B7"/>
    <w:rsid w:val="009B3DD3"/>
    <w:rsid w:val="009B473B"/>
    <w:rsid w:val="009B47FF"/>
    <w:rsid w:val="009B4BE8"/>
    <w:rsid w:val="009B4EE3"/>
    <w:rsid w:val="009B5894"/>
    <w:rsid w:val="009B5C2D"/>
    <w:rsid w:val="009B6206"/>
    <w:rsid w:val="009B6402"/>
    <w:rsid w:val="009B64C6"/>
    <w:rsid w:val="009B6AB7"/>
    <w:rsid w:val="009B70DD"/>
    <w:rsid w:val="009B7122"/>
    <w:rsid w:val="009B769A"/>
    <w:rsid w:val="009B7A04"/>
    <w:rsid w:val="009B7F02"/>
    <w:rsid w:val="009C0975"/>
    <w:rsid w:val="009C0FF9"/>
    <w:rsid w:val="009C13BE"/>
    <w:rsid w:val="009C13E8"/>
    <w:rsid w:val="009C1D77"/>
    <w:rsid w:val="009C1F0F"/>
    <w:rsid w:val="009C223F"/>
    <w:rsid w:val="009C2530"/>
    <w:rsid w:val="009C26B9"/>
    <w:rsid w:val="009C2873"/>
    <w:rsid w:val="009C28B1"/>
    <w:rsid w:val="009C2A48"/>
    <w:rsid w:val="009C2B83"/>
    <w:rsid w:val="009C389B"/>
    <w:rsid w:val="009C4DBC"/>
    <w:rsid w:val="009C510E"/>
    <w:rsid w:val="009C5E09"/>
    <w:rsid w:val="009C5E2F"/>
    <w:rsid w:val="009C6418"/>
    <w:rsid w:val="009C7033"/>
    <w:rsid w:val="009C7485"/>
    <w:rsid w:val="009C74B8"/>
    <w:rsid w:val="009C7516"/>
    <w:rsid w:val="009C7AAA"/>
    <w:rsid w:val="009C7EC2"/>
    <w:rsid w:val="009C7FB5"/>
    <w:rsid w:val="009D0012"/>
    <w:rsid w:val="009D09B7"/>
    <w:rsid w:val="009D1380"/>
    <w:rsid w:val="009D1583"/>
    <w:rsid w:val="009D1865"/>
    <w:rsid w:val="009D1943"/>
    <w:rsid w:val="009D2104"/>
    <w:rsid w:val="009D2A93"/>
    <w:rsid w:val="009D2CED"/>
    <w:rsid w:val="009D2E35"/>
    <w:rsid w:val="009D3277"/>
    <w:rsid w:val="009D4857"/>
    <w:rsid w:val="009D4CF3"/>
    <w:rsid w:val="009D4F60"/>
    <w:rsid w:val="009D5610"/>
    <w:rsid w:val="009D569E"/>
    <w:rsid w:val="009D6B46"/>
    <w:rsid w:val="009D7A12"/>
    <w:rsid w:val="009D7EA8"/>
    <w:rsid w:val="009E0040"/>
    <w:rsid w:val="009E09CD"/>
    <w:rsid w:val="009E09CE"/>
    <w:rsid w:val="009E1521"/>
    <w:rsid w:val="009E18D1"/>
    <w:rsid w:val="009E1A7E"/>
    <w:rsid w:val="009E1C88"/>
    <w:rsid w:val="009E1DCE"/>
    <w:rsid w:val="009E1EBB"/>
    <w:rsid w:val="009E1F1C"/>
    <w:rsid w:val="009E2384"/>
    <w:rsid w:val="009E2985"/>
    <w:rsid w:val="009E31E8"/>
    <w:rsid w:val="009E3841"/>
    <w:rsid w:val="009E38EF"/>
    <w:rsid w:val="009E4ADE"/>
    <w:rsid w:val="009E4E79"/>
    <w:rsid w:val="009E5393"/>
    <w:rsid w:val="009E53B3"/>
    <w:rsid w:val="009E53FE"/>
    <w:rsid w:val="009E55E6"/>
    <w:rsid w:val="009E58D8"/>
    <w:rsid w:val="009E6408"/>
    <w:rsid w:val="009E6CC0"/>
    <w:rsid w:val="009E6DF9"/>
    <w:rsid w:val="009E7749"/>
    <w:rsid w:val="009E7B14"/>
    <w:rsid w:val="009F05BE"/>
    <w:rsid w:val="009F073E"/>
    <w:rsid w:val="009F11A0"/>
    <w:rsid w:val="009F1B25"/>
    <w:rsid w:val="009F1E51"/>
    <w:rsid w:val="009F263C"/>
    <w:rsid w:val="009F2CDC"/>
    <w:rsid w:val="009F377C"/>
    <w:rsid w:val="009F3881"/>
    <w:rsid w:val="009F3C86"/>
    <w:rsid w:val="009F4946"/>
    <w:rsid w:val="009F4C38"/>
    <w:rsid w:val="009F4DE6"/>
    <w:rsid w:val="009F513B"/>
    <w:rsid w:val="009F541A"/>
    <w:rsid w:val="009F5CB9"/>
    <w:rsid w:val="009F5DED"/>
    <w:rsid w:val="009F6374"/>
    <w:rsid w:val="009F6834"/>
    <w:rsid w:val="009F6AF4"/>
    <w:rsid w:val="009F6FA4"/>
    <w:rsid w:val="009F7378"/>
    <w:rsid w:val="009F74A7"/>
    <w:rsid w:val="009F75ED"/>
    <w:rsid w:val="009F7673"/>
    <w:rsid w:val="009F7A7A"/>
    <w:rsid w:val="009F7B5E"/>
    <w:rsid w:val="009F7B89"/>
    <w:rsid w:val="009F7CAA"/>
    <w:rsid w:val="009F7DD6"/>
    <w:rsid w:val="00A000BF"/>
    <w:rsid w:val="00A0025A"/>
    <w:rsid w:val="00A00508"/>
    <w:rsid w:val="00A00A65"/>
    <w:rsid w:val="00A00C31"/>
    <w:rsid w:val="00A01201"/>
    <w:rsid w:val="00A0162C"/>
    <w:rsid w:val="00A0170C"/>
    <w:rsid w:val="00A0195C"/>
    <w:rsid w:val="00A02A87"/>
    <w:rsid w:val="00A02BB0"/>
    <w:rsid w:val="00A037CF"/>
    <w:rsid w:val="00A03A5D"/>
    <w:rsid w:val="00A04265"/>
    <w:rsid w:val="00A0528B"/>
    <w:rsid w:val="00A05333"/>
    <w:rsid w:val="00A0537D"/>
    <w:rsid w:val="00A053EA"/>
    <w:rsid w:val="00A0546E"/>
    <w:rsid w:val="00A05B62"/>
    <w:rsid w:val="00A063FB"/>
    <w:rsid w:val="00A0663A"/>
    <w:rsid w:val="00A0667C"/>
    <w:rsid w:val="00A06814"/>
    <w:rsid w:val="00A06B9B"/>
    <w:rsid w:val="00A07028"/>
    <w:rsid w:val="00A0724A"/>
    <w:rsid w:val="00A07295"/>
    <w:rsid w:val="00A07595"/>
    <w:rsid w:val="00A07604"/>
    <w:rsid w:val="00A07689"/>
    <w:rsid w:val="00A10C66"/>
    <w:rsid w:val="00A10D83"/>
    <w:rsid w:val="00A112DF"/>
    <w:rsid w:val="00A114C2"/>
    <w:rsid w:val="00A116A3"/>
    <w:rsid w:val="00A11D04"/>
    <w:rsid w:val="00A12329"/>
    <w:rsid w:val="00A124BE"/>
    <w:rsid w:val="00A1292F"/>
    <w:rsid w:val="00A131A3"/>
    <w:rsid w:val="00A1327B"/>
    <w:rsid w:val="00A13525"/>
    <w:rsid w:val="00A13C6D"/>
    <w:rsid w:val="00A1466F"/>
    <w:rsid w:val="00A14BE6"/>
    <w:rsid w:val="00A14D80"/>
    <w:rsid w:val="00A14D9F"/>
    <w:rsid w:val="00A14EB3"/>
    <w:rsid w:val="00A15B61"/>
    <w:rsid w:val="00A1712A"/>
    <w:rsid w:val="00A17477"/>
    <w:rsid w:val="00A179F2"/>
    <w:rsid w:val="00A17B18"/>
    <w:rsid w:val="00A20C27"/>
    <w:rsid w:val="00A20C32"/>
    <w:rsid w:val="00A21043"/>
    <w:rsid w:val="00A2204C"/>
    <w:rsid w:val="00A22793"/>
    <w:rsid w:val="00A228BE"/>
    <w:rsid w:val="00A22A04"/>
    <w:rsid w:val="00A23248"/>
    <w:rsid w:val="00A234C6"/>
    <w:rsid w:val="00A2368F"/>
    <w:rsid w:val="00A23C06"/>
    <w:rsid w:val="00A23D67"/>
    <w:rsid w:val="00A23F35"/>
    <w:rsid w:val="00A2428B"/>
    <w:rsid w:val="00A243A8"/>
    <w:rsid w:val="00A24821"/>
    <w:rsid w:val="00A25FCA"/>
    <w:rsid w:val="00A26070"/>
    <w:rsid w:val="00A268B3"/>
    <w:rsid w:val="00A277CD"/>
    <w:rsid w:val="00A27DB1"/>
    <w:rsid w:val="00A3079E"/>
    <w:rsid w:val="00A30CDE"/>
    <w:rsid w:val="00A30D9B"/>
    <w:rsid w:val="00A30DCC"/>
    <w:rsid w:val="00A31353"/>
    <w:rsid w:val="00A316DE"/>
    <w:rsid w:val="00A31861"/>
    <w:rsid w:val="00A319C1"/>
    <w:rsid w:val="00A3222C"/>
    <w:rsid w:val="00A323EE"/>
    <w:rsid w:val="00A33034"/>
    <w:rsid w:val="00A332C3"/>
    <w:rsid w:val="00A332C4"/>
    <w:rsid w:val="00A33357"/>
    <w:rsid w:val="00A337A4"/>
    <w:rsid w:val="00A3387B"/>
    <w:rsid w:val="00A33BFC"/>
    <w:rsid w:val="00A34199"/>
    <w:rsid w:val="00A349E0"/>
    <w:rsid w:val="00A34BF6"/>
    <w:rsid w:val="00A3557B"/>
    <w:rsid w:val="00A358CB"/>
    <w:rsid w:val="00A35D25"/>
    <w:rsid w:val="00A366AD"/>
    <w:rsid w:val="00A36BBD"/>
    <w:rsid w:val="00A36DA9"/>
    <w:rsid w:val="00A36E42"/>
    <w:rsid w:val="00A37DE4"/>
    <w:rsid w:val="00A37E24"/>
    <w:rsid w:val="00A40140"/>
    <w:rsid w:val="00A403B4"/>
    <w:rsid w:val="00A405AA"/>
    <w:rsid w:val="00A40679"/>
    <w:rsid w:val="00A40EE5"/>
    <w:rsid w:val="00A4152E"/>
    <w:rsid w:val="00A41546"/>
    <w:rsid w:val="00A41A16"/>
    <w:rsid w:val="00A41FE1"/>
    <w:rsid w:val="00A41FE3"/>
    <w:rsid w:val="00A41FE8"/>
    <w:rsid w:val="00A425AA"/>
    <w:rsid w:val="00A425D2"/>
    <w:rsid w:val="00A42A07"/>
    <w:rsid w:val="00A42AE2"/>
    <w:rsid w:val="00A42D15"/>
    <w:rsid w:val="00A43044"/>
    <w:rsid w:val="00A4316F"/>
    <w:rsid w:val="00A43F88"/>
    <w:rsid w:val="00A442E9"/>
    <w:rsid w:val="00A4464D"/>
    <w:rsid w:val="00A44D5B"/>
    <w:rsid w:val="00A44EBB"/>
    <w:rsid w:val="00A44FB7"/>
    <w:rsid w:val="00A44FC7"/>
    <w:rsid w:val="00A450D0"/>
    <w:rsid w:val="00A4516F"/>
    <w:rsid w:val="00A45889"/>
    <w:rsid w:val="00A45F4F"/>
    <w:rsid w:val="00A45FC9"/>
    <w:rsid w:val="00A466EC"/>
    <w:rsid w:val="00A46813"/>
    <w:rsid w:val="00A46851"/>
    <w:rsid w:val="00A46C8A"/>
    <w:rsid w:val="00A46E63"/>
    <w:rsid w:val="00A46E66"/>
    <w:rsid w:val="00A474B5"/>
    <w:rsid w:val="00A478C0"/>
    <w:rsid w:val="00A47999"/>
    <w:rsid w:val="00A5001A"/>
    <w:rsid w:val="00A50577"/>
    <w:rsid w:val="00A50E5A"/>
    <w:rsid w:val="00A50FAC"/>
    <w:rsid w:val="00A51260"/>
    <w:rsid w:val="00A514DE"/>
    <w:rsid w:val="00A519B2"/>
    <w:rsid w:val="00A51C44"/>
    <w:rsid w:val="00A51EB8"/>
    <w:rsid w:val="00A520D0"/>
    <w:rsid w:val="00A52AE3"/>
    <w:rsid w:val="00A53BB9"/>
    <w:rsid w:val="00A53C6C"/>
    <w:rsid w:val="00A53D14"/>
    <w:rsid w:val="00A53D47"/>
    <w:rsid w:val="00A53E5A"/>
    <w:rsid w:val="00A53E74"/>
    <w:rsid w:val="00A54129"/>
    <w:rsid w:val="00A54DD4"/>
    <w:rsid w:val="00A552BF"/>
    <w:rsid w:val="00A552CF"/>
    <w:rsid w:val="00A56087"/>
    <w:rsid w:val="00A56266"/>
    <w:rsid w:val="00A562E5"/>
    <w:rsid w:val="00A5658C"/>
    <w:rsid w:val="00A565EC"/>
    <w:rsid w:val="00A56D68"/>
    <w:rsid w:val="00A56F34"/>
    <w:rsid w:val="00A570CB"/>
    <w:rsid w:val="00A57828"/>
    <w:rsid w:val="00A57A81"/>
    <w:rsid w:val="00A6028E"/>
    <w:rsid w:val="00A60637"/>
    <w:rsid w:val="00A60C54"/>
    <w:rsid w:val="00A60F51"/>
    <w:rsid w:val="00A61474"/>
    <w:rsid w:val="00A61A7C"/>
    <w:rsid w:val="00A61FF7"/>
    <w:rsid w:val="00A62031"/>
    <w:rsid w:val="00A6263D"/>
    <w:rsid w:val="00A64953"/>
    <w:rsid w:val="00A651FB"/>
    <w:rsid w:val="00A65357"/>
    <w:rsid w:val="00A65380"/>
    <w:rsid w:val="00A65895"/>
    <w:rsid w:val="00A65BC9"/>
    <w:rsid w:val="00A65F91"/>
    <w:rsid w:val="00A6629C"/>
    <w:rsid w:val="00A66766"/>
    <w:rsid w:val="00A667C7"/>
    <w:rsid w:val="00A6761E"/>
    <w:rsid w:val="00A67F96"/>
    <w:rsid w:val="00A702B3"/>
    <w:rsid w:val="00A709BE"/>
    <w:rsid w:val="00A71637"/>
    <w:rsid w:val="00A7186E"/>
    <w:rsid w:val="00A71B5B"/>
    <w:rsid w:val="00A71BAD"/>
    <w:rsid w:val="00A72142"/>
    <w:rsid w:val="00A721DD"/>
    <w:rsid w:val="00A72B18"/>
    <w:rsid w:val="00A738C3"/>
    <w:rsid w:val="00A74677"/>
    <w:rsid w:val="00A74959"/>
    <w:rsid w:val="00A74E90"/>
    <w:rsid w:val="00A753FF"/>
    <w:rsid w:val="00A75A9E"/>
    <w:rsid w:val="00A7600A"/>
    <w:rsid w:val="00A76C5D"/>
    <w:rsid w:val="00A7745D"/>
    <w:rsid w:val="00A775A5"/>
    <w:rsid w:val="00A7760C"/>
    <w:rsid w:val="00A77677"/>
    <w:rsid w:val="00A777B1"/>
    <w:rsid w:val="00A777BD"/>
    <w:rsid w:val="00A77A94"/>
    <w:rsid w:val="00A80520"/>
    <w:rsid w:val="00A80656"/>
    <w:rsid w:val="00A8098B"/>
    <w:rsid w:val="00A811C2"/>
    <w:rsid w:val="00A8145E"/>
    <w:rsid w:val="00A819A7"/>
    <w:rsid w:val="00A81CA9"/>
    <w:rsid w:val="00A82559"/>
    <w:rsid w:val="00A83113"/>
    <w:rsid w:val="00A832AC"/>
    <w:rsid w:val="00A838CA"/>
    <w:rsid w:val="00A83A6E"/>
    <w:rsid w:val="00A83B85"/>
    <w:rsid w:val="00A83FA2"/>
    <w:rsid w:val="00A840C8"/>
    <w:rsid w:val="00A849FE"/>
    <w:rsid w:val="00A84BD0"/>
    <w:rsid w:val="00A84FBB"/>
    <w:rsid w:val="00A85097"/>
    <w:rsid w:val="00A85669"/>
    <w:rsid w:val="00A8644A"/>
    <w:rsid w:val="00A868FE"/>
    <w:rsid w:val="00A86DE4"/>
    <w:rsid w:val="00A87745"/>
    <w:rsid w:val="00A901FE"/>
    <w:rsid w:val="00A908EF"/>
    <w:rsid w:val="00A90DE1"/>
    <w:rsid w:val="00A90F10"/>
    <w:rsid w:val="00A918BC"/>
    <w:rsid w:val="00A9202F"/>
    <w:rsid w:val="00A921B5"/>
    <w:rsid w:val="00A924BE"/>
    <w:rsid w:val="00A92552"/>
    <w:rsid w:val="00A92E45"/>
    <w:rsid w:val="00A92E89"/>
    <w:rsid w:val="00A93582"/>
    <w:rsid w:val="00A93CD8"/>
    <w:rsid w:val="00A9466F"/>
    <w:rsid w:val="00A94707"/>
    <w:rsid w:val="00A948C4"/>
    <w:rsid w:val="00A94919"/>
    <w:rsid w:val="00A95517"/>
    <w:rsid w:val="00A955F6"/>
    <w:rsid w:val="00A95893"/>
    <w:rsid w:val="00A95B88"/>
    <w:rsid w:val="00A95F35"/>
    <w:rsid w:val="00A96431"/>
    <w:rsid w:val="00A96D01"/>
    <w:rsid w:val="00A96F21"/>
    <w:rsid w:val="00A9783B"/>
    <w:rsid w:val="00A97E60"/>
    <w:rsid w:val="00AA063B"/>
    <w:rsid w:val="00AA06DB"/>
    <w:rsid w:val="00AA07E7"/>
    <w:rsid w:val="00AA0BB0"/>
    <w:rsid w:val="00AA0E24"/>
    <w:rsid w:val="00AA104B"/>
    <w:rsid w:val="00AA1059"/>
    <w:rsid w:val="00AA14CA"/>
    <w:rsid w:val="00AA1E84"/>
    <w:rsid w:val="00AA22A9"/>
    <w:rsid w:val="00AA2D0C"/>
    <w:rsid w:val="00AA2DF4"/>
    <w:rsid w:val="00AA2E22"/>
    <w:rsid w:val="00AA2F7A"/>
    <w:rsid w:val="00AA2F98"/>
    <w:rsid w:val="00AA31D2"/>
    <w:rsid w:val="00AA389B"/>
    <w:rsid w:val="00AA427B"/>
    <w:rsid w:val="00AA43A7"/>
    <w:rsid w:val="00AA466B"/>
    <w:rsid w:val="00AA486E"/>
    <w:rsid w:val="00AA498E"/>
    <w:rsid w:val="00AA4C93"/>
    <w:rsid w:val="00AA517D"/>
    <w:rsid w:val="00AA5231"/>
    <w:rsid w:val="00AA524C"/>
    <w:rsid w:val="00AA5479"/>
    <w:rsid w:val="00AA5971"/>
    <w:rsid w:val="00AA5B17"/>
    <w:rsid w:val="00AA6308"/>
    <w:rsid w:val="00AA6A7B"/>
    <w:rsid w:val="00AA6E9F"/>
    <w:rsid w:val="00AA6F98"/>
    <w:rsid w:val="00AA70BF"/>
    <w:rsid w:val="00AA7B25"/>
    <w:rsid w:val="00AA7BFE"/>
    <w:rsid w:val="00AA7E29"/>
    <w:rsid w:val="00AA7F76"/>
    <w:rsid w:val="00AB0293"/>
    <w:rsid w:val="00AB078A"/>
    <w:rsid w:val="00AB09A2"/>
    <w:rsid w:val="00AB0B03"/>
    <w:rsid w:val="00AB0FBA"/>
    <w:rsid w:val="00AB12BF"/>
    <w:rsid w:val="00AB14E4"/>
    <w:rsid w:val="00AB1733"/>
    <w:rsid w:val="00AB17BF"/>
    <w:rsid w:val="00AB1F79"/>
    <w:rsid w:val="00AB20CB"/>
    <w:rsid w:val="00AB2BE7"/>
    <w:rsid w:val="00AB2F06"/>
    <w:rsid w:val="00AB30DF"/>
    <w:rsid w:val="00AB3AB0"/>
    <w:rsid w:val="00AB3F07"/>
    <w:rsid w:val="00AB44E3"/>
    <w:rsid w:val="00AB4888"/>
    <w:rsid w:val="00AB5294"/>
    <w:rsid w:val="00AB54E8"/>
    <w:rsid w:val="00AB5BCA"/>
    <w:rsid w:val="00AB5E59"/>
    <w:rsid w:val="00AB61CA"/>
    <w:rsid w:val="00AB68DA"/>
    <w:rsid w:val="00AB6B17"/>
    <w:rsid w:val="00AB6DBC"/>
    <w:rsid w:val="00AB763A"/>
    <w:rsid w:val="00AB798C"/>
    <w:rsid w:val="00AC020F"/>
    <w:rsid w:val="00AC0557"/>
    <w:rsid w:val="00AC0B9C"/>
    <w:rsid w:val="00AC13E9"/>
    <w:rsid w:val="00AC1AFA"/>
    <w:rsid w:val="00AC1BC7"/>
    <w:rsid w:val="00AC1FBB"/>
    <w:rsid w:val="00AC1FF7"/>
    <w:rsid w:val="00AC2363"/>
    <w:rsid w:val="00AC2686"/>
    <w:rsid w:val="00AC26BD"/>
    <w:rsid w:val="00AC28CC"/>
    <w:rsid w:val="00AC29F0"/>
    <w:rsid w:val="00AC2B86"/>
    <w:rsid w:val="00AC2F14"/>
    <w:rsid w:val="00AC37D5"/>
    <w:rsid w:val="00AC389D"/>
    <w:rsid w:val="00AC3B58"/>
    <w:rsid w:val="00AC46E5"/>
    <w:rsid w:val="00AC48A5"/>
    <w:rsid w:val="00AC5CE7"/>
    <w:rsid w:val="00AC5D02"/>
    <w:rsid w:val="00AC6280"/>
    <w:rsid w:val="00AC6A3B"/>
    <w:rsid w:val="00AC70CE"/>
    <w:rsid w:val="00AD0213"/>
    <w:rsid w:val="00AD0241"/>
    <w:rsid w:val="00AD09F9"/>
    <w:rsid w:val="00AD0E2D"/>
    <w:rsid w:val="00AD0F1E"/>
    <w:rsid w:val="00AD0F62"/>
    <w:rsid w:val="00AD1586"/>
    <w:rsid w:val="00AD19A2"/>
    <w:rsid w:val="00AD1BE7"/>
    <w:rsid w:val="00AD1F0B"/>
    <w:rsid w:val="00AD234D"/>
    <w:rsid w:val="00AD2364"/>
    <w:rsid w:val="00AD2785"/>
    <w:rsid w:val="00AD2C6E"/>
    <w:rsid w:val="00AD33D9"/>
    <w:rsid w:val="00AD36CA"/>
    <w:rsid w:val="00AD3AA8"/>
    <w:rsid w:val="00AD3E29"/>
    <w:rsid w:val="00AD4077"/>
    <w:rsid w:val="00AD46A3"/>
    <w:rsid w:val="00AD481A"/>
    <w:rsid w:val="00AD48B4"/>
    <w:rsid w:val="00AD4D32"/>
    <w:rsid w:val="00AD5571"/>
    <w:rsid w:val="00AD56FD"/>
    <w:rsid w:val="00AD59BA"/>
    <w:rsid w:val="00AD5F5B"/>
    <w:rsid w:val="00AD6844"/>
    <w:rsid w:val="00AD6B41"/>
    <w:rsid w:val="00AD6D2E"/>
    <w:rsid w:val="00AD6D9F"/>
    <w:rsid w:val="00AD731B"/>
    <w:rsid w:val="00AD736A"/>
    <w:rsid w:val="00AD780E"/>
    <w:rsid w:val="00AD7C08"/>
    <w:rsid w:val="00AD7FA0"/>
    <w:rsid w:val="00AE00FF"/>
    <w:rsid w:val="00AE0FB2"/>
    <w:rsid w:val="00AE15EF"/>
    <w:rsid w:val="00AE18C6"/>
    <w:rsid w:val="00AE1C36"/>
    <w:rsid w:val="00AE1E9C"/>
    <w:rsid w:val="00AE21DD"/>
    <w:rsid w:val="00AE2590"/>
    <w:rsid w:val="00AE2B95"/>
    <w:rsid w:val="00AE2E46"/>
    <w:rsid w:val="00AE33F5"/>
    <w:rsid w:val="00AE378A"/>
    <w:rsid w:val="00AE3972"/>
    <w:rsid w:val="00AE4237"/>
    <w:rsid w:val="00AE4805"/>
    <w:rsid w:val="00AE5950"/>
    <w:rsid w:val="00AE5B49"/>
    <w:rsid w:val="00AE602E"/>
    <w:rsid w:val="00AE60E4"/>
    <w:rsid w:val="00AE6598"/>
    <w:rsid w:val="00AE69E0"/>
    <w:rsid w:val="00AE7B05"/>
    <w:rsid w:val="00AF071A"/>
    <w:rsid w:val="00AF0B9C"/>
    <w:rsid w:val="00AF0D3C"/>
    <w:rsid w:val="00AF0E26"/>
    <w:rsid w:val="00AF159C"/>
    <w:rsid w:val="00AF1A53"/>
    <w:rsid w:val="00AF27DA"/>
    <w:rsid w:val="00AF288E"/>
    <w:rsid w:val="00AF2BC8"/>
    <w:rsid w:val="00AF2D91"/>
    <w:rsid w:val="00AF306F"/>
    <w:rsid w:val="00AF34DD"/>
    <w:rsid w:val="00AF3992"/>
    <w:rsid w:val="00AF4161"/>
    <w:rsid w:val="00AF45F4"/>
    <w:rsid w:val="00AF4720"/>
    <w:rsid w:val="00AF4A35"/>
    <w:rsid w:val="00AF4A3A"/>
    <w:rsid w:val="00AF4B27"/>
    <w:rsid w:val="00AF4FB9"/>
    <w:rsid w:val="00AF51BF"/>
    <w:rsid w:val="00AF576C"/>
    <w:rsid w:val="00AF5EA9"/>
    <w:rsid w:val="00AF5F81"/>
    <w:rsid w:val="00AF6572"/>
    <w:rsid w:val="00AF6E80"/>
    <w:rsid w:val="00AF7165"/>
    <w:rsid w:val="00AF74C9"/>
    <w:rsid w:val="00AF7C4D"/>
    <w:rsid w:val="00AF7FC7"/>
    <w:rsid w:val="00AF7FE7"/>
    <w:rsid w:val="00B009A8"/>
    <w:rsid w:val="00B009B0"/>
    <w:rsid w:val="00B00A92"/>
    <w:rsid w:val="00B00C6E"/>
    <w:rsid w:val="00B00F62"/>
    <w:rsid w:val="00B016B7"/>
    <w:rsid w:val="00B01A86"/>
    <w:rsid w:val="00B01ABB"/>
    <w:rsid w:val="00B02DA9"/>
    <w:rsid w:val="00B0419E"/>
    <w:rsid w:val="00B04726"/>
    <w:rsid w:val="00B047CD"/>
    <w:rsid w:val="00B0486E"/>
    <w:rsid w:val="00B04AC8"/>
    <w:rsid w:val="00B04F88"/>
    <w:rsid w:val="00B0521E"/>
    <w:rsid w:val="00B05EBE"/>
    <w:rsid w:val="00B0611C"/>
    <w:rsid w:val="00B06504"/>
    <w:rsid w:val="00B06901"/>
    <w:rsid w:val="00B06B3A"/>
    <w:rsid w:val="00B06EEC"/>
    <w:rsid w:val="00B070D0"/>
    <w:rsid w:val="00B07965"/>
    <w:rsid w:val="00B07A21"/>
    <w:rsid w:val="00B101AB"/>
    <w:rsid w:val="00B109B7"/>
    <w:rsid w:val="00B10A7E"/>
    <w:rsid w:val="00B10D83"/>
    <w:rsid w:val="00B10E97"/>
    <w:rsid w:val="00B10EFA"/>
    <w:rsid w:val="00B11668"/>
    <w:rsid w:val="00B11CA0"/>
    <w:rsid w:val="00B12AB5"/>
    <w:rsid w:val="00B12B66"/>
    <w:rsid w:val="00B13335"/>
    <w:rsid w:val="00B136FF"/>
    <w:rsid w:val="00B13CF5"/>
    <w:rsid w:val="00B14E58"/>
    <w:rsid w:val="00B15527"/>
    <w:rsid w:val="00B155EC"/>
    <w:rsid w:val="00B15704"/>
    <w:rsid w:val="00B159DD"/>
    <w:rsid w:val="00B16206"/>
    <w:rsid w:val="00B16477"/>
    <w:rsid w:val="00B1748D"/>
    <w:rsid w:val="00B17752"/>
    <w:rsid w:val="00B17EAE"/>
    <w:rsid w:val="00B204D6"/>
    <w:rsid w:val="00B207FE"/>
    <w:rsid w:val="00B20FDF"/>
    <w:rsid w:val="00B21493"/>
    <w:rsid w:val="00B2323D"/>
    <w:rsid w:val="00B2396E"/>
    <w:rsid w:val="00B23AA9"/>
    <w:rsid w:val="00B23EC2"/>
    <w:rsid w:val="00B23F21"/>
    <w:rsid w:val="00B2424C"/>
    <w:rsid w:val="00B24786"/>
    <w:rsid w:val="00B253D7"/>
    <w:rsid w:val="00B254C3"/>
    <w:rsid w:val="00B25AA1"/>
    <w:rsid w:val="00B25AF9"/>
    <w:rsid w:val="00B26A64"/>
    <w:rsid w:val="00B26F28"/>
    <w:rsid w:val="00B27202"/>
    <w:rsid w:val="00B2723C"/>
    <w:rsid w:val="00B273FC"/>
    <w:rsid w:val="00B27C88"/>
    <w:rsid w:val="00B27C91"/>
    <w:rsid w:val="00B27E7E"/>
    <w:rsid w:val="00B30736"/>
    <w:rsid w:val="00B30755"/>
    <w:rsid w:val="00B30B26"/>
    <w:rsid w:val="00B30FC4"/>
    <w:rsid w:val="00B31476"/>
    <w:rsid w:val="00B31733"/>
    <w:rsid w:val="00B3282A"/>
    <w:rsid w:val="00B328A5"/>
    <w:rsid w:val="00B32A79"/>
    <w:rsid w:val="00B335C3"/>
    <w:rsid w:val="00B33BBD"/>
    <w:rsid w:val="00B34A40"/>
    <w:rsid w:val="00B34D51"/>
    <w:rsid w:val="00B352BB"/>
    <w:rsid w:val="00B352E6"/>
    <w:rsid w:val="00B35439"/>
    <w:rsid w:val="00B3554F"/>
    <w:rsid w:val="00B3571E"/>
    <w:rsid w:val="00B35B7E"/>
    <w:rsid w:val="00B35BD1"/>
    <w:rsid w:val="00B367C3"/>
    <w:rsid w:val="00B371D8"/>
    <w:rsid w:val="00B374CE"/>
    <w:rsid w:val="00B40603"/>
    <w:rsid w:val="00B41665"/>
    <w:rsid w:val="00B41FCE"/>
    <w:rsid w:val="00B42169"/>
    <w:rsid w:val="00B4272F"/>
    <w:rsid w:val="00B42E3E"/>
    <w:rsid w:val="00B435CD"/>
    <w:rsid w:val="00B43C57"/>
    <w:rsid w:val="00B446C6"/>
    <w:rsid w:val="00B44A73"/>
    <w:rsid w:val="00B44DC3"/>
    <w:rsid w:val="00B44DCB"/>
    <w:rsid w:val="00B450B3"/>
    <w:rsid w:val="00B45C90"/>
    <w:rsid w:val="00B4667D"/>
    <w:rsid w:val="00B46F7A"/>
    <w:rsid w:val="00B471AD"/>
    <w:rsid w:val="00B47467"/>
    <w:rsid w:val="00B47B3C"/>
    <w:rsid w:val="00B50453"/>
    <w:rsid w:val="00B507E1"/>
    <w:rsid w:val="00B50A90"/>
    <w:rsid w:val="00B50DB4"/>
    <w:rsid w:val="00B510B5"/>
    <w:rsid w:val="00B51882"/>
    <w:rsid w:val="00B5188A"/>
    <w:rsid w:val="00B51C09"/>
    <w:rsid w:val="00B52DA8"/>
    <w:rsid w:val="00B535EF"/>
    <w:rsid w:val="00B53A3B"/>
    <w:rsid w:val="00B53A65"/>
    <w:rsid w:val="00B5410D"/>
    <w:rsid w:val="00B548D8"/>
    <w:rsid w:val="00B54A06"/>
    <w:rsid w:val="00B55AB5"/>
    <w:rsid w:val="00B56172"/>
    <w:rsid w:val="00B56217"/>
    <w:rsid w:val="00B562FB"/>
    <w:rsid w:val="00B569B5"/>
    <w:rsid w:val="00B56A06"/>
    <w:rsid w:val="00B57052"/>
    <w:rsid w:val="00B575BB"/>
    <w:rsid w:val="00B577A1"/>
    <w:rsid w:val="00B577EF"/>
    <w:rsid w:val="00B57C34"/>
    <w:rsid w:val="00B608A2"/>
    <w:rsid w:val="00B60F8C"/>
    <w:rsid w:val="00B61205"/>
    <w:rsid w:val="00B61434"/>
    <w:rsid w:val="00B61638"/>
    <w:rsid w:val="00B6178E"/>
    <w:rsid w:val="00B617A3"/>
    <w:rsid w:val="00B61A42"/>
    <w:rsid w:val="00B61FE6"/>
    <w:rsid w:val="00B6241E"/>
    <w:rsid w:val="00B626A6"/>
    <w:rsid w:val="00B62F7D"/>
    <w:rsid w:val="00B6496A"/>
    <w:rsid w:val="00B6516A"/>
    <w:rsid w:val="00B65D60"/>
    <w:rsid w:val="00B6637A"/>
    <w:rsid w:val="00B664AE"/>
    <w:rsid w:val="00B666A4"/>
    <w:rsid w:val="00B66FC9"/>
    <w:rsid w:val="00B673B1"/>
    <w:rsid w:val="00B676D6"/>
    <w:rsid w:val="00B67A57"/>
    <w:rsid w:val="00B67BD6"/>
    <w:rsid w:val="00B705A2"/>
    <w:rsid w:val="00B70C1E"/>
    <w:rsid w:val="00B70ED2"/>
    <w:rsid w:val="00B71484"/>
    <w:rsid w:val="00B714BA"/>
    <w:rsid w:val="00B71AFF"/>
    <w:rsid w:val="00B71B00"/>
    <w:rsid w:val="00B72240"/>
    <w:rsid w:val="00B72BD6"/>
    <w:rsid w:val="00B72CFD"/>
    <w:rsid w:val="00B72FFD"/>
    <w:rsid w:val="00B7334E"/>
    <w:rsid w:val="00B73459"/>
    <w:rsid w:val="00B7401E"/>
    <w:rsid w:val="00B746D1"/>
    <w:rsid w:val="00B74C53"/>
    <w:rsid w:val="00B75051"/>
    <w:rsid w:val="00B75E59"/>
    <w:rsid w:val="00B76BC5"/>
    <w:rsid w:val="00B76CDC"/>
    <w:rsid w:val="00B77196"/>
    <w:rsid w:val="00B77563"/>
    <w:rsid w:val="00B775B3"/>
    <w:rsid w:val="00B8030B"/>
    <w:rsid w:val="00B80740"/>
    <w:rsid w:val="00B80AD8"/>
    <w:rsid w:val="00B80BA4"/>
    <w:rsid w:val="00B81091"/>
    <w:rsid w:val="00B8111B"/>
    <w:rsid w:val="00B8114A"/>
    <w:rsid w:val="00B812E4"/>
    <w:rsid w:val="00B8145B"/>
    <w:rsid w:val="00B81836"/>
    <w:rsid w:val="00B81C03"/>
    <w:rsid w:val="00B81D67"/>
    <w:rsid w:val="00B81DFD"/>
    <w:rsid w:val="00B81E8C"/>
    <w:rsid w:val="00B82135"/>
    <w:rsid w:val="00B82669"/>
    <w:rsid w:val="00B8279C"/>
    <w:rsid w:val="00B82B07"/>
    <w:rsid w:val="00B82DCC"/>
    <w:rsid w:val="00B83B93"/>
    <w:rsid w:val="00B84F0D"/>
    <w:rsid w:val="00B86735"/>
    <w:rsid w:val="00B8679A"/>
    <w:rsid w:val="00B86B98"/>
    <w:rsid w:val="00B872D6"/>
    <w:rsid w:val="00B875B8"/>
    <w:rsid w:val="00B87E07"/>
    <w:rsid w:val="00B90F0D"/>
    <w:rsid w:val="00B911C9"/>
    <w:rsid w:val="00B91C34"/>
    <w:rsid w:val="00B91D25"/>
    <w:rsid w:val="00B91F7E"/>
    <w:rsid w:val="00B91FD8"/>
    <w:rsid w:val="00B9275C"/>
    <w:rsid w:val="00B927F9"/>
    <w:rsid w:val="00B928B9"/>
    <w:rsid w:val="00B92DDF"/>
    <w:rsid w:val="00B930DE"/>
    <w:rsid w:val="00B933B8"/>
    <w:rsid w:val="00B937B2"/>
    <w:rsid w:val="00B93A31"/>
    <w:rsid w:val="00B94522"/>
    <w:rsid w:val="00B94D32"/>
    <w:rsid w:val="00B94E92"/>
    <w:rsid w:val="00B95122"/>
    <w:rsid w:val="00B95261"/>
    <w:rsid w:val="00B95594"/>
    <w:rsid w:val="00B966E7"/>
    <w:rsid w:val="00B96899"/>
    <w:rsid w:val="00B96A1B"/>
    <w:rsid w:val="00B96E32"/>
    <w:rsid w:val="00B96F12"/>
    <w:rsid w:val="00B976E2"/>
    <w:rsid w:val="00B97803"/>
    <w:rsid w:val="00BA0348"/>
    <w:rsid w:val="00BA063A"/>
    <w:rsid w:val="00BA0A62"/>
    <w:rsid w:val="00BA1334"/>
    <w:rsid w:val="00BA16ED"/>
    <w:rsid w:val="00BA1810"/>
    <w:rsid w:val="00BA20FA"/>
    <w:rsid w:val="00BA3491"/>
    <w:rsid w:val="00BA3956"/>
    <w:rsid w:val="00BA4233"/>
    <w:rsid w:val="00BA4426"/>
    <w:rsid w:val="00BA4B40"/>
    <w:rsid w:val="00BA4D1F"/>
    <w:rsid w:val="00BA5400"/>
    <w:rsid w:val="00BA5639"/>
    <w:rsid w:val="00BA5695"/>
    <w:rsid w:val="00BA57F5"/>
    <w:rsid w:val="00BA5B88"/>
    <w:rsid w:val="00BA5C27"/>
    <w:rsid w:val="00BA5EE5"/>
    <w:rsid w:val="00BA70F0"/>
    <w:rsid w:val="00BA72C0"/>
    <w:rsid w:val="00BA7315"/>
    <w:rsid w:val="00BA74E2"/>
    <w:rsid w:val="00BA7A28"/>
    <w:rsid w:val="00BA7E25"/>
    <w:rsid w:val="00BA7E7D"/>
    <w:rsid w:val="00BB0342"/>
    <w:rsid w:val="00BB092D"/>
    <w:rsid w:val="00BB0AC1"/>
    <w:rsid w:val="00BB1A9F"/>
    <w:rsid w:val="00BB1C2F"/>
    <w:rsid w:val="00BB1CA2"/>
    <w:rsid w:val="00BB1CF4"/>
    <w:rsid w:val="00BB1E37"/>
    <w:rsid w:val="00BB20BF"/>
    <w:rsid w:val="00BB21BD"/>
    <w:rsid w:val="00BB2537"/>
    <w:rsid w:val="00BB2DA9"/>
    <w:rsid w:val="00BB311E"/>
    <w:rsid w:val="00BB335E"/>
    <w:rsid w:val="00BB38DA"/>
    <w:rsid w:val="00BB3D34"/>
    <w:rsid w:val="00BB42FF"/>
    <w:rsid w:val="00BB44ED"/>
    <w:rsid w:val="00BB47AF"/>
    <w:rsid w:val="00BB4863"/>
    <w:rsid w:val="00BB4EA0"/>
    <w:rsid w:val="00BB536F"/>
    <w:rsid w:val="00BB5465"/>
    <w:rsid w:val="00BB548C"/>
    <w:rsid w:val="00BB5934"/>
    <w:rsid w:val="00BB5B4B"/>
    <w:rsid w:val="00BB5BDC"/>
    <w:rsid w:val="00BB61C7"/>
    <w:rsid w:val="00BB6992"/>
    <w:rsid w:val="00BB6A61"/>
    <w:rsid w:val="00BB6BFA"/>
    <w:rsid w:val="00BB6EE6"/>
    <w:rsid w:val="00BB792D"/>
    <w:rsid w:val="00BB79CB"/>
    <w:rsid w:val="00BB7A08"/>
    <w:rsid w:val="00BB7F98"/>
    <w:rsid w:val="00BC01BA"/>
    <w:rsid w:val="00BC01D7"/>
    <w:rsid w:val="00BC0291"/>
    <w:rsid w:val="00BC0809"/>
    <w:rsid w:val="00BC09C3"/>
    <w:rsid w:val="00BC09F5"/>
    <w:rsid w:val="00BC0AEA"/>
    <w:rsid w:val="00BC0DB6"/>
    <w:rsid w:val="00BC11CC"/>
    <w:rsid w:val="00BC132A"/>
    <w:rsid w:val="00BC155B"/>
    <w:rsid w:val="00BC1774"/>
    <w:rsid w:val="00BC1AE3"/>
    <w:rsid w:val="00BC1B4D"/>
    <w:rsid w:val="00BC1EFE"/>
    <w:rsid w:val="00BC2534"/>
    <w:rsid w:val="00BC2955"/>
    <w:rsid w:val="00BC2B68"/>
    <w:rsid w:val="00BC2CA1"/>
    <w:rsid w:val="00BC317E"/>
    <w:rsid w:val="00BC41C0"/>
    <w:rsid w:val="00BC4ABF"/>
    <w:rsid w:val="00BC58DA"/>
    <w:rsid w:val="00BC5C2A"/>
    <w:rsid w:val="00BC5FE9"/>
    <w:rsid w:val="00BC66A1"/>
    <w:rsid w:val="00BC67C2"/>
    <w:rsid w:val="00BC6986"/>
    <w:rsid w:val="00BC6A2A"/>
    <w:rsid w:val="00BC711A"/>
    <w:rsid w:val="00BC7412"/>
    <w:rsid w:val="00BC7AD7"/>
    <w:rsid w:val="00BC7E32"/>
    <w:rsid w:val="00BD0981"/>
    <w:rsid w:val="00BD1174"/>
    <w:rsid w:val="00BD1192"/>
    <w:rsid w:val="00BD11A5"/>
    <w:rsid w:val="00BD1F23"/>
    <w:rsid w:val="00BD22A9"/>
    <w:rsid w:val="00BD2659"/>
    <w:rsid w:val="00BD27D3"/>
    <w:rsid w:val="00BD2826"/>
    <w:rsid w:val="00BD2AB1"/>
    <w:rsid w:val="00BD339C"/>
    <w:rsid w:val="00BD3678"/>
    <w:rsid w:val="00BD41E9"/>
    <w:rsid w:val="00BD4868"/>
    <w:rsid w:val="00BD4981"/>
    <w:rsid w:val="00BD4C5C"/>
    <w:rsid w:val="00BD4D70"/>
    <w:rsid w:val="00BD4F90"/>
    <w:rsid w:val="00BD53E3"/>
    <w:rsid w:val="00BD62A3"/>
    <w:rsid w:val="00BD6725"/>
    <w:rsid w:val="00BD6B2A"/>
    <w:rsid w:val="00BD6C25"/>
    <w:rsid w:val="00BD6E27"/>
    <w:rsid w:val="00BD6F03"/>
    <w:rsid w:val="00BD77FE"/>
    <w:rsid w:val="00BD7F13"/>
    <w:rsid w:val="00BE0176"/>
    <w:rsid w:val="00BE0220"/>
    <w:rsid w:val="00BE0653"/>
    <w:rsid w:val="00BE07EB"/>
    <w:rsid w:val="00BE0844"/>
    <w:rsid w:val="00BE09BA"/>
    <w:rsid w:val="00BE13C1"/>
    <w:rsid w:val="00BE1623"/>
    <w:rsid w:val="00BE17B9"/>
    <w:rsid w:val="00BE1867"/>
    <w:rsid w:val="00BE1B19"/>
    <w:rsid w:val="00BE25C1"/>
    <w:rsid w:val="00BE2674"/>
    <w:rsid w:val="00BE2C33"/>
    <w:rsid w:val="00BE31CC"/>
    <w:rsid w:val="00BE31F0"/>
    <w:rsid w:val="00BE33C3"/>
    <w:rsid w:val="00BE39C9"/>
    <w:rsid w:val="00BE477C"/>
    <w:rsid w:val="00BE4B4A"/>
    <w:rsid w:val="00BE4D21"/>
    <w:rsid w:val="00BE5536"/>
    <w:rsid w:val="00BE58D7"/>
    <w:rsid w:val="00BE5A7C"/>
    <w:rsid w:val="00BE5E74"/>
    <w:rsid w:val="00BE606D"/>
    <w:rsid w:val="00BE6633"/>
    <w:rsid w:val="00BE6C48"/>
    <w:rsid w:val="00BE6D1E"/>
    <w:rsid w:val="00BE6F91"/>
    <w:rsid w:val="00BE709D"/>
    <w:rsid w:val="00BE7307"/>
    <w:rsid w:val="00BE7604"/>
    <w:rsid w:val="00BF0725"/>
    <w:rsid w:val="00BF0835"/>
    <w:rsid w:val="00BF0A6B"/>
    <w:rsid w:val="00BF1948"/>
    <w:rsid w:val="00BF1AD2"/>
    <w:rsid w:val="00BF20C2"/>
    <w:rsid w:val="00BF2272"/>
    <w:rsid w:val="00BF2713"/>
    <w:rsid w:val="00BF2830"/>
    <w:rsid w:val="00BF2B4A"/>
    <w:rsid w:val="00BF2FA9"/>
    <w:rsid w:val="00BF2FFF"/>
    <w:rsid w:val="00BF329C"/>
    <w:rsid w:val="00BF3A0E"/>
    <w:rsid w:val="00BF3D3A"/>
    <w:rsid w:val="00BF3E1E"/>
    <w:rsid w:val="00BF4021"/>
    <w:rsid w:val="00BF47B7"/>
    <w:rsid w:val="00BF510E"/>
    <w:rsid w:val="00BF5156"/>
    <w:rsid w:val="00BF57B9"/>
    <w:rsid w:val="00BF5F0C"/>
    <w:rsid w:val="00BF6EEE"/>
    <w:rsid w:val="00BF73AF"/>
    <w:rsid w:val="00BF7858"/>
    <w:rsid w:val="00BF7C24"/>
    <w:rsid w:val="00C00975"/>
    <w:rsid w:val="00C00CC3"/>
    <w:rsid w:val="00C010C7"/>
    <w:rsid w:val="00C01891"/>
    <w:rsid w:val="00C01991"/>
    <w:rsid w:val="00C01D28"/>
    <w:rsid w:val="00C01D31"/>
    <w:rsid w:val="00C0226B"/>
    <w:rsid w:val="00C02374"/>
    <w:rsid w:val="00C027A1"/>
    <w:rsid w:val="00C027C6"/>
    <w:rsid w:val="00C032DC"/>
    <w:rsid w:val="00C03867"/>
    <w:rsid w:val="00C039BB"/>
    <w:rsid w:val="00C03E1C"/>
    <w:rsid w:val="00C041D8"/>
    <w:rsid w:val="00C0428D"/>
    <w:rsid w:val="00C042C3"/>
    <w:rsid w:val="00C0463B"/>
    <w:rsid w:val="00C05457"/>
    <w:rsid w:val="00C056A4"/>
    <w:rsid w:val="00C0570C"/>
    <w:rsid w:val="00C059B5"/>
    <w:rsid w:val="00C059D6"/>
    <w:rsid w:val="00C05F43"/>
    <w:rsid w:val="00C06310"/>
    <w:rsid w:val="00C06603"/>
    <w:rsid w:val="00C06A9B"/>
    <w:rsid w:val="00C06CB3"/>
    <w:rsid w:val="00C06FF0"/>
    <w:rsid w:val="00C0731F"/>
    <w:rsid w:val="00C07C32"/>
    <w:rsid w:val="00C07E71"/>
    <w:rsid w:val="00C10C3D"/>
    <w:rsid w:val="00C110E9"/>
    <w:rsid w:val="00C115E8"/>
    <w:rsid w:val="00C116D5"/>
    <w:rsid w:val="00C11BFA"/>
    <w:rsid w:val="00C11C32"/>
    <w:rsid w:val="00C121CD"/>
    <w:rsid w:val="00C12689"/>
    <w:rsid w:val="00C12744"/>
    <w:rsid w:val="00C12A6E"/>
    <w:rsid w:val="00C135BA"/>
    <w:rsid w:val="00C13CA5"/>
    <w:rsid w:val="00C13EF6"/>
    <w:rsid w:val="00C14CD9"/>
    <w:rsid w:val="00C14D20"/>
    <w:rsid w:val="00C150D2"/>
    <w:rsid w:val="00C153CA"/>
    <w:rsid w:val="00C15A0B"/>
    <w:rsid w:val="00C15E0E"/>
    <w:rsid w:val="00C15F1E"/>
    <w:rsid w:val="00C16220"/>
    <w:rsid w:val="00C163A8"/>
    <w:rsid w:val="00C163ED"/>
    <w:rsid w:val="00C165AA"/>
    <w:rsid w:val="00C17070"/>
    <w:rsid w:val="00C175AC"/>
    <w:rsid w:val="00C177D4"/>
    <w:rsid w:val="00C2036B"/>
    <w:rsid w:val="00C204A5"/>
    <w:rsid w:val="00C20C84"/>
    <w:rsid w:val="00C21115"/>
    <w:rsid w:val="00C21A96"/>
    <w:rsid w:val="00C22047"/>
    <w:rsid w:val="00C22272"/>
    <w:rsid w:val="00C224F5"/>
    <w:rsid w:val="00C22968"/>
    <w:rsid w:val="00C22E0B"/>
    <w:rsid w:val="00C23258"/>
    <w:rsid w:val="00C2328F"/>
    <w:rsid w:val="00C234BC"/>
    <w:rsid w:val="00C23826"/>
    <w:rsid w:val="00C239B8"/>
    <w:rsid w:val="00C23E82"/>
    <w:rsid w:val="00C2427C"/>
    <w:rsid w:val="00C24426"/>
    <w:rsid w:val="00C24437"/>
    <w:rsid w:val="00C24628"/>
    <w:rsid w:val="00C248B8"/>
    <w:rsid w:val="00C24990"/>
    <w:rsid w:val="00C24DB9"/>
    <w:rsid w:val="00C2529B"/>
    <w:rsid w:val="00C25D14"/>
    <w:rsid w:val="00C260E1"/>
    <w:rsid w:val="00C26560"/>
    <w:rsid w:val="00C26D41"/>
    <w:rsid w:val="00C27FF0"/>
    <w:rsid w:val="00C30FB9"/>
    <w:rsid w:val="00C31158"/>
    <w:rsid w:val="00C319AF"/>
    <w:rsid w:val="00C325FF"/>
    <w:rsid w:val="00C32714"/>
    <w:rsid w:val="00C332E9"/>
    <w:rsid w:val="00C3353E"/>
    <w:rsid w:val="00C33771"/>
    <w:rsid w:val="00C3390B"/>
    <w:rsid w:val="00C33D65"/>
    <w:rsid w:val="00C34AEA"/>
    <w:rsid w:val="00C35747"/>
    <w:rsid w:val="00C35AE3"/>
    <w:rsid w:val="00C35ED8"/>
    <w:rsid w:val="00C362F1"/>
    <w:rsid w:val="00C3657C"/>
    <w:rsid w:val="00C37289"/>
    <w:rsid w:val="00C37940"/>
    <w:rsid w:val="00C37B4B"/>
    <w:rsid w:val="00C40087"/>
    <w:rsid w:val="00C407DB"/>
    <w:rsid w:val="00C40ADE"/>
    <w:rsid w:val="00C40B3E"/>
    <w:rsid w:val="00C40E0B"/>
    <w:rsid w:val="00C41773"/>
    <w:rsid w:val="00C4209C"/>
    <w:rsid w:val="00C4278E"/>
    <w:rsid w:val="00C429B2"/>
    <w:rsid w:val="00C42E86"/>
    <w:rsid w:val="00C43021"/>
    <w:rsid w:val="00C43690"/>
    <w:rsid w:val="00C44112"/>
    <w:rsid w:val="00C446E2"/>
    <w:rsid w:val="00C447F0"/>
    <w:rsid w:val="00C44BBF"/>
    <w:rsid w:val="00C4512A"/>
    <w:rsid w:val="00C4539A"/>
    <w:rsid w:val="00C45EE6"/>
    <w:rsid w:val="00C46473"/>
    <w:rsid w:val="00C465E5"/>
    <w:rsid w:val="00C4679A"/>
    <w:rsid w:val="00C471E5"/>
    <w:rsid w:val="00C471FE"/>
    <w:rsid w:val="00C47BFD"/>
    <w:rsid w:val="00C47CE9"/>
    <w:rsid w:val="00C502D7"/>
    <w:rsid w:val="00C5098C"/>
    <w:rsid w:val="00C50C8F"/>
    <w:rsid w:val="00C50DCA"/>
    <w:rsid w:val="00C50DED"/>
    <w:rsid w:val="00C50F18"/>
    <w:rsid w:val="00C51519"/>
    <w:rsid w:val="00C516A9"/>
    <w:rsid w:val="00C5185B"/>
    <w:rsid w:val="00C51ABB"/>
    <w:rsid w:val="00C51DFE"/>
    <w:rsid w:val="00C51F22"/>
    <w:rsid w:val="00C52128"/>
    <w:rsid w:val="00C5308A"/>
    <w:rsid w:val="00C532C0"/>
    <w:rsid w:val="00C534AB"/>
    <w:rsid w:val="00C53576"/>
    <w:rsid w:val="00C53970"/>
    <w:rsid w:val="00C53A36"/>
    <w:rsid w:val="00C53FE4"/>
    <w:rsid w:val="00C540DD"/>
    <w:rsid w:val="00C541B2"/>
    <w:rsid w:val="00C54C3B"/>
    <w:rsid w:val="00C5508E"/>
    <w:rsid w:val="00C55206"/>
    <w:rsid w:val="00C55282"/>
    <w:rsid w:val="00C55A75"/>
    <w:rsid w:val="00C55D59"/>
    <w:rsid w:val="00C56ACC"/>
    <w:rsid w:val="00C571AE"/>
    <w:rsid w:val="00C572A2"/>
    <w:rsid w:val="00C572BE"/>
    <w:rsid w:val="00C575CE"/>
    <w:rsid w:val="00C5772A"/>
    <w:rsid w:val="00C57DD7"/>
    <w:rsid w:val="00C57E1E"/>
    <w:rsid w:val="00C60612"/>
    <w:rsid w:val="00C60977"/>
    <w:rsid w:val="00C6178C"/>
    <w:rsid w:val="00C61F02"/>
    <w:rsid w:val="00C62132"/>
    <w:rsid w:val="00C623B7"/>
    <w:rsid w:val="00C637BD"/>
    <w:rsid w:val="00C63BC4"/>
    <w:rsid w:val="00C64363"/>
    <w:rsid w:val="00C644A2"/>
    <w:rsid w:val="00C6480C"/>
    <w:rsid w:val="00C64B7C"/>
    <w:rsid w:val="00C64D03"/>
    <w:rsid w:val="00C64E96"/>
    <w:rsid w:val="00C64F34"/>
    <w:rsid w:val="00C65102"/>
    <w:rsid w:val="00C65DE2"/>
    <w:rsid w:val="00C662EA"/>
    <w:rsid w:val="00C6642D"/>
    <w:rsid w:val="00C66761"/>
    <w:rsid w:val="00C66919"/>
    <w:rsid w:val="00C66ABE"/>
    <w:rsid w:val="00C67212"/>
    <w:rsid w:val="00C67A4E"/>
    <w:rsid w:val="00C67CB5"/>
    <w:rsid w:val="00C7073A"/>
    <w:rsid w:val="00C70964"/>
    <w:rsid w:val="00C71DD2"/>
    <w:rsid w:val="00C71EAA"/>
    <w:rsid w:val="00C71F5E"/>
    <w:rsid w:val="00C72420"/>
    <w:rsid w:val="00C724D7"/>
    <w:rsid w:val="00C727F8"/>
    <w:rsid w:val="00C72C6A"/>
    <w:rsid w:val="00C72C7F"/>
    <w:rsid w:val="00C73151"/>
    <w:rsid w:val="00C7383B"/>
    <w:rsid w:val="00C73922"/>
    <w:rsid w:val="00C73CEF"/>
    <w:rsid w:val="00C741F6"/>
    <w:rsid w:val="00C74404"/>
    <w:rsid w:val="00C74A35"/>
    <w:rsid w:val="00C74CD6"/>
    <w:rsid w:val="00C75149"/>
    <w:rsid w:val="00C755FD"/>
    <w:rsid w:val="00C75673"/>
    <w:rsid w:val="00C75739"/>
    <w:rsid w:val="00C75A7A"/>
    <w:rsid w:val="00C75B09"/>
    <w:rsid w:val="00C75B24"/>
    <w:rsid w:val="00C7625E"/>
    <w:rsid w:val="00C763A7"/>
    <w:rsid w:val="00C76DBD"/>
    <w:rsid w:val="00C77835"/>
    <w:rsid w:val="00C80065"/>
    <w:rsid w:val="00C805B4"/>
    <w:rsid w:val="00C8093A"/>
    <w:rsid w:val="00C80C8B"/>
    <w:rsid w:val="00C80EC7"/>
    <w:rsid w:val="00C81290"/>
    <w:rsid w:val="00C81951"/>
    <w:rsid w:val="00C81B7F"/>
    <w:rsid w:val="00C81FE4"/>
    <w:rsid w:val="00C82784"/>
    <w:rsid w:val="00C8382F"/>
    <w:rsid w:val="00C83B22"/>
    <w:rsid w:val="00C84618"/>
    <w:rsid w:val="00C84B95"/>
    <w:rsid w:val="00C84D6A"/>
    <w:rsid w:val="00C8517B"/>
    <w:rsid w:val="00C853FC"/>
    <w:rsid w:val="00C85765"/>
    <w:rsid w:val="00C85D05"/>
    <w:rsid w:val="00C85FF0"/>
    <w:rsid w:val="00C86825"/>
    <w:rsid w:val="00C86C32"/>
    <w:rsid w:val="00C86E07"/>
    <w:rsid w:val="00C86FE0"/>
    <w:rsid w:val="00C871BE"/>
    <w:rsid w:val="00C87262"/>
    <w:rsid w:val="00C87709"/>
    <w:rsid w:val="00C87721"/>
    <w:rsid w:val="00C87EB1"/>
    <w:rsid w:val="00C90815"/>
    <w:rsid w:val="00C9084D"/>
    <w:rsid w:val="00C90932"/>
    <w:rsid w:val="00C90CA7"/>
    <w:rsid w:val="00C917AB"/>
    <w:rsid w:val="00C9246E"/>
    <w:rsid w:val="00C9264A"/>
    <w:rsid w:val="00C926BC"/>
    <w:rsid w:val="00C92AAA"/>
    <w:rsid w:val="00C92C9C"/>
    <w:rsid w:val="00C92F28"/>
    <w:rsid w:val="00C93818"/>
    <w:rsid w:val="00C93CFF"/>
    <w:rsid w:val="00C945F2"/>
    <w:rsid w:val="00C94867"/>
    <w:rsid w:val="00C94885"/>
    <w:rsid w:val="00C94AED"/>
    <w:rsid w:val="00C94FFB"/>
    <w:rsid w:val="00C9541E"/>
    <w:rsid w:val="00C956DF"/>
    <w:rsid w:val="00C95957"/>
    <w:rsid w:val="00C95B2F"/>
    <w:rsid w:val="00C95CCD"/>
    <w:rsid w:val="00C95F8E"/>
    <w:rsid w:val="00C96A51"/>
    <w:rsid w:val="00C96BBE"/>
    <w:rsid w:val="00C971F6"/>
    <w:rsid w:val="00C9754D"/>
    <w:rsid w:val="00C9755C"/>
    <w:rsid w:val="00C97B7E"/>
    <w:rsid w:val="00C97E56"/>
    <w:rsid w:val="00CA0746"/>
    <w:rsid w:val="00CA0835"/>
    <w:rsid w:val="00CA1256"/>
    <w:rsid w:val="00CA1334"/>
    <w:rsid w:val="00CA1BA4"/>
    <w:rsid w:val="00CA1D8F"/>
    <w:rsid w:val="00CA1E55"/>
    <w:rsid w:val="00CA2197"/>
    <w:rsid w:val="00CA3783"/>
    <w:rsid w:val="00CA3B3C"/>
    <w:rsid w:val="00CA4309"/>
    <w:rsid w:val="00CA5A28"/>
    <w:rsid w:val="00CA5C8E"/>
    <w:rsid w:val="00CA67F5"/>
    <w:rsid w:val="00CA6C96"/>
    <w:rsid w:val="00CA7582"/>
    <w:rsid w:val="00CB00A0"/>
    <w:rsid w:val="00CB0784"/>
    <w:rsid w:val="00CB09A8"/>
    <w:rsid w:val="00CB0C0A"/>
    <w:rsid w:val="00CB0D77"/>
    <w:rsid w:val="00CB167C"/>
    <w:rsid w:val="00CB19D5"/>
    <w:rsid w:val="00CB1BC9"/>
    <w:rsid w:val="00CB1C46"/>
    <w:rsid w:val="00CB229B"/>
    <w:rsid w:val="00CB2C3F"/>
    <w:rsid w:val="00CB2F7B"/>
    <w:rsid w:val="00CB3048"/>
    <w:rsid w:val="00CB30D3"/>
    <w:rsid w:val="00CB34F5"/>
    <w:rsid w:val="00CB4924"/>
    <w:rsid w:val="00CB5527"/>
    <w:rsid w:val="00CB55B2"/>
    <w:rsid w:val="00CB5D8A"/>
    <w:rsid w:val="00CB63E8"/>
    <w:rsid w:val="00CB67FD"/>
    <w:rsid w:val="00CB6B2C"/>
    <w:rsid w:val="00CB751B"/>
    <w:rsid w:val="00CB77B7"/>
    <w:rsid w:val="00CB7AB4"/>
    <w:rsid w:val="00CB7AF4"/>
    <w:rsid w:val="00CB7DC2"/>
    <w:rsid w:val="00CB7DC7"/>
    <w:rsid w:val="00CC052B"/>
    <w:rsid w:val="00CC05BC"/>
    <w:rsid w:val="00CC0E95"/>
    <w:rsid w:val="00CC0F34"/>
    <w:rsid w:val="00CC13A8"/>
    <w:rsid w:val="00CC151D"/>
    <w:rsid w:val="00CC185A"/>
    <w:rsid w:val="00CC1C2F"/>
    <w:rsid w:val="00CC4069"/>
    <w:rsid w:val="00CC44D8"/>
    <w:rsid w:val="00CC4BB4"/>
    <w:rsid w:val="00CC4F13"/>
    <w:rsid w:val="00CC5CA6"/>
    <w:rsid w:val="00CC6333"/>
    <w:rsid w:val="00CC6D16"/>
    <w:rsid w:val="00CC6F0E"/>
    <w:rsid w:val="00CC6FF2"/>
    <w:rsid w:val="00CC7006"/>
    <w:rsid w:val="00CC740A"/>
    <w:rsid w:val="00CC7CAA"/>
    <w:rsid w:val="00CC7EEB"/>
    <w:rsid w:val="00CD0542"/>
    <w:rsid w:val="00CD0A9B"/>
    <w:rsid w:val="00CD0CA0"/>
    <w:rsid w:val="00CD188D"/>
    <w:rsid w:val="00CD1E35"/>
    <w:rsid w:val="00CD2344"/>
    <w:rsid w:val="00CD23AF"/>
    <w:rsid w:val="00CD2474"/>
    <w:rsid w:val="00CD2F1D"/>
    <w:rsid w:val="00CD2FCF"/>
    <w:rsid w:val="00CD3DFB"/>
    <w:rsid w:val="00CD418A"/>
    <w:rsid w:val="00CD46B4"/>
    <w:rsid w:val="00CD4869"/>
    <w:rsid w:val="00CD4A27"/>
    <w:rsid w:val="00CD4CEF"/>
    <w:rsid w:val="00CD537C"/>
    <w:rsid w:val="00CD5F18"/>
    <w:rsid w:val="00CD607A"/>
    <w:rsid w:val="00CD61CF"/>
    <w:rsid w:val="00CD65DF"/>
    <w:rsid w:val="00CD6F19"/>
    <w:rsid w:val="00CD750A"/>
    <w:rsid w:val="00CD751F"/>
    <w:rsid w:val="00CD7653"/>
    <w:rsid w:val="00CD76E1"/>
    <w:rsid w:val="00CE0461"/>
    <w:rsid w:val="00CE0F23"/>
    <w:rsid w:val="00CE1890"/>
    <w:rsid w:val="00CE1A7C"/>
    <w:rsid w:val="00CE1B48"/>
    <w:rsid w:val="00CE1D36"/>
    <w:rsid w:val="00CE1FCB"/>
    <w:rsid w:val="00CE2108"/>
    <w:rsid w:val="00CE2ABD"/>
    <w:rsid w:val="00CE2B25"/>
    <w:rsid w:val="00CE2DA0"/>
    <w:rsid w:val="00CE31BD"/>
    <w:rsid w:val="00CE31E6"/>
    <w:rsid w:val="00CE32BB"/>
    <w:rsid w:val="00CE3658"/>
    <w:rsid w:val="00CE391B"/>
    <w:rsid w:val="00CE3CFD"/>
    <w:rsid w:val="00CE4242"/>
    <w:rsid w:val="00CE4C8C"/>
    <w:rsid w:val="00CE4CD9"/>
    <w:rsid w:val="00CE4DBE"/>
    <w:rsid w:val="00CE51C2"/>
    <w:rsid w:val="00CE5414"/>
    <w:rsid w:val="00CE546C"/>
    <w:rsid w:val="00CE54CF"/>
    <w:rsid w:val="00CE5624"/>
    <w:rsid w:val="00CE57DE"/>
    <w:rsid w:val="00CE58BF"/>
    <w:rsid w:val="00CE5A02"/>
    <w:rsid w:val="00CE5A76"/>
    <w:rsid w:val="00CE5B70"/>
    <w:rsid w:val="00CE60BD"/>
    <w:rsid w:val="00CE6698"/>
    <w:rsid w:val="00CE68B3"/>
    <w:rsid w:val="00CE6D25"/>
    <w:rsid w:val="00CE6F85"/>
    <w:rsid w:val="00CE7C1A"/>
    <w:rsid w:val="00CE7C28"/>
    <w:rsid w:val="00CF123C"/>
    <w:rsid w:val="00CF1C2F"/>
    <w:rsid w:val="00CF1F4C"/>
    <w:rsid w:val="00CF2070"/>
    <w:rsid w:val="00CF2087"/>
    <w:rsid w:val="00CF21D3"/>
    <w:rsid w:val="00CF25F9"/>
    <w:rsid w:val="00CF2A1D"/>
    <w:rsid w:val="00CF3961"/>
    <w:rsid w:val="00CF3D84"/>
    <w:rsid w:val="00CF40A3"/>
    <w:rsid w:val="00CF40D3"/>
    <w:rsid w:val="00CF4961"/>
    <w:rsid w:val="00CF4B00"/>
    <w:rsid w:val="00CF54EB"/>
    <w:rsid w:val="00CF5688"/>
    <w:rsid w:val="00CF5C66"/>
    <w:rsid w:val="00CF617A"/>
    <w:rsid w:val="00CF6A73"/>
    <w:rsid w:val="00CF7BCC"/>
    <w:rsid w:val="00D0065C"/>
    <w:rsid w:val="00D00972"/>
    <w:rsid w:val="00D00C21"/>
    <w:rsid w:val="00D00CB7"/>
    <w:rsid w:val="00D00CBA"/>
    <w:rsid w:val="00D00EC5"/>
    <w:rsid w:val="00D01072"/>
    <w:rsid w:val="00D015D0"/>
    <w:rsid w:val="00D01FE6"/>
    <w:rsid w:val="00D02BC3"/>
    <w:rsid w:val="00D02E15"/>
    <w:rsid w:val="00D02E8E"/>
    <w:rsid w:val="00D03372"/>
    <w:rsid w:val="00D033D2"/>
    <w:rsid w:val="00D03EB3"/>
    <w:rsid w:val="00D043A1"/>
    <w:rsid w:val="00D04C8C"/>
    <w:rsid w:val="00D04F6D"/>
    <w:rsid w:val="00D055E1"/>
    <w:rsid w:val="00D056A9"/>
    <w:rsid w:val="00D059B4"/>
    <w:rsid w:val="00D05B6B"/>
    <w:rsid w:val="00D0686F"/>
    <w:rsid w:val="00D06956"/>
    <w:rsid w:val="00D06A74"/>
    <w:rsid w:val="00D079E1"/>
    <w:rsid w:val="00D10E52"/>
    <w:rsid w:val="00D113E6"/>
    <w:rsid w:val="00D121D0"/>
    <w:rsid w:val="00D12A85"/>
    <w:rsid w:val="00D12B4C"/>
    <w:rsid w:val="00D13344"/>
    <w:rsid w:val="00D14040"/>
    <w:rsid w:val="00D141C7"/>
    <w:rsid w:val="00D14491"/>
    <w:rsid w:val="00D147DF"/>
    <w:rsid w:val="00D14F75"/>
    <w:rsid w:val="00D14FEC"/>
    <w:rsid w:val="00D1522D"/>
    <w:rsid w:val="00D15697"/>
    <w:rsid w:val="00D16478"/>
    <w:rsid w:val="00D16841"/>
    <w:rsid w:val="00D17101"/>
    <w:rsid w:val="00D17750"/>
    <w:rsid w:val="00D177B2"/>
    <w:rsid w:val="00D17891"/>
    <w:rsid w:val="00D20353"/>
    <w:rsid w:val="00D204D7"/>
    <w:rsid w:val="00D20D7A"/>
    <w:rsid w:val="00D21556"/>
    <w:rsid w:val="00D21724"/>
    <w:rsid w:val="00D21C48"/>
    <w:rsid w:val="00D223E6"/>
    <w:rsid w:val="00D227B1"/>
    <w:rsid w:val="00D2298E"/>
    <w:rsid w:val="00D229FB"/>
    <w:rsid w:val="00D22C6B"/>
    <w:rsid w:val="00D23080"/>
    <w:rsid w:val="00D23E1A"/>
    <w:rsid w:val="00D2412A"/>
    <w:rsid w:val="00D24442"/>
    <w:rsid w:val="00D248E0"/>
    <w:rsid w:val="00D25156"/>
    <w:rsid w:val="00D25CCD"/>
    <w:rsid w:val="00D25DD5"/>
    <w:rsid w:val="00D25E4C"/>
    <w:rsid w:val="00D25EF3"/>
    <w:rsid w:val="00D26204"/>
    <w:rsid w:val="00D2651D"/>
    <w:rsid w:val="00D26F80"/>
    <w:rsid w:val="00D2783B"/>
    <w:rsid w:val="00D27C99"/>
    <w:rsid w:val="00D27D4A"/>
    <w:rsid w:val="00D304B7"/>
    <w:rsid w:val="00D316A4"/>
    <w:rsid w:val="00D31F22"/>
    <w:rsid w:val="00D325E9"/>
    <w:rsid w:val="00D326EB"/>
    <w:rsid w:val="00D32EC8"/>
    <w:rsid w:val="00D330F9"/>
    <w:rsid w:val="00D33408"/>
    <w:rsid w:val="00D33793"/>
    <w:rsid w:val="00D33C3F"/>
    <w:rsid w:val="00D33EA7"/>
    <w:rsid w:val="00D3419E"/>
    <w:rsid w:val="00D3449C"/>
    <w:rsid w:val="00D346E1"/>
    <w:rsid w:val="00D34933"/>
    <w:rsid w:val="00D34A34"/>
    <w:rsid w:val="00D34CEC"/>
    <w:rsid w:val="00D34F58"/>
    <w:rsid w:val="00D351CF"/>
    <w:rsid w:val="00D35F8F"/>
    <w:rsid w:val="00D367BF"/>
    <w:rsid w:val="00D36EB1"/>
    <w:rsid w:val="00D36ED8"/>
    <w:rsid w:val="00D37143"/>
    <w:rsid w:val="00D37A24"/>
    <w:rsid w:val="00D402E8"/>
    <w:rsid w:val="00D405A1"/>
    <w:rsid w:val="00D40E61"/>
    <w:rsid w:val="00D40FD0"/>
    <w:rsid w:val="00D41495"/>
    <w:rsid w:val="00D4151C"/>
    <w:rsid w:val="00D4153D"/>
    <w:rsid w:val="00D419B5"/>
    <w:rsid w:val="00D41A03"/>
    <w:rsid w:val="00D42594"/>
    <w:rsid w:val="00D427F7"/>
    <w:rsid w:val="00D42B8B"/>
    <w:rsid w:val="00D43871"/>
    <w:rsid w:val="00D43F6E"/>
    <w:rsid w:val="00D4417A"/>
    <w:rsid w:val="00D441DA"/>
    <w:rsid w:val="00D442A5"/>
    <w:rsid w:val="00D44528"/>
    <w:rsid w:val="00D44614"/>
    <w:rsid w:val="00D44B76"/>
    <w:rsid w:val="00D44C42"/>
    <w:rsid w:val="00D451EC"/>
    <w:rsid w:val="00D4549E"/>
    <w:rsid w:val="00D45604"/>
    <w:rsid w:val="00D45832"/>
    <w:rsid w:val="00D45ED9"/>
    <w:rsid w:val="00D46078"/>
    <w:rsid w:val="00D46207"/>
    <w:rsid w:val="00D466CD"/>
    <w:rsid w:val="00D4682C"/>
    <w:rsid w:val="00D46B6D"/>
    <w:rsid w:val="00D46EB2"/>
    <w:rsid w:val="00D46FD7"/>
    <w:rsid w:val="00D470F4"/>
    <w:rsid w:val="00D47A5A"/>
    <w:rsid w:val="00D47B99"/>
    <w:rsid w:val="00D47F5A"/>
    <w:rsid w:val="00D500A4"/>
    <w:rsid w:val="00D50821"/>
    <w:rsid w:val="00D50F4C"/>
    <w:rsid w:val="00D51656"/>
    <w:rsid w:val="00D518BF"/>
    <w:rsid w:val="00D51972"/>
    <w:rsid w:val="00D51C3B"/>
    <w:rsid w:val="00D51EA7"/>
    <w:rsid w:val="00D5221A"/>
    <w:rsid w:val="00D52B07"/>
    <w:rsid w:val="00D52FC2"/>
    <w:rsid w:val="00D5305C"/>
    <w:rsid w:val="00D53073"/>
    <w:rsid w:val="00D53CC9"/>
    <w:rsid w:val="00D53EA4"/>
    <w:rsid w:val="00D54591"/>
    <w:rsid w:val="00D54777"/>
    <w:rsid w:val="00D547F4"/>
    <w:rsid w:val="00D54A2B"/>
    <w:rsid w:val="00D54C0E"/>
    <w:rsid w:val="00D54F7A"/>
    <w:rsid w:val="00D554EE"/>
    <w:rsid w:val="00D5598A"/>
    <w:rsid w:val="00D55C26"/>
    <w:rsid w:val="00D5672F"/>
    <w:rsid w:val="00D56B1F"/>
    <w:rsid w:val="00D56C48"/>
    <w:rsid w:val="00D56F39"/>
    <w:rsid w:val="00D570FA"/>
    <w:rsid w:val="00D57445"/>
    <w:rsid w:val="00D5780E"/>
    <w:rsid w:val="00D57E24"/>
    <w:rsid w:val="00D605A9"/>
    <w:rsid w:val="00D60B43"/>
    <w:rsid w:val="00D60EA0"/>
    <w:rsid w:val="00D6177E"/>
    <w:rsid w:val="00D619D7"/>
    <w:rsid w:val="00D61AD1"/>
    <w:rsid w:val="00D621F9"/>
    <w:rsid w:val="00D627D2"/>
    <w:rsid w:val="00D627FE"/>
    <w:rsid w:val="00D62EFB"/>
    <w:rsid w:val="00D63288"/>
    <w:rsid w:val="00D6376D"/>
    <w:rsid w:val="00D6397B"/>
    <w:rsid w:val="00D63B18"/>
    <w:rsid w:val="00D63BA7"/>
    <w:rsid w:val="00D63C36"/>
    <w:rsid w:val="00D65C96"/>
    <w:rsid w:val="00D65CC2"/>
    <w:rsid w:val="00D66D16"/>
    <w:rsid w:val="00D6716B"/>
    <w:rsid w:val="00D67B76"/>
    <w:rsid w:val="00D7066A"/>
    <w:rsid w:val="00D70906"/>
    <w:rsid w:val="00D70E29"/>
    <w:rsid w:val="00D70F48"/>
    <w:rsid w:val="00D716D2"/>
    <w:rsid w:val="00D71979"/>
    <w:rsid w:val="00D7217B"/>
    <w:rsid w:val="00D72E73"/>
    <w:rsid w:val="00D72E9A"/>
    <w:rsid w:val="00D73588"/>
    <w:rsid w:val="00D73624"/>
    <w:rsid w:val="00D73AC0"/>
    <w:rsid w:val="00D73AFB"/>
    <w:rsid w:val="00D742A6"/>
    <w:rsid w:val="00D74E64"/>
    <w:rsid w:val="00D752BA"/>
    <w:rsid w:val="00D75A2F"/>
    <w:rsid w:val="00D75EA7"/>
    <w:rsid w:val="00D75FE4"/>
    <w:rsid w:val="00D76258"/>
    <w:rsid w:val="00D762B6"/>
    <w:rsid w:val="00D764FA"/>
    <w:rsid w:val="00D77444"/>
    <w:rsid w:val="00D77A6C"/>
    <w:rsid w:val="00D800DB"/>
    <w:rsid w:val="00D80839"/>
    <w:rsid w:val="00D81613"/>
    <w:rsid w:val="00D81D15"/>
    <w:rsid w:val="00D8209E"/>
    <w:rsid w:val="00D822F3"/>
    <w:rsid w:val="00D82ED4"/>
    <w:rsid w:val="00D830F2"/>
    <w:rsid w:val="00D83691"/>
    <w:rsid w:val="00D844AF"/>
    <w:rsid w:val="00D848A4"/>
    <w:rsid w:val="00D84C38"/>
    <w:rsid w:val="00D851D7"/>
    <w:rsid w:val="00D853A4"/>
    <w:rsid w:val="00D85590"/>
    <w:rsid w:val="00D8583D"/>
    <w:rsid w:val="00D859EC"/>
    <w:rsid w:val="00D85AB0"/>
    <w:rsid w:val="00D85E5D"/>
    <w:rsid w:val="00D86116"/>
    <w:rsid w:val="00D862A5"/>
    <w:rsid w:val="00D8630D"/>
    <w:rsid w:val="00D86A74"/>
    <w:rsid w:val="00D871C5"/>
    <w:rsid w:val="00D87D76"/>
    <w:rsid w:val="00D87FF1"/>
    <w:rsid w:val="00D90E0A"/>
    <w:rsid w:val="00D91236"/>
    <w:rsid w:val="00D91244"/>
    <w:rsid w:val="00D91356"/>
    <w:rsid w:val="00D91646"/>
    <w:rsid w:val="00D9195F"/>
    <w:rsid w:val="00D9205F"/>
    <w:rsid w:val="00D921B4"/>
    <w:rsid w:val="00D92746"/>
    <w:rsid w:val="00D92C12"/>
    <w:rsid w:val="00D93C76"/>
    <w:rsid w:val="00D94C58"/>
    <w:rsid w:val="00D951CA"/>
    <w:rsid w:val="00D953C0"/>
    <w:rsid w:val="00D9556F"/>
    <w:rsid w:val="00D961A0"/>
    <w:rsid w:val="00D96C06"/>
    <w:rsid w:val="00D97194"/>
    <w:rsid w:val="00D978DD"/>
    <w:rsid w:val="00D97934"/>
    <w:rsid w:val="00D97959"/>
    <w:rsid w:val="00D979BD"/>
    <w:rsid w:val="00D97B55"/>
    <w:rsid w:val="00D97D57"/>
    <w:rsid w:val="00D97E3B"/>
    <w:rsid w:val="00D97EA4"/>
    <w:rsid w:val="00D97FBB"/>
    <w:rsid w:val="00D97FFA"/>
    <w:rsid w:val="00DA0090"/>
    <w:rsid w:val="00DA00A5"/>
    <w:rsid w:val="00DA029F"/>
    <w:rsid w:val="00DA05CF"/>
    <w:rsid w:val="00DA069F"/>
    <w:rsid w:val="00DA0D14"/>
    <w:rsid w:val="00DA12B3"/>
    <w:rsid w:val="00DA1BE8"/>
    <w:rsid w:val="00DA1EF3"/>
    <w:rsid w:val="00DA2657"/>
    <w:rsid w:val="00DA2A81"/>
    <w:rsid w:val="00DA2BA4"/>
    <w:rsid w:val="00DA303D"/>
    <w:rsid w:val="00DA320E"/>
    <w:rsid w:val="00DA332D"/>
    <w:rsid w:val="00DA34CE"/>
    <w:rsid w:val="00DA4187"/>
    <w:rsid w:val="00DA4342"/>
    <w:rsid w:val="00DA4A83"/>
    <w:rsid w:val="00DA4CCE"/>
    <w:rsid w:val="00DA4FA7"/>
    <w:rsid w:val="00DA5495"/>
    <w:rsid w:val="00DA5834"/>
    <w:rsid w:val="00DA58F5"/>
    <w:rsid w:val="00DA5A0C"/>
    <w:rsid w:val="00DA627C"/>
    <w:rsid w:val="00DA6759"/>
    <w:rsid w:val="00DA69CC"/>
    <w:rsid w:val="00DA74C7"/>
    <w:rsid w:val="00DA7A28"/>
    <w:rsid w:val="00DA7BBF"/>
    <w:rsid w:val="00DA7C4E"/>
    <w:rsid w:val="00DB034E"/>
    <w:rsid w:val="00DB0474"/>
    <w:rsid w:val="00DB08DB"/>
    <w:rsid w:val="00DB0925"/>
    <w:rsid w:val="00DB0C71"/>
    <w:rsid w:val="00DB134F"/>
    <w:rsid w:val="00DB15A2"/>
    <w:rsid w:val="00DB1B03"/>
    <w:rsid w:val="00DB1DAF"/>
    <w:rsid w:val="00DB1E5A"/>
    <w:rsid w:val="00DB2B9C"/>
    <w:rsid w:val="00DB301C"/>
    <w:rsid w:val="00DB3200"/>
    <w:rsid w:val="00DB3967"/>
    <w:rsid w:val="00DB3C5B"/>
    <w:rsid w:val="00DB4833"/>
    <w:rsid w:val="00DB4C30"/>
    <w:rsid w:val="00DB50E3"/>
    <w:rsid w:val="00DB5534"/>
    <w:rsid w:val="00DB59D5"/>
    <w:rsid w:val="00DB5B2C"/>
    <w:rsid w:val="00DB5C9C"/>
    <w:rsid w:val="00DB5E79"/>
    <w:rsid w:val="00DB6566"/>
    <w:rsid w:val="00DB6BFF"/>
    <w:rsid w:val="00DB705C"/>
    <w:rsid w:val="00DB73B8"/>
    <w:rsid w:val="00DB7541"/>
    <w:rsid w:val="00DB7A98"/>
    <w:rsid w:val="00DB7E8F"/>
    <w:rsid w:val="00DC00BA"/>
    <w:rsid w:val="00DC06A0"/>
    <w:rsid w:val="00DC0A9A"/>
    <w:rsid w:val="00DC1D8D"/>
    <w:rsid w:val="00DC22BD"/>
    <w:rsid w:val="00DC246E"/>
    <w:rsid w:val="00DC2ABE"/>
    <w:rsid w:val="00DC3060"/>
    <w:rsid w:val="00DC38D2"/>
    <w:rsid w:val="00DC396B"/>
    <w:rsid w:val="00DC42E5"/>
    <w:rsid w:val="00DC43B4"/>
    <w:rsid w:val="00DC443C"/>
    <w:rsid w:val="00DC4590"/>
    <w:rsid w:val="00DC472B"/>
    <w:rsid w:val="00DC4AAC"/>
    <w:rsid w:val="00DC4AF1"/>
    <w:rsid w:val="00DC4CC2"/>
    <w:rsid w:val="00DC522A"/>
    <w:rsid w:val="00DC5F18"/>
    <w:rsid w:val="00DC655E"/>
    <w:rsid w:val="00DC65FD"/>
    <w:rsid w:val="00DC6D3D"/>
    <w:rsid w:val="00DC75DB"/>
    <w:rsid w:val="00DC7636"/>
    <w:rsid w:val="00DC794B"/>
    <w:rsid w:val="00DC7B8D"/>
    <w:rsid w:val="00DC7C8D"/>
    <w:rsid w:val="00DD04E1"/>
    <w:rsid w:val="00DD0AC3"/>
    <w:rsid w:val="00DD0D7A"/>
    <w:rsid w:val="00DD0D95"/>
    <w:rsid w:val="00DD181E"/>
    <w:rsid w:val="00DD18B4"/>
    <w:rsid w:val="00DD1AB2"/>
    <w:rsid w:val="00DD1DC6"/>
    <w:rsid w:val="00DD2227"/>
    <w:rsid w:val="00DD2C09"/>
    <w:rsid w:val="00DD32DE"/>
    <w:rsid w:val="00DD367A"/>
    <w:rsid w:val="00DD4169"/>
    <w:rsid w:val="00DD436F"/>
    <w:rsid w:val="00DD454A"/>
    <w:rsid w:val="00DD47B9"/>
    <w:rsid w:val="00DD4AC8"/>
    <w:rsid w:val="00DD507C"/>
    <w:rsid w:val="00DD5089"/>
    <w:rsid w:val="00DD5366"/>
    <w:rsid w:val="00DD57DD"/>
    <w:rsid w:val="00DD5A92"/>
    <w:rsid w:val="00DD60C1"/>
    <w:rsid w:val="00DD6339"/>
    <w:rsid w:val="00DD66AB"/>
    <w:rsid w:val="00DD731A"/>
    <w:rsid w:val="00DD76EC"/>
    <w:rsid w:val="00DD7C2E"/>
    <w:rsid w:val="00DD7C3B"/>
    <w:rsid w:val="00DD7F45"/>
    <w:rsid w:val="00DE00E0"/>
    <w:rsid w:val="00DE01E7"/>
    <w:rsid w:val="00DE0EDF"/>
    <w:rsid w:val="00DE1C7F"/>
    <w:rsid w:val="00DE1D9D"/>
    <w:rsid w:val="00DE24B3"/>
    <w:rsid w:val="00DE2970"/>
    <w:rsid w:val="00DE2A33"/>
    <w:rsid w:val="00DE311E"/>
    <w:rsid w:val="00DE32A6"/>
    <w:rsid w:val="00DE3307"/>
    <w:rsid w:val="00DE34A0"/>
    <w:rsid w:val="00DE35FC"/>
    <w:rsid w:val="00DE46DF"/>
    <w:rsid w:val="00DE485B"/>
    <w:rsid w:val="00DE49A2"/>
    <w:rsid w:val="00DE5140"/>
    <w:rsid w:val="00DE541F"/>
    <w:rsid w:val="00DE5F2A"/>
    <w:rsid w:val="00DE64FF"/>
    <w:rsid w:val="00DE6569"/>
    <w:rsid w:val="00DF01F3"/>
    <w:rsid w:val="00DF042E"/>
    <w:rsid w:val="00DF05F7"/>
    <w:rsid w:val="00DF0BD7"/>
    <w:rsid w:val="00DF0EA2"/>
    <w:rsid w:val="00DF1205"/>
    <w:rsid w:val="00DF1CFF"/>
    <w:rsid w:val="00DF1E99"/>
    <w:rsid w:val="00DF29DB"/>
    <w:rsid w:val="00DF2BCD"/>
    <w:rsid w:val="00DF32A4"/>
    <w:rsid w:val="00DF32E2"/>
    <w:rsid w:val="00DF3889"/>
    <w:rsid w:val="00DF3A22"/>
    <w:rsid w:val="00DF4A57"/>
    <w:rsid w:val="00DF4A66"/>
    <w:rsid w:val="00DF4DBD"/>
    <w:rsid w:val="00DF4F69"/>
    <w:rsid w:val="00DF5000"/>
    <w:rsid w:val="00DF502D"/>
    <w:rsid w:val="00DF5615"/>
    <w:rsid w:val="00DF588B"/>
    <w:rsid w:val="00DF5AEB"/>
    <w:rsid w:val="00DF5DDD"/>
    <w:rsid w:val="00DF617C"/>
    <w:rsid w:val="00DF68E7"/>
    <w:rsid w:val="00DF6CAB"/>
    <w:rsid w:val="00DF7400"/>
    <w:rsid w:val="00DF7991"/>
    <w:rsid w:val="00DF79AD"/>
    <w:rsid w:val="00DF79C8"/>
    <w:rsid w:val="00DF7B3D"/>
    <w:rsid w:val="00DF7FCF"/>
    <w:rsid w:val="00E01233"/>
    <w:rsid w:val="00E01248"/>
    <w:rsid w:val="00E01799"/>
    <w:rsid w:val="00E018F4"/>
    <w:rsid w:val="00E02B61"/>
    <w:rsid w:val="00E02C4B"/>
    <w:rsid w:val="00E031D1"/>
    <w:rsid w:val="00E03228"/>
    <w:rsid w:val="00E03501"/>
    <w:rsid w:val="00E03523"/>
    <w:rsid w:val="00E0390E"/>
    <w:rsid w:val="00E03CFB"/>
    <w:rsid w:val="00E03EE1"/>
    <w:rsid w:val="00E051AF"/>
    <w:rsid w:val="00E0541F"/>
    <w:rsid w:val="00E056EC"/>
    <w:rsid w:val="00E05A50"/>
    <w:rsid w:val="00E05D15"/>
    <w:rsid w:val="00E072EC"/>
    <w:rsid w:val="00E07387"/>
    <w:rsid w:val="00E07EE6"/>
    <w:rsid w:val="00E10600"/>
    <w:rsid w:val="00E109A6"/>
    <w:rsid w:val="00E10A71"/>
    <w:rsid w:val="00E10AFC"/>
    <w:rsid w:val="00E10C52"/>
    <w:rsid w:val="00E10C53"/>
    <w:rsid w:val="00E11776"/>
    <w:rsid w:val="00E11C8F"/>
    <w:rsid w:val="00E120F8"/>
    <w:rsid w:val="00E13CB4"/>
    <w:rsid w:val="00E13D0F"/>
    <w:rsid w:val="00E1406D"/>
    <w:rsid w:val="00E14DD2"/>
    <w:rsid w:val="00E152C1"/>
    <w:rsid w:val="00E15AD1"/>
    <w:rsid w:val="00E15FA3"/>
    <w:rsid w:val="00E16018"/>
    <w:rsid w:val="00E16208"/>
    <w:rsid w:val="00E163D1"/>
    <w:rsid w:val="00E165AD"/>
    <w:rsid w:val="00E16DEB"/>
    <w:rsid w:val="00E1741F"/>
    <w:rsid w:val="00E1782F"/>
    <w:rsid w:val="00E17ACB"/>
    <w:rsid w:val="00E17AE8"/>
    <w:rsid w:val="00E20D69"/>
    <w:rsid w:val="00E20F98"/>
    <w:rsid w:val="00E21BDE"/>
    <w:rsid w:val="00E22D29"/>
    <w:rsid w:val="00E23EE0"/>
    <w:rsid w:val="00E2480D"/>
    <w:rsid w:val="00E24C37"/>
    <w:rsid w:val="00E24D1B"/>
    <w:rsid w:val="00E24EAC"/>
    <w:rsid w:val="00E24EE6"/>
    <w:rsid w:val="00E255E7"/>
    <w:rsid w:val="00E255FB"/>
    <w:rsid w:val="00E259F6"/>
    <w:rsid w:val="00E25BF0"/>
    <w:rsid w:val="00E25D6C"/>
    <w:rsid w:val="00E25E68"/>
    <w:rsid w:val="00E2622D"/>
    <w:rsid w:val="00E26353"/>
    <w:rsid w:val="00E26A7A"/>
    <w:rsid w:val="00E26CB3"/>
    <w:rsid w:val="00E278CD"/>
    <w:rsid w:val="00E303F2"/>
    <w:rsid w:val="00E30410"/>
    <w:rsid w:val="00E30570"/>
    <w:rsid w:val="00E309CF"/>
    <w:rsid w:val="00E31346"/>
    <w:rsid w:val="00E32530"/>
    <w:rsid w:val="00E32779"/>
    <w:rsid w:val="00E32955"/>
    <w:rsid w:val="00E32C9C"/>
    <w:rsid w:val="00E32CAE"/>
    <w:rsid w:val="00E32D35"/>
    <w:rsid w:val="00E33260"/>
    <w:rsid w:val="00E3378A"/>
    <w:rsid w:val="00E33C74"/>
    <w:rsid w:val="00E33C7B"/>
    <w:rsid w:val="00E33D45"/>
    <w:rsid w:val="00E3407F"/>
    <w:rsid w:val="00E3441C"/>
    <w:rsid w:val="00E34488"/>
    <w:rsid w:val="00E3465A"/>
    <w:rsid w:val="00E34EDF"/>
    <w:rsid w:val="00E3509A"/>
    <w:rsid w:val="00E35D9E"/>
    <w:rsid w:val="00E35E76"/>
    <w:rsid w:val="00E36EC0"/>
    <w:rsid w:val="00E3708B"/>
    <w:rsid w:val="00E375FB"/>
    <w:rsid w:val="00E4001A"/>
    <w:rsid w:val="00E40166"/>
    <w:rsid w:val="00E4062D"/>
    <w:rsid w:val="00E406C1"/>
    <w:rsid w:val="00E40A1F"/>
    <w:rsid w:val="00E40AA4"/>
    <w:rsid w:val="00E40F7F"/>
    <w:rsid w:val="00E413E7"/>
    <w:rsid w:val="00E41707"/>
    <w:rsid w:val="00E41FD5"/>
    <w:rsid w:val="00E42040"/>
    <w:rsid w:val="00E42A65"/>
    <w:rsid w:val="00E4344A"/>
    <w:rsid w:val="00E434BC"/>
    <w:rsid w:val="00E4369E"/>
    <w:rsid w:val="00E44925"/>
    <w:rsid w:val="00E449C3"/>
    <w:rsid w:val="00E451EF"/>
    <w:rsid w:val="00E456DA"/>
    <w:rsid w:val="00E45B4D"/>
    <w:rsid w:val="00E45DB8"/>
    <w:rsid w:val="00E45FE5"/>
    <w:rsid w:val="00E46F96"/>
    <w:rsid w:val="00E46FFF"/>
    <w:rsid w:val="00E47084"/>
    <w:rsid w:val="00E472AC"/>
    <w:rsid w:val="00E4750B"/>
    <w:rsid w:val="00E47946"/>
    <w:rsid w:val="00E47C06"/>
    <w:rsid w:val="00E500E6"/>
    <w:rsid w:val="00E501DA"/>
    <w:rsid w:val="00E50394"/>
    <w:rsid w:val="00E504DE"/>
    <w:rsid w:val="00E50F5B"/>
    <w:rsid w:val="00E51186"/>
    <w:rsid w:val="00E512E4"/>
    <w:rsid w:val="00E51414"/>
    <w:rsid w:val="00E51635"/>
    <w:rsid w:val="00E5179A"/>
    <w:rsid w:val="00E518FD"/>
    <w:rsid w:val="00E5195D"/>
    <w:rsid w:val="00E525A0"/>
    <w:rsid w:val="00E52FAA"/>
    <w:rsid w:val="00E54051"/>
    <w:rsid w:val="00E54067"/>
    <w:rsid w:val="00E54373"/>
    <w:rsid w:val="00E54876"/>
    <w:rsid w:val="00E55100"/>
    <w:rsid w:val="00E5534D"/>
    <w:rsid w:val="00E5553A"/>
    <w:rsid w:val="00E55711"/>
    <w:rsid w:val="00E557EA"/>
    <w:rsid w:val="00E55AB8"/>
    <w:rsid w:val="00E55ABA"/>
    <w:rsid w:val="00E5621C"/>
    <w:rsid w:val="00E56BB9"/>
    <w:rsid w:val="00E5763D"/>
    <w:rsid w:val="00E57AA0"/>
    <w:rsid w:val="00E57ADD"/>
    <w:rsid w:val="00E57F21"/>
    <w:rsid w:val="00E6023A"/>
    <w:rsid w:val="00E602B0"/>
    <w:rsid w:val="00E609AF"/>
    <w:rsid w:val="00E60EDA"/>
    <w:rsid w:val="00E614E8"/>
    <w:rsid w:val="00E6168C"/>
    <w:rsid w:val="00E616AE"/>
    <w:rsid w:val="00E61B9A"/>
    <w:rsid w:val="00E6212C"/>
    <w:rsid w:val="00E62695"/>
    <w:rsid w:val="00E63270"/>
    <w:rsid w:val="00E634B6"/>
    <w:rsid w:val="00E63CBF"/>
    <w:rsid w:val="00E642E1"/>
    <w:rsid w:val="00E6491A"/>
    <w:rsid w:val="00E64E9E"/>
    <w:rsid w:val="00E64EE9"/>
    <w:rsid w:val="00E650C6"/>
    <w:rsid w:val="00E651BB"/>
    <w:rsid w:val="00E658A3"/>
    <w:rsid w:val="00E65EFE"/>
    <w:rsid w:val="00E660D9"/>
    <w:rsid w:val="00E66251"/>
    <w:rsid w:val="00E66416"/>
    <w:rsid w:val="00E67458"/>
    <w:rsid w:val="00E67A78"/>
    <w:rsid w:val="00E70182"/>
    <w:rsid w:val="00E70703"/>
    <w:rsid w:val="00E707D6"/>
    <w:rsid w:val="00E70ADF"/>
    <w:rsid w:val="00E71D89"/>
    <w:rsid w:val="00E71DAC"/>
    <w:rsid w:val="00E72578"/>
    <w:rsid w:val="00E727EE"/>
    <w:rsid w:val="00E72ABC"/>
    <w:rsid w:val="00E72BD1"/>
    <w:rsid w:val="00E72E2C"/>
    <w:rsid w:val="00E7305D"/>
    <w:rsid w:val="00E730C4"/>
    <w:rsid w:val="00E73939"/>
    <w:rsid w:val="00E739F5"/>
    <w:rsid w:val="00E7437A"/>
    <w:rsid w:val="00E74B3F"/>
    <w:rsid w:val="00E74B73"/>
    <w:rsid w:val="00E74C35"/>
    <w:rsid w:val="00E752E5"/>
    <w:rsid w:val="00E7534B"/>
    <w:rsid w:val="00E755DF"/>
    <w:rsid w:val="00E756FA"/>
    <w:rsid w:val="00E758CD"/>
    <w:rsid w:val="00E759CD"/>
    <w:rsid w:val="00E75A67"/>
    <w:rsid w:val="00E75D33"/>
    <w:rsid w:val="00E75D5D"/>
    <w:rsid w:val="00E75E10"/>
    <w:rsid w:val="00E7686D"/>
    <w:rsid w:val="00E76C71"/>
    <w:rsid w:val="00E76CE6"/>
    <w:rsid w:val="00E76F89"/>
    <w:rsid w:val="00E77A24"/>
    <w:rsid w:val="00E77D0D"/>
    <w:rsid w:val="00E8012C"/>
    <w:rsid w:val="00E80441"/>
    <w:rsid w:val="00E80EB0"/>
    <w:rsid w:val="00E811D9"/>
    <w:rsid w:val="00E815AE"/>
    <w:rsid w:val="00E818CB"/>
    <w:rsid w:val="00E828AA"/>
    <w:rsid w:val="00E83ED9"/>
    <w:rsid w:val="00E84185"/>
    <w:rsid w:val="00E8486C"/>
    <w:rsid w:val="00E84991"/>
    <w:rsid w:val="00E84AEC"/>
    <w:rsid w:val="00E84CDA"/>
    <w:rsid w:val="00E84F03"/>
    <w:rsid w:val="00E84F9E"/>
    <w:rsid w:val="00E8523D"/>
    <w:rsid w:val="00E8649A"/>
    <w:rsid w:val="00E8725D"/>
    <w:rsid w:val="00E877D2"/>
    <w:rsid w:val="00E878C2"/>
    <w:rsid w:val="00E878DD"/>
    <w:rsid w:val="00E87AB9"/>
    <w:rsid w:val="00E87B22"/>
    <w:rsid w:val="00E87C0D"/>
    <w:rsid w:val="00E87E9A"/>
    <w:rsid w:val="00E90134"/>
    <w:rsid w:val="00E90303"/>
    <w:rsid w:val="00E914F7"/>
    <w:rsid w:val="00E9192F"/>
    <w:rsid w:val="00E919E2"/>
    <w:rsid w:val="00E920C1"/>
    <w:rsid w:val="00E92769"/>
    <w:rsid w:val="00E92DE1"/>
    <w:rsid w:val="00E93137"/>
    <w:rsid w:val="00E936CC"/>
    <w:rsid w:val="00E93942"/>
    <w:rsid w:val="00E93ECE"/>
    <w:rsid w:val="00E940EC"/>
    <w:rsid w:val="00E945A2"/>
    <w:rsid w:val="00E9493E"/>
    <w:rsid w:val="00E94AB5"/>
    <w:rsid w:val="00E94C04"/>
    <w:rsid w:val="00E951DB"/>
    <w:rsid w:val="00E959A6"/>
    <w:rsid w:val="00E95A13"/>
    <w:rsid w:val="00E95CD4"/>
    <w:rsid w:val="00E95D2D"/>
    <w:rsid w:val="00E9652D"/>
    <w:rsid w:val="00E96918"/>
    <w:rsid w:val="00E97929"/>
    <w:rsid w:val="00E97A8B"/>
    <w:rsid w:val="00EA044F"/>
    <w:rsid w:val="00EA0581"/>
    <w:rsid w:val="00EA0D8A"/>
    <w:rsid w:val="00EA0E0B"/>
    <w:rsid w:val="00EA1A42"/>
    <w:rsid w:val="00EA283D"/>
    <w:rsid w:val="00EA3045"/>
    <w:rsid w:val="00EA36C3"/>
    <w:rsid w:val="00EA39D1"/>
    <w:rsid w:val="00EA3D13"/>
    <w:rsid w:val="00EA48CD"/>
    <w:rsid w:val="00EA4B94"/>
    <w:rsid w:val="00EA57A9"/>
    <w:rsid w:val="00EA5C97"/>
    <w:rsid w:val="00EA5F9F"/>
    <w:rsid w:val="00EA6B47"/>
    <w:rsid w:val="00EA7320"/>
    <w:rsid w:val="00EA7BBD"/>
    <w:rsid w:val="00EB0079"/>
    <w:rsid w:val="00EB03C7"/>
    <w:rsid w:val="00EB0702"/>
    <w:rsid w:val="00EB08D7"/>
    <w:rsid w:val="00EB20DD"/>
    <w:rsid w:val="00EB334F"/>
    <w:rsid w:val="00EB39A8"/>
    <w:rsid w:val="00EB3F6E"/>
    <w:rsid w:val="00EB481D"/>
    <w:rsid w:val="00EB4A5F"/>
    <w:rsid w:val="00EB4E98"/>
    <w:rsid w:val="00EB52FC"/>
    <w:rsid w:val="00EB5910"/>
    <w:rsid w:val="00EB5C1C"/>
    <w:rsid w:val="00EB61B1"/>
    <w:rsid w:val="00EB67F9"/>
    <w:rsid w:val="00EB6D47"/>
    <w:rsid w:val="00EB6D70"/>
    <w:rsid w:val="00EB6FB4"/>
    <w:rsid w:val="00EB7754"/>
    <w:rsid w:val="00EB7BA8"/>
    <w:rsid w:val="00EC1E58"/>
    <w:rsid w:val="00EC2A8B"/>
    <w:rsid w:val="00EC2DD6"/>
    <w:rsid w:val="00EC2F70"/>
    <w:rsid w:val="00EC342A"/>
    <w:rsid w:val="00EC3480"/>
    <w:rsid w:val="00EC37B5"/>
    <w:rsid w:val="00EC48DA"/>
    <w:rsid w:val="00EC4B1B"/>
    <w:rsid w:val="00EC4C99"/>
    <w:rsid w:val="00EC4DB9"/>
    <w:rsid w:val="00EC523F"/>
    <w:rsid w:val="00EC556B"/>
    <w:rsid w:val="00EC5AEE"/>
    <w:rsid w:val="00EC6516"/>
    <w:rsid w:val="00EC69BD"/>
    <w:rsid w:val="00EC6FF3"/>
    <w:rsid w:val="00EC7060"/>
    <w:rsid w:val="00EC70F9"/>
    <w:rsid w:val="00EC7F7A"/>
    <w:rsid w:val="00ED0555"/>
    <w:rsid w:val="00ED0621"/>
    <w:rsid w:val="00ED0EEC"/>
    <w:rsid w:val="00ED14B1"/>
    <w:rsid w:val="00ED191F"/>
    <w:rsid w:val="00ED2387"/>
    <w:rsid w:val="00ED2684"/>
    <w:rsid w:val="00ED2D72"/>
    <w:rsid w:val="00ED301D"/>
    <w:rsid w:val="00ED447E"/>
    <w:rsid w:val="00ED4722"/>
    <w:rsid w:val="00ED4873"/>
    <w:rsid w:val="00ED4933"/>
    <w:rsid w:val="00ED4E4C"/>
    <w:rsid w:val="00ED4F9E"/>
    <w:rsid w:val="00ED50AF"/>
    <w:rsid w:val="00ED53EA"/>
    <w:rsid w:val="00ED5400"/>
    <w:rsid w:val="00ED5407"/>
    <w:rsid w:val="00ED619D"/>
    <w:rsid w:val="00ED6810"/>
    <w:rsid w:val="00ED72A1"/>
    <w:rsid w:val="00ED7B42"/>
    <w:rsid w:val="00EE0377"/>
    <w:rsid w:val="00EE0A6F"/>
    <w:rsid w:val="00EE0B0A"/>
    <w:rsid w:val="00EE0ECD"/>
    <w:rsid w:val="00EE164C"/>
    <w:rsid w:val="00EE1C02"/>
    <w:rsid w:val="00EE1E56"/>
    <w:rsid w:val="00EE1E71"/>
    <w:rsid w:val="00EE25DC"/>
    <w:rsid w:val="00EE299E"/>
    <w:rsid w:val="00EE2E66"/>
    <w:rsid w:val="00EE3185"/>
    <w:rsid w:val="00EE34E1"/>
    <w:rsid w:val="00EE365F"/>
    <w:rsid w:val="00EE36B0"/>
    <w:rsid w:val="00EE3B3F"/>
    <w:rsid w:val="00EE3FA4"/>
    <w:rsid w:val="00EE4184"/>
    <w:rsid w:val="00EE4402"/>
    <w:rsid w:val="00EE47CE"/>
    <w:rsid w:val="00EE56B9"/>
    <w:rsid w:val="00EE580A"/>
    <w:rsid w:val="00EE6658"/>
    <w:rsid w:val="00EE6A4C"/>
    <w:rsid w:val="00EE6DF3"/>
    <w:rsid w:val="00EE73CE"/>
    <w:rsid w:val="00EE7739"/>
    <w:rsid w:val="00EE7BA0"/>
    <w:rsid w:val="00EF071A"/>
    <w:rsid w:val="00EF0F39"/>
    <w:rsid w:val="00EF1064"/>
    <w:rsid w:val="00EF134B"/>
    <w:rsid w:val="00EF1A42"/>
    <w:rsid w:val="00EF1ED3"/>
    <w:rsid w:val="00EF2BE0"/>
    <w:rsid w:val="00EF2DB3"/>
    <w:rsid w:val="00EF3194"/>
    <w:rsid w:val="00EF3272"/>
    <w:rsid w:val="00EF328E"/>
    <w:rsid w:val="00EF341F"/>
    <w:rsid w:val="00EF350D"/>
    <w:rsid w:val="00EF3631"/>
    <w:rsid w:val="00EF381D"/>
    <w:rsid w:val="00EF40AD"/>
    <w:rsid w:val="00EF43CD"/>
    <w:rsid w:val="00EF45AE"/>
    <w:rsid w:val="00EF49B8"/>
    <w:rsid w:val="00EF4ECF"/>
    <w:rsid w:val="00EF515D"/>
    <w:rsid w:val="00EF5193"/>
    <w:rsid w:val="00EF5221"/>
    <w:rsid w:val="00EF530F"/>
    <w:rsid w:val="00EF55E9"/>
    <w:rsid w:val="00EF60AB"/>
    <w:rsid w:val="00EF6385"/>
    <w:rsid w:val="00EF6AEF"/>
    <w:rsid w:val="00EF6CFE"/>
    <w:rsid w:val="00EF6EAF"/>
    <w:rsid w:val="00EF6FDA"/>
    <w:rsid w:val="00EF77A4"/>
    <w:rsid w:val="00F00007"/>
    <w:rsid w:val="00F0048C"/>
    <w:rsid w:val="00F0068D"/>
    <w:rsid w:val="00F006F7"/>
    <w:rsid w:val="00F0111D"/>
    <w:rsid w:val="00F01A66"/>
    <w:rsid w:val="00F01BF0"/>
    <w:rsid w:val="00F023A3"/>
    <w:rsid w:val="00F024EB"/>
    <w:rsid w:val="00F027A1"/>
    <w:rsid w:val="00F030D9"/>
    <w:rsid w:val="00F030ED"/>
    <w:rsid w:val="00F033D1"/>
    <w:rsid w:val="00F03444"/>
    <w:rsid w:val="00F03A17"/>
    <w:rsid w:val="00F03CCC"/>
    <w:rsid w:val="00F03CF1"/>
    <w:rsid w:val="00F03DDD"/>
    <w:rsid w:val="00F044CB"/>
    <w:rsid w:val="00F04522"/>
    <w:rsid w:val="00F04B71"/>
    <w:rsid w:val="00F04DBD"/>
    <w:rsid w:val="00F04EB1"/>
    <w:rsid w:val="00F04EEF"/>
    <w:rsid w:val="00F05184"/>
    <w:rsid w:val="00F05E8E"/>
    <w:rsid w:val="00F06BCC"/>
    <w:rsid w:val="00F06F2B"/>
    <w:rsid w:val="00F07824"/>
    <w:rsid w:val="00F078CD"/>
    <w:rsid w:val="00F07909"/>
    <w:rsid w:val="00F079B7"/>
    <w:rsid w:val="00F07C5A"/>
    <w:rsid w:val="00F1015A"/>
    <w:rsid w:val="00F101AF"/>
    <w:rsid w:val="00F1060E"/>
    <w:rsid w:val="00F118D9"/>
    <w:rsid w:val="00F11EAD"/>
    <w:rsid w:val="00F1247D"/>
    <w:rsid w:val="00F1274B"/>
    <w:rsid w:val="00F129D1"/>
    <w:rsid w:val="00F12A30"/>
    <w:rsid w:val="00F12D68"/>
    <w:rsid w:val="00F12DFC"/>
    <w:rsid w:val="00F136A6"/>
    <w:rsid w:val="00F13BE3"/>
    <w:rsid w:val="00F13F64"/>
    <w:rsid w:val="00F14077"/>
    <w:rsid w:val="00F147AE"/>
    <w:rsid w:val="00F14EDC"/>
    <w:rsid w:val="00F150EE"/>
    <w:rsid w:val="00F156C9"/>
    <w:rsid w:val="00F15704"/>
    <w:rsid w:val="00F1629A"/>
    <w:rsid w:val="00F16D31"/>
    <w:rsid w:val="00F17401"/>
    <w:rsid w:val="00F17654"/>
    <w:rsid w:val="00F17989"/>
    <w:rsid w:val="00F179A4"/>
    <w:rsid w:val="00F202B8"/>
    <w:rsid w:val="00F20CD1"/>
    <w:rsid w:val="00F21C29"/>
    <w:rsid w:val="00F21EB1"/>
    <w:rsid w:val="00F21FC2"/>
    <w:rsid w:val="00F222D8"/>
    <w:rsid w:val="00F22775"/>
    <w:rsid w:val="00F229F9"/>
    <w:rsid w:val="00F22B13"/>
    <w:rsid w:val="00F22F0B"/>
    <w:rsid w:val="00F233F0"/>
    <w:rsid w:val="00F23783"/>
    <w:rsid w:val="00F23D92"/>
    <w:rsid w:val="00F24CBC"/>
    <w:rsid w:val="00F24EC7"/>
    <w:rsid w:val="00F2575E"/>
    <w:rsid w:val="00F258CE"/>
    <w:rsid w:val="00F2689F"/>
    <w:rsid w:val="00F268AF"/>
    <w:rsid w:val="00F26A25"/>
    <w:rsid w:val="00F26B81"/>
    <w:rsid w:val="00F26C53"/>
    <w:rsid w:val="00F27498"/>
    <w:rsid w:val="00F274AE"/>
    <w:rsid w:val="00F27D8B"/>
    <w:rsid w:val="00F27F7E"/>
    <w:rsid w:val="00F301A7"/>
    <w:rsid w:val="00F3079F"/>
    <w:rsid w:val="00F30820"/>
    <w:rsid w:val="00F30860"/>
    <w:rsid w:val="00F30BDA"/>
    <w:rsid w:val="00F30BFD"/>
    <w:rsid w:val="00F3130E"/>
    <w:rsid w:val="00F31501"/>
    <w:rsid w:val="00F31D22"/>
    <w:rsid w:val="00F320DA"/>
    <w:rsid w:val="00F322E6"/>
    <w:rsid w:val="00F328C1"/>
    <w:rsid w:val="00F32B05"/>
    <w:rsid w:val="00F32B7A"/>
    <w:rsid w:val="00F32C24"/>
    <w:rsid w:val="00F32D14"/>
    <w:rsid w:val="00F33479"/>
    <w:rsid w:val="00F3352B"/>
    <w:rsid w:val="00F33DED"/>
    <w:rsid w:val="00F33E89"/>
    <w:rsid w:val="00F33F4C"/>
    <w:rsid w:val="00F344B1"/>
    <w:rsid w:val="00F3489D"/>
    <w:rsid w:val="00F349D7"/>
    <w:rsid w:val="00F34E20"/>
    <w:rsid w:val="00F35556"/>
    <w:rsid w:val="00F35682"/>
    <w:rsid w:val="00F35701"/>
    <w:rsid w:val="00F35BE2"/>
    <w:rsid w:val="00F35BE3"/>
    <w:rsid w:val="00F35EBA"/>
    <w:rsid w:val="00F35FB7"/>
    <w:rsid w:val="00F36440"/>
    <w:rsid w:val="00F368D9"/>
    <w:rsid w:val="00F3698F"/>
    <w:rsid w:val="00F376A7"/>
    <w:rsid w:val="00F4003B"/>
    <w:rsid w:val="00F4019A"/>
    <w:rsid w:val="00F40432"/>
    <w:rsid w:val="00F4069A"/>
    <w:rsid w:val="00F40F59"/>
    <w:rsid w:val="00F40F69"/>
    <w:rsid w:val="00F41385"/>
    <w:rsid w:val="00F4159A"/>
    <w:rsid w:val="00F41693"/>
    <w:rsid w:val="00F416B8"/>
    <w:rsid w:val="00F41D2D"/>
    <w:rsid w:val="00F4229B"/>
    <w:rsid w:val="00F426A6"/>
    <w:rsid w:val="00F428AD"/>
    <w:rsid w:val="00F42A8E"/>
    <w:rsid w:val="00F431D9"/>
    <w:rsid w:val="00F4325D"/>
    <w:rsid w:val="00F434E1"/>
    <w:rsid w:val="00F444BE"/>
    <w:rsid w:val="00F44A9A"/>
    <w:rsid w:val="00F45272"/>
    <w:rsid w:val="00F45D66"/>
    <w:rsid w:val="00F463CD"/>
    <w:rsid w:val="00F46744"/>
    <w:rsid w:val="00F46E05"/>
    <w:rsid w:val="00F47203"/>
    <w:rsid w:val="00F479EB"/>
    <w:rsid w:val="00F47EAD"/>
    <w:rsid w:val="00F50212"/>
    <w:rsid w:val="00F5152B"/>
    <w:rsid w:val="00F516D9"/>
    <w:rsid w:val="00F51C90"/>
    <w:rsid w:val="00F520A6"/>
    <w:rsid w:val="00F52223"/>
    <w:rsid w:val="00F526BA"/>
    <w:rsid w:val="00F5287C"/>
    <w:rsid w:val="00F53658"/>
    <w:rsid w:val="00F538C4"/>
    <w:rsid w:val="00F53A75"/>
    <w:rsid w:val="00F54094"/>
    <w:rsid w:val="00F5409D"/>
    <w:rsid w:val="00F5445F"/>
    <w:rsid w:val="00F5477F"/>
    <w:rsid w:val="00F5495E"/>
    <w:rsid w:val="00F54DA2"/>
    <w:rsid w:val="00F55212"/>
    <w:rsid w:val="00F55C0D"/>
    <w:rsid w:val="00F5695F"/>
    <w:rsid w:val="00F570D1"/>
    <w:rsid w:val="00F57CB3"/>
    <w:rsid w:val="00F6078B"/>
    <w:rsid w:val="00F60BC6"/>
    <w:rsid w:val="00F60FA7"/>
    <w:rsid w:val="00F614CE"/>
    <w:rsid w:val="00F61E10"/>
    <w:rsid w:val="00F620B5"/>
    <w:rsid w:val="00F62345"/>
    <w:rsid w:val="00F62679"/>
    <w:rsid w:val="00F629A4"/>
    <w:rsid w:val="00F62CD8"/>
    <w:rsid w:val="00F630A8"/>
    <w:rsid w:val="00F633E6"/>
    <w:rsid w:val="00F638C9"/>
    <w:rsid w:val="00F63A52"/>
    <w:rsid w:val="00F63BCB"/>
    <w:rsid w:val="00F64247"/>
    <w:rsid w:val="00F64539"/>
    <w:rsid w:val="00F645E7"/>
    <w:rsid w:val="00F64A2A"/>
    <w:rsid w:val="00F64A71"/>
    <w:rsid w:val="00F64B37"/>
    <w:rsid w:val="00F64D6B"/>
    <w:rsid w:val="00F65113"/>
    <w:rsid w:val="00F659E1"/>
    <w:rsid w:val="00F65AFD"/>
    <w:rsid w:val="00F660B9"/>
    <w:rsid w:val="00F66506"/>
    <w:rsid w:val="00F66E05"/>
    <w:rsid w:val="00F6707F"/>
    <w:rsid w:val="00F67106"/>
    <w:rsid w:val="00F679FD"/>
    <w:rsid w:val="00F70617"/>
    <w:rsid w:val="00F70EB7"/>
    <w:rsid w:val="00F71360"/>
    <w:rsid w:val="00F71521"/>
    <w:rsid w:val="00F71791"/>
    <w:rsid w:val="00F7274E"/>
    <w:rsid w:val="00F72945"/>
    <w:rsid w:val="00F74242"/>
    <w:rsid w:val="00F74809"/>
    <w:rsid w:val="00F75888"/>
    <w:rsid w:val="00F758F7"/>
    <w:rsid w:val="00F759B1"/>
    <w:rsid w:val="00F76364"/>
    <w:rsid w:val="00F7660C"/>
    <w:rsid w:val="00F76969"/>
    <w:rsid w:val="00F76978"/>
    <w:rsid w:val="00F76C64"/>
    <w:rsid w:val="00F76D86"/>
    <w:rsid w:val="00F77C86"/>
    <w:rsid w:val="00F80078"/>
    <w:rsid w:val="00F800E1"/>
    <w:rsid w:val="00F807B5"/>
    <w:rsid w:val="00F809B7"/>
    <w:rsid w:val="00F80B12"/>
    <w:rsid w:val="00F80C1F"/>
    <w:rsid w:val="00F80C74"/>
    <w:rsid w:val="00F8142A"/>
    <w:rsid w:val="00F81B9E"/>
    <w:rsid w:val="00F82408"/>
    <w:rsid w:val="00F829D8"/>
    <w:rsid w:val="00F82B60"/>
    <w:rsid w:val="00F82C84"/>
    <w:rsid w:val="00F82DF8"/>
    <w:rsid w:val="00F82ECE"/>
    <w:rsid w:val="00F84140"/>
    <w:rsid w:val="00F84446"/>
    <w:rsid w:val="00F84663"/>
    <w:rsid w:val="00F84A4B"/>
    <w:rsid w:val="00F84C8D"/>
    <w:rsid w:val="00F85130"/>
    <w:rsid w:val="00F8547C"/>
    <w:rsid w:val="00F859F8"/>
    <w:rsid w:val="00F85E09"/>
    <w:rsid w:val="00F85F39"/>
    <w:rsid w:val="00F86279"/>
    <w:rsid w:val="00F867E9"/>
    <w:rsid w:val="00F86BD2"/>
    <w:rsid w:val="00F86F36"/>
    <w:rsid w:val="00F871FE"/>
    <w:rsid w:val="00F8746A"/>
    <w:rsid w:val="00F87D63"/>
    <w:rsid w:val="00F90A97"/>
    <w:rsid w:val="00F90DA7"/>
    <w:rsid w:val="00F914CE"/>
    <w:rsid w:val="00F928FD"/>
    <w:rsid w:val="00F92953"/>
    <w:rsid w:val="00F92CCD"/>
    <w:rsid w:val="00F93459"/>
    <w:rsid w:val="00F93695"/>
    <w:rsid w:val="00F937EB"/>
    <w:rsid w:val="00F93978"/>
    <w:rsid w:val="00F93C39"/>
    <w:rsid w:val="00F94CF5"/>
    <w:rsid w:val="00F94F91"/>
    <w:rsid w:val="00F957E7"/>
    <w:rsid w:val="00F95C60"/>
    <w:rsid w:val="00F9705A"/>
    <w:rsid w:val="00F9750D"/>
    <w:rsid w:val="00F975DB"/>
    <w:rsid w:val="00F97813"/>
    <w:rsid w:val="00F97A8B"/>
    <w:rsid w:val="00F97BB9"/>
    <w:rsid w:val="00F97E2E"/>
    <w:rsid w:val="00F97ED6"/>
    <w:rsid w:val="00FA1190"/>
    <w:rsid w:val="00FA130E"/>
    <w:rsid w:val="00FA18DF"/>
    <w:rsid w:val="00FA1A45"/>
    <w:rsid w:val="00FA29A2"/>
    <w:rsid w:val="00FA29E6"/>
    <w:rsid w:val="00FA2A60"/>
    <w:rsid w:val="00FA3FFA"/>
    <w:rsid w:val="00FA423C"/>
    <w:rsid w:val="00FA43F0"/>
    <w:rsid w:val="00FA4487"/>
    <w:rsid w:val="00FA45AB"/>
    <w:rsid w:val="00FA4A6F"/>
    <w:rsid w:val="00FA4A91"/>
    <w:rsid w:val="00FA52A6"/>
    <w:rsid w:val="00FA536F"/>
    <w:rsid w:val="00FA633E"/>
    <w:rsid w:val="00FA679F"/>
    <w:rsid w:val="00FA6D0D"/>
    <w:rsid w:val="00FA70A6"/>
    <w:rsid w:val="00FA7499"/>
    <w:rsid w:val="00FA7510"/>
    <w:rsid w:val="00FA77A5"/>
    <w:rsid w:val="00FA7843"/>
    <w:rsid w:val="00FA7B2B"/>
    <w:rsid w:val="00FA7BCB"/>
    <w:rsid w:val="00FB014B"/>
    <w:rsid w:val="00FB03B3"/>
    <w:rsid w:val="00FB0D06"/>
    <w:rsid w:val="00FB1478"/>
    <w:rsid w:val="00FB1E5F"/>
    <w:rsid w:val="00FB202F"/>
    <w:rsid w:val="00FB2087"/>
    <w:rsid w:val="00FB31FE"/>
    <w:rsid w:val="00FB33EE"/>
    <w:rsid w:val="00FB3898"/>
    <w:rsid w:val="00FB3B0B"/>
    <w:rsid w:val="00FB3EA4"/>
    <w:rsid w:val="00FB446E"/>
    <w:rsid w:val="00FB47DB"/>
    <w:rsid w:val="00FB4B84"/>
    <w:rsid w:val="00FB4C23"/>
    <w:rsid w:val="00FB4E54"/>
    <w:rsid w:val="00FB511F"/>
    <w:rsid w:val="00FB512A"/>
    <w:rsid w:val="00FB5496"/>
    <w:rsid w:val="00FB5979"/>
    <w:rsid w:val="00FB5A29"/>
    <w:rsid w:val="00FB67B6"/>
    <w:rsid w:val="00FB768B"/>
    <w:rsid w:val="00FB7F6C"/>
    <w:rsid w:val="00FB7FBD"/>
    <w:rsid w:val="00FC008E"/>
    <w:rsid w:val="00FC023C"/>
    <w:rsid w:val="00FC072A"/>
    <w:rsid w:val="00FC0D5A"/>
    <w:rsid w:val="00FC0E60"/>
    <w:rsid w:val="00FC0FCD"/>
    <w:rsid w:val="00FC11F5"/>
    <w:rsid w:val="00FC1598"/>
    <w:rsid w:val="00FC15FE"/>
    <w:rsid w:val="00FC17EB"/>
    <w:rsid w:val="00FC2489"/>
    <w:rsid w:val="00FC24BF"/>
    <w:rsid w:val="00FC2504"/>
    <w:rsid w:val="00FC2926"/>
    <w:rsid w:val="00FC2EBE"/>
    <w:rsid w:val="00FC3331"/>
    <w:rsid w:val="00FC343D"/>
    <w:rsid w:val="00FC3D7C"/>
    <w:rsid w:val="00FC4F9D"/>
    <w:rsid w:val="00FC54BD"/>
    <w:rsid w:val="00FC591B"/>
    <w:rsid w:val="00FC5ADD"/>
    <w:rsid w:val="00FC5E24"/>
    <w:rsid w:val="00FC5FE8"/>
    <w:rsid w:val="00FC614D"/>
    <w:rsid w:val="00FC6DAC"/>
    <w:rsid w:val="00FC73A2"/>
    <w:rsid w:val="00FC73E5"/>
    <w:rsid w:val="00FC749F"/>
    <w:rsid w:val="00FC75D9"/>
    <w:rsid w:val="00FC76D8"/>
    <w:rsid w:val="00FC7854"/>
    <w:rsid w:val="00FC7E76"/>
    <w:rsid w:val="00FC7EDB"/>
    <w:rsid w:val="00FD1020"/>
    <w:rsid w:val="00FD126B"/>
    <w:rsid w:val="00FD143B"/>
    <w:rsid w:val="00FD1EB7"/>
    <w:rsid w:val="00FD1ECE"/>
    <w:rsid w:val="00FD2987"/>
    <w:rsid w:val="00FD2AE8"/>
    <w:rsid w:val="00FD2C1F"/>
    <w:rsid w:val="00FD3302"/>
    <w:rsid w:val="00FD336B"/>
    <w:rsid w:val="00FD362D"/>
    <w:rsid w:val="00FD37FF"/>
    <w:rsid w:val="00FD3A78"/>
    <w:rsid w:val="00FD471B"/>
    <w:rsid w:val="00FD489C"/>
    <w:rsid w:val="00FD4BCB"/>
    <w:rsid w:val="00FD5293"/>
    <w:rsid w:val="00FD5503"/>
    <w:rsid w:val="00FD5655"/>
    <w:rsid w:val="00FD5C25"/>
    <w:rsid w:val="00FD61C5"/>
    <w:rsid w:val="00FD6CA3"/>
    <w:rsid w:val="00FD74E7"/>
    <w:rsid w:val="00FD7799"/>
    <w:rsid w:val="00FD7FD2"/>
    <w:rsid w:val="00FE0570"/>
    <w:rsid w:val="00FE08F6"/>
    <w:rsid w:val="00FE0D71"/>
    <w:rsid w:val="00FE1A80"/>
    <w:rsid w:val="00FE1D15"/>
    <w:rsid w:val="00FE1E8E"/>
    <w:rsid w:val="00FE30DE"/>
    <w:rsid w:val="00FE39AE"/>
    <w:rsid w:val="00FE3B89"/>
    <w:rsid w:val="00FE48A1"/>
    <w:rsid w:val="00FE500F"/>
    <w:rsid w:val="00FE555F"/>
    <w:rsid w:val="00FE5D27"/>
    <w:rsid w:val="00FE6065"/>
    <w:rsid w:val="00FE60C1"/>
    <w:rsid w:val="00FE715E"/>
    <w:rsid w:val="00FE7850"/>
    <w:rsid w:val="00FE793E"/>
    <w:rsid w:val="00FE7CB4"/>
    <w:rsid w:val="00FE7DFB"/>
    <w:rsid w:val="00FF0046"/>
    <w:rsid w:val="00FF0601"/>
    <w:rsid w:val="00FF07EF"/>
    <w:rsid w:val="00FF0E25"/>
    <w:rsid w:val="00FF1385"/>
    <w:rsid w:val="00FF15AD"/>
    <w:rsid w:val="00FF1714"/>
    <w:rsid w:val="00FF1884"/>
    <w:rsid w:val="00FF239D"/>
    <w:rsid w:val="00FF2992"/>
    <w:rsid w:val="00FF2998"/>
    <w:rsid w:val="00FF2CA4"/>
    <w:rsid w:val="00FF32B0"/>
    <w:rsid w:val="00FF3529"/>
    <w:rsid w:val="00FF3B7F"/>
    <w:rsid w:val="00FF40EC"/>
    <w:rsid w:val="00FF4175"/>
    <w:rsid w:val="00FF41C9"/>
    <w:rsid w:val="00FF4200"/>
    <w:rsid w:val="00FF452F"/>
    <w:rsid w:val="00FF45CA"/>
    <w:rsid w:val="00FF48BE"/>
    <w:rsid w:val="00FF5040"/>
    <w:rsid w:val="00FF565D"/>
    <w:rsid w:val="00FF5BE2"/>
    <w:rsid w:val="00FF622E"/>
    <w:rsid w:val="00FF6773"/>
    <w:rsid w:val="00FF685E"/>
    <w:rsid w:val="00FF6A32"/>
    <w:rsid w:val="00FF6C94"/>
    <w:rsid w:val="00FF7173"/>
    <w:rsid w:val="00FF7D7A"/>
    <w:rsid w:val="0145EF1C"/>
    <w:rsid w:val="01A84CBE"/>
    <w:rsid w:val="01BCAE16"/>
    <w:rsid w:val="01C44294"/>
    <w:rsid w:val="0212F175"/>
    <w:rsid w:val="02159C79"/>
    <w:rsid w:val="02169D73"/>
    <w:rsid w:val="024C925B"/>
    <w:rsid w:val="025DDC17"/>
    <w:rsid w:val="027D81AC"/>
    <w:rsid w:val="02AF020A"/>
    <w:rsid w:val="02C815D3"/>
    <w:rsid w:val="02D4DBDB"/>
    <w:rsid w:val="02D8E9FC"/>
    <w:rsid w:val="02EC70D0"/>
    <w:rsid w:val="02FB8E1B"/>
    <w:rsid w:val="0311A6C4"/>
    <w:rsid w:val="0323DC09"/>
    <w:rsid w:val="0330D741"/>
    <w:rsid w:val="037088E3"/>
    <w:rsid w:val="03ADC048"/>
    <w:rsid w:val="03E31431"/>
    <w:rsid w:val="03FECAC7"/>
    <w:rsid w:val="04006139"/>
    <w:rsid w:val="042BCB95"/>
    <w:rsid w:val="0446F594"/>
    <w:rsid w:val="044DAECA"/>
    <w:rsid w:val="047F33E6"/>
    <w:rsid w:val="048BA10C"/>
    <w:rsid w:val="04EA0EEC"/>
    <w:rsid w:val="04F63752"/>
    <w:rsid w:val="050C9089"/>
    <w:rsid w:val="0527A2E9"/>
    <w:rsid w:val="053B39AF"/>
    <w:rsid w:val="0556C8DD"/>
    <w:rsid w:val="05682FE0"/>
    <w:rsid w:val="057A826C"/>
    <w:rsid w:val="059DE019"/>
    <w:rsid w:val="05C56219"/>
    <w:rsid w:val="05DA6410"/>
    <w:rsid w:val="05DAEE9A"/>
    <w:rsid w:val="05E06340"/>
    <w:rsid w:val="05E97F2B"/>
    <w:rsid w:val="05EBB313"/>
    <w:rsid w:val="0604FBCD"/>
    <w:rsid w:val="062923B9"/>
    <w:rsid w:val="064944C1"/>
    <w:rsid w:val="06897F0B"/>
    <w:rsid w:val="068C1094"/>
    <w:rsid w:val="0698403F"/>
    <w:rsid w:val="06A04F4B"/>
    <w:rsid w:val="06AB353C"/>
    <w:rsid w:val="06BBE793"/>
    <w:rsid w:val="0714BB87"/>
    <w:rsid w:val="07628A58"/>
    <w:rsid w:val="076BE18C"/>
    <w:rsid w:val="07DC7538"/>
    <w:rsid w:val="07F03336"/>
    <w:rsid w:val="0816BCD0"/>
    <w:rsid w:val="082CC568"/>
    <w:rsid w:val="087E09CF"/>
    <w:rsid w:val="08808EA6"/>
    <w:rsid w:val="08C1D711"/>
    <w:rsid w:val="08D2C7E0"/>
    <w:rsid w:val="08DB6808"/>
    <w:rsid w:val="08DE4BD3"/>
    <w:rsid w:val="08E05BF5"/>
    <w:rsid w:val="0907B1ED"/>
    <w:rsid w:val="09927224"/>
    <w:rsid w:val="09AD1EB8"/>
    <w:rsid w:val="09AF7FDF"/>
    <w:rsid w:val="09E67C54"/>
    <w:rsid w:val="09EA433E"/>
    <w:rsid w:val="09ECC737"/>
    <w:rsid w:val="0A0365C3"/>
    <w:rsid w:val="0A049BEE"/>
    <w:rsid w:val="0A2EEA03"/>
    <w:rsid w:val="0A3A2553"/>
    <w:rsid w:val="0A3BC318"/>
    <w:rsid w:val="0A694857"/>
    <w:rsid w:val="0A9CC5F0"/>
    <w:rsid w:val="0AC91198"/>
    <w:rsid w:val="0AD49BE6"/>
    <w:rsid w:val="0AE01FB7"/>
    <w:rsid w:val="0AE58CF0"/>
    <w:rsid w:val="0B0456FE"/>
    <w:rsid w:val="0B17E701"/>
    <w:rsid w:val="0B1C506B"/>
    <w:rsid w:val="0B3A87B6"/>
    <w:rsid w:val="0B4A67FF"/>
    <w:rsid w:val="0B4EA955"/>
    <w:rsid w:val="0B663CA4"/>
    <w:rsid w:val="0B6DDEC9"/>
    <w:rsid w:val="0B86139F"/>
    <w:rsid w:val="0BABE74D"/>
    <w:rsid w:val="0BAECA00"/>
    <w:rsid w:val="0BF4E44C"/>
    <w:rsid w:val="0C462353"/>
    <w:rsid w:val="0C4DAB37"/>
    <w:rsid w:val="0C6CDF18"/>
    <w:rsid w:val="0C8BFB2C"/>
    <w:rsid w:val="0CB71AAA"/>
    <w:rsid w:val="0CEB96DD"/>
    <w:rsid w:val="0CF4BDBF"/>
    <w:rsid w:val="0CFD365B"/>
    <w:rsid w:val="0D29519B"/>
    <w:rsid w:val="0D2B8B36"/>
    <w:rsid w:val="0D62837C"/>
    <w:rsid w:val="0DB95322"/>
    <w:rsid w:val="0DCEB65B"/>
    <w:rsid w:val="0DD24CC8"/>
    <w:rsid w:val="0DDB0871"/>
    <w:rsid w:val="0DED688B"/>
    <w:rsid w:val="0DEFE44F"/>
    <w:rsid w:val="0DF00931"/>
    <w:rsid w:val="0EAD63E3"/>
    <w:rsid w:val="0EADD11B"/>
    <w:rsid w:val="0EB0B24F"/>
    <w:rsid w:val="0ECB9797"/>
    <w:rsid w:val="0EF9C1AB"/>
    <w:rsid w:val="0F3551AB"/>
    <w:rsid w:val="0F968300"/>
    <w:rsid w:val="0FB8EEFF"/>
    <w:rsid w:val="0FBABC6B"/>
    <w:rsid w:val="0FBBADB0"/>
    <w:rsid w:val="0FF0E0D9"/>
    <w:rsid w:val="10267AB4"/>
    <w:rsid w:val="1034C031"/>
    <w:rsid w:val="1051C0D8"/>
    <w:rsid w:val="105992F9"/>
    <w:rsid w:val="10621CF1"/>
    <w:rsid w:val="1065C9FF"/>
    <w:rsid w:val="106A1BF2"/>
    <w:rsid w:val="10811B28"/>
    <w:rsid w:val="10842464"/>
    <w:rsid w:val="1095920C"/>
    <w:rsid w:val="10FD2B51"/>
    <w:rsid w:val="112CFB4B"/>
    <w:rsid w:val="1158379A"/>
    <w:rsid w:val="116D36F0"/>
    <w:rsid w:val="1193396E"/>
    <w:rsid w:val="11B7D4D4"/>
    <w:rsid w:val="1211E582"/>
    <w:rsid w:val="121E3BE8"/>
    <w:rsid w:val="1226D636"/>
    <w:rsid w:val="12770A69"/>
    <w:rsid w:val="1283E76E"/>
    <w:rsid w:val="129922EC"/>
    <w:rsid w:val="12E4EB94"/>
    <w:rsid w:val="12EABA28"/>
    <w:rsid w:val="12EFFCC5"/>
    <w:rsid w:val="12FCED71"/>
    <w:rsid w:val="130B6B0C"/>
    <w:rsid w:val="131202A5"/>
    <w:rsid w:val="132F6E76"/>
    <w:rsid w:val="136330C9"/>
    <w:rsid w:val="13A6F08E"/>
    <w:rsid w:val="13B26C71"/>
    <w:rsid w:val="13DCDA0E"/>
    <w:rsid w:val="13DFBCA5"/>
    <w:rsid w:val="13E3C6B1"/>
    <w:rsid w:val="13E59247"/>
    <w:rsid w:val="13E82F95"/>
    <w:rsid w:val="14288865"/>
    <w:rsid w:val="143AA4FB"/>
    <w:rsid w:val="14493895"/>
    <w:rsid w:val="1461453C"/>
    <w:rsid w:val="148BDBF3"/>
    <w:rsid w:val="14BF0DF3"/>
    <w:rsid w:val="1519F4A6"/>
    <w:rsid w:val="1542C0EF"/>
    <w:rsid w:val="15756B83"/>
    <w:rsid w:val="15D7D428"/>
    <w:rsid w:val="15F4F9B3"/>
    <w:rsid w:val="15F58E66"/>
    <w:rsid w:val="15FD159D"/>
    <w:rsid w:val="160212B6"/>
    <w:rsid w:val="162AAC9E"/>
    <w:rsid w:val="162E9C0E"/>
    <w:rsid w:val="16B662CB"/>
    <w:rsid w:val="16CB7139"/>
    <w:rsid w:val="16E8F490"/>
    <w:rsid w:val="16FCAAFF"/>
    <w:rsid w:val="17580D75"/>
    <w:rsid w:val="17792F0E"/>
    <w:rsid w:val="17C3B9A9"/>
    <w:rsid w:val="17FF24A6"/>
    <w:rsid w:val="187B872E"/>
    <w:rsid w:val="187C86CF"/>
    <w:rsid w:val="18CC48E1"/>
    <w:rsid w:val="18D11AEB"/>
    <w:rsid w:val="18D81D8A"/>
    <w:rsid w:val="18EE552E"/>
    <w:rsid w:val="1909354E"/>
    <w:rsid w:val="1960EC9A"/>
    <w:rsid w:val="198FF906"/>
    <w:rsid w:val="19C86D84"/>
    <w:rsid w:val="1A293FE8"/>
    <w:rsid w:val="1A4D17B1"/>
    <w:rsid w:val="1A4EED16"/>
    <w:rsid w:val="1A6D4A0F"/>
    <w:rsid w:val="1A9222EC"/>
    <w:rsid w:val="1ABC3C11"/>
    <w:rsid w:val="1AD086C0"/>
    <w:rsid w:val="1B2D6E79"/>
    <w:rsid w:val="1B532C2A"/>
    <w:rsid w:val="1B540DD6"/>
    <w:rsid w:val="1B546195"/>
    <w:rsid w:val="1BDFBD6E"/>
    <w:rsid w:val="1C06778D"/>
    <w:rsid w:val="1C3D24B6"/>
    <w:rsid w:val="1C52B4ED"/>
    <w:rsid w:val="1C5B4B68"/>
    <w:rsid w:val="1CB75F03"/>
    <w:rsid w:val="1CBE2C0B"/>
    <w:rsid w:val="1CC134C0"/>
    <w:rsid w:val="1CC478AF"/>
    <w:rsid w:val="1CCEB174"/>
    <w:rsid w:val="1CD1D88A"/>
    <w:rsid w:val="1CE86533"/>
    <w:rsid w:val="1CEF9FD3"/>
    <w:rsid w:val="1D102092"/>
    <w:rsid w:val="1D56CDAD"/>
    <w:rsid w:val="1D871046"/>
    <w:rsid w:val="1DE0E9AC"/>
    <w:rsid w:val="1E5D48F7"/>
    <w:rsid w:val="1E820016"/>
    <w:rsid w:val="1EAE3F53"/>
    <w:rsid w:val="1F0C79B0"/>
    <w:rsid w:val="1F32BFA0"/>
    <w:rsid w:val="1F6A886A"/>
    <w:rsid w:val="1F712D52"/>
    <w:rsid w:val="1F74A5FE"/>
    <w:rsid w:val="1FA1B13F"/>
    <w:rsid w:val="1FC8E3A3"/>
    <w:rsid w:val="1FC91BF4"/>
    <w:rsid w:val="1FCA14DA"/>
    <w:rsid w:val="1FDC5004"/>
    <w:rsid w:val="1FF110CF"/>
    <w:rsid w:val="200FC73D"/>
    <w:rsid w:val="20229B84"/>
    <w:rsid w:val="2055FBE6"/>
    <w:rsid w:val="208C92F9"/>
    <w:rsid w:val="20A31B6B"/>
    <w:rsid w:val="20BC5935"/>
    <w:rsid w:val="20C185BC"/>
    <w:rsid w:val="20D69A2A"/>
    <w:rsid w:val="2127FEDA"/>
    <w:rsid w:val="2145B2F1"/>
    <w:rsid w:val="214CE850"/>
    <w:rsid w:val="21599B28"/>
    <w:rsid w:val="215D7996"/>
    <w:rsid w:val="2174E2C4"/>
    <w:rsid w:val="21750F23"/>
    <w:rsid w:val="218595BC"/>
    <w:rsid w:val="218E90D3"/>
    <w:rsid w:val="21A863D1"/>
    <w:rsid w:val="21B1AC10"/>
    <w:rsid w:val="21E5F88A"/>
    <w:rsid w:val="22180F74"/>
    <w:rsid w:val="2254E941"/>
    <w:rsid w:val="22796799"/>
    <w:rsid w:val="22A9DBEB"/>
    <w:rsid w:val="22C0594E"/>
    <w:rsid w:val="22D18B7E"/>
    <w:rsid w:val="22F7D52D"/>
    <w:rsid w:val="23066D1F"/>
    <w:rsid w:val="231C54C1"/>
    <w:rsid w:val="2337E5E8"/>
    <w:rsid w:val="2339B37C"/>
    <w:rsid w:val="23B89CA7"/>
    <w:rsid w:val="24001B8A"/>
    <w:rsid w:val="240A0D07"/>
    <w:rsid w:val="241C750E"/>
    <w:rsid w:val="243120D4"/>
    <w:rsid w:val="2449EBC3"/>
    <w:rsid w:val="247CD6A5"/>
    <w:rsid w:val="249ABC17"/>
    <w:rsid w:val="249B8C1E"/>
    <w:rsid w:val="24D00BC6"/>
    <w:rsid w:val="2528C4C0"/>
    <w:rsid w:val="254DE3DE"/>
    <w:rsid w:val="2551E18B"/>
    <w:rsid w:val="2566BED2"/>
    <w:rsid w:val="25A0134E"/>
    <w:rsid w:val="25B0D437"/>
    <w:rsid w:val="25E25741"/>
    <w:rsid w:val="2658EF50"/>
    <w:rsid w:val="266A64EE"/>
    <w:rsid w:val="26B72C0A"/>
    <w:rsid w:val="26C49521"/>
    <w:rsid w:val="27926FDE"/>
    <w:rsid w:val="279B4A91"/>
    <w:rsid w:val="279FA2D1"/>
    <w:rsid w:val="27ABB946"/>
    <w:rsid w:val="27C0A0B5"/>
    <w:rsid w:val="27C45D54"/>
    <w:rsid w:val="27F347D4"/>
    <w:rsid w:val="280DFD50"/>
    <w:rsid w:val="283E4598"/>
    <w:rsid w:val="283FE812"/>
    <w:rsid w:val="283FEAB3"/>
    <w:rsid w:val="2848CB95"/>
    <w:rsid w:val="28737F61"/>
    <w:rsid w:val="28970D66"/>
    <w:rsid w:val="28A9C9C6"/>
    <w:rsid w:val="28CE71F9"/>
    <w:rsid w:val="28EFE306"/>
    <w:rsid w:val="2917C50C"/>
    <w:rsid w:val="29523613"/>
    <w:rsid w:val="295580AA"/>
    <w:rsid w:val="2956855A"/>
    <w:rsid w:val="2976D068"/>
    <w:rsid w:val="29797F57"/>
    <w:rsid w:val="29844494"/>
    <w:rsid w:val="298513EB"/>
    <w:rsid w:val="2999D5D7"/>
    <w:rsid w:val="29C88B5B"/>
    <w:rsid w:val="29D3F734"/>
    <w:rsid w:val="2A08DE59"/>
    <w:rsid w:val="2A0EC8EF"/>
    <w:rsid w:val="2A1A940E"/>
    <w:rsid w:val="2A613476"/>
    <w:rsid w:val="2A8F8944"/>
    <w:rsid w:val="2AA5997F"/>
    <w:rsid w:val="2AC432ED"/>
    <w:rsid w:val="2AD2EC1D"/>
    <w:rsid w:val="2AD31AB6"/>
    <w:rsid w:val="2AF2F834"/>
    <w:rsid w:val="2B1637C2"/>
    <w:rsid w:val="2B181038"/>
    <w:rsid w:val="2B19A769"/>
    <w:rsid w:val="2B36E450"/>
    <w:rsid w:val="2B3DD611"/>
    <w:rsid w:val="2B406368"/>
    <w:rsid w:val="2B54B1D3"/>
    <w:rsid w:val="2B5B2BF9"/>
    <w:rsid w:val="2B63DAED"/>
    <w:rsid w:val="2B732367"/>
    <w:rsid w:val="2B8F6E1D"/>
    <w:rsid w:val="2BAE64D9"/>
    <w:rsid w:val="2BC4FE8D"/>
    <w:rsid w:val="2BD945F3"/>
    <w:rsid w:val="2C366E59"/>
    <w:rsid w:val="2C5136CE"/>
    <w:rsid w:val="2C8A6871"/>
    <w:rsid w:val="2CA349D9"/>
    <w:rsid w:val="2CF4E818"/>
    <w:rsid w:val="2CF71259"/>
    <w:rsid w:val="2D4C04C8"/>
    <w:rsid w:val="2D9F8495"/>
    <w:rsid w:val="2DE22878"/>
    <w:rsid w:val="2DFAB99A"/>
    <w:rsid w:val="2E0681E2"/>
    <w:rsid w:val="2E0BC7E4"/>
    <w:rsid w:val="2E240A10"/>
    <w:rsid w:val="2E2638D2"/>
    <w:rsid w:val="2E4D9D22"/>
    <w:rsid w:val="2E6473CC"/>
    <w:rsid w:val="2E7978D1"/>
    <w:rsid w:val="2EFA15A4"/>
    <w:rsid w:val="2F05E1D7"/>
    <w:rsid w:val="2F16E176"/>
    <w:rsid w:val="2F39165C"/>
    <w:rsid w:val="2F9631F4"/>
    <w:rsid w:val="2F96750B"/>
    <w:rsid w:val="2F97BA1A"/>
    <w:rsid w:val="2FD8F301"/>
    <w:rsid w:val="30824B2B"/>
    <w:rsid w:val="30A4F697"/>
    <w:rsid w:val="30DC4A82"/>
    <w:rsid w:val="30F9B7D6"/>
    <w:rsid w:val="30FC0FD6"/>
    <w:rsid w:val="31046424"/>
    <w:rsid w:val="311B725B"/>
    <w:rsid w:val="31593D65"/>
    <w:rsid w:val="319DD02B"/>
    <w:rsid w:val="31AD1795"/>
    <w:rsid w:val="31B31E95"/>
    <w:rsid w:val="31D31C71"/>
    <w:rsid w:val="320E43E3"/>
    <w:rsid w:val="3217ECBE"/>
    <w:rsid w:val="325FB4D4"/>
    <w:rsid w:val="329F2D4B"/>
    <w:rsid w:val="32B595FA"/>
    <w:rsid w:val="333AE810"/>
    <w:rsid w:val="333E854A"/>
    <w:rsid w:val="33572038"/>
    <w:rsid w:val="335CCCCC"/>
    <w:rsid w:val="33615602"/>
    <w:rsid w:val="33817963"/>
    <w:rsid w:val="338F6362"/>
    <w:rsid w:val="33A02019"/>
    <w:rsid w:val="33ACCAA7"/>
    <w:rsid w:val="33B971D6"/>
    <w:rsid w:val="33BB691A"/>
    <w:rsid w:val="33FB6069"/>
    <w:rsid w:val="340E532E"/>
    <w:rsid w:val="341868EB"/>
    <w:rsid w:val="342377F4"/>
    <w:rsid w:val="344A26C0"/>
    <w:rsid w:val="345A6707"/>
    <w:rsid w:val="34943274"/>
    <w:rsid w:val="349543D2"/>
    <w:rsid w:val="34ADD86A"/>
    <w:rsid w:val="34AE16C0"/>
    <w:rsid w:val="34D96C37"/>
    <w:rsid w:val="34E3EDB4"/>
    <w:rsid w:val="3526465E"/>
    <w:rsid w:val="3532FD12"/>
    <w:rsid w:val="354F93C9"/>
    <w:rsid w:val="35BCB2DB"/>
    <w:rsid w:val="35BF4855"/>
    <w:rsid w:val="35C738B1"/>
    <w:rsid w:val="35CAD232"/>
    <w:rsid w:val="35D87B4A"/>
    <w:rsid w:val="3629CF72"/>
    <w:rsid w:val="363A8F77"/>
    <w:rsid w:val="364E8CD5"/>
    <w:rsid w:val="36541759"/>
    <w:rsid w:val="368088B8"/>
    <w:rsid w:val="3688FB71"/>
    <w:rsid w:val="36925954"/>
    <w:rsid w:val="369B4E33"/>
    <w:rsid w:val="3707663E"/>
    <w:rsid w:val="370E72A5"/>
    <w:rsid w:val="375A7E32"/>
    <w:rsid w:val="3768BC21"/>
    <w:rsid w:val="377CD1DC"/>
    <w:rsid w:val="37988872"/>
    <w:rsid w:val="379FD243"/>
    <w:rsid w:val="37CE407C"/>
    <w:rsid w:val="37DABA21"/>
    <w:rsid w:val="37FD4B28"/>
    <w:rsid w:val="3863BF10"/>
    <w:rsid w:val="38745E3D"/>
    <w:rsid w:val="3882B7D1"/>
    <w:rsid w:val="38A03A69"/>
    <w:rsid w:val="38CF5862"/>
    <w:rsid w:val="38E043C2"/>
    <w:rsid w:val="38FF78AD"/>
    <w:rsid w:val="394340C9"/>
    <w:rsid w:val="394F28EC"/>
    <w:rsid w:val="395A5372"/>
    <w:rsid w:val="395F232D"/>
    <w:rsid w:val="397A4B06"/>
    <w:rsid w:val="397D86A0"/>
    <w:rsid w:val="39B18B0D"/>
    <w:rsid w:val="39D48343"/>
    <w:rsid w:val="39E05A5B"/>
    <w:rsid w:val="3A0B69F5"/>
    <w:rsid w:val="3A22C28C"/>
    <w:rsid w:val="3A3E1326"/>
    <w:rsid w:val="3A789100"/>
    <w:rsid w:val="3AC190D3"/>
    <w:rsid w:val="3AC3E565"/>
    <w:rsid w:val="3AC496E7"/>
    <w:rsid w:val="3AC514CA"/>
    <w:rsid w:val="3ACBDC8D"/>
    <w:rsid w:val="3AE9544A"/>
    <w:rsid w:val="3AEA7227"/>
    <w:rsid w:val="3AFF4637"/>
    <w:rsid w:val="3B3019BC"/>
    <w:rsid w:val="3B3027CC"/>
    <w:rsid w:val="3B3034B0"/>
    <w:rsid w:val="3B48B7B6"/>
    <w:rsid w:val="3B975339"/>
    <w:rsid w:val="3BE88505"/>
    <w:rsid w:val="3BE8C877"/>
    <w:rsid w:val="3BFC9709"/>
    <w:rsid w:val="3C1D2C29"/>
    <w:rsid w:val="3C665EA0"/>
    <w:rsid w:val="3C66AC0A"/>
    <w:rsid w:val="3CC77528"/>
    <w:rsid w:val="3D020108"/>
    <w:rsid w:val="3D2D7BAF"/>
    <w:rsid w:val="3D30C77E"/>
    <w:rsid w:val="3D55F0A3"/>
    <w:rsid w:val="3D76DFF2"/>
    <w:rsid w:val="3D982EFC"/>
    <w:rsid w:val="3DACA790"/>
    <w:rsid w:val="3DC349FE"/>
    <w:rsid w:val="3DFE7DDF"/>
    <w:rsid w:val="3E183F85"/>
    <w:rsid w:val="3E308C91"/>
    <w:rsid w:val="3E51A69C"/>
    <w:rsid w:val="3E6B140A"/>
    <w:rsid w:val="3E71B8EA"/>
    <w:rsid w:val="3E7C6E77"/>
    <w:rsid w:val="3E8C9662"/>
    <w:rsid w:val="3E91A55D"/>
    <w:rsid w:val="3E923E5D"/>
    <w:rsid w:val="3ED6BB08"/>
    <w:rsid w:val="3EEF60A4"/>
    <w:rsid w:val="3F26793B"/>
    <w:rsid w:val="3F2BA33F"/>
    <w:rsid w:val="3F2E22A3"/>
    <w:rsid w:val="3F3E4D3B"/>
    <w:rsid w:val="3F68DE0A"/>
    <w:rsid w:val="3F7C576D"/>
    <w:rsid w:val="3F89D471"/>
    <w:rsid w:val="3FFE8A96"/>
    <w:rsid w:val="4013EFD8"/>
    <w:rsid w:val="402B3AAD"/>
    <w:rsid w:val="4069036F"/>
    <w:rsid w:val="40AC3900"/>
    <w:rsid w:val="413A6430"/>
    <w:rsid w:val="414132CD"/>
    <w:rsid w:val="417FA88F"/>
    <w:rsid w:val="418079BD"/>
    <w:rsid w:val="4196FC73"/>
    <w:rsid w:val="41B2E049"/>
    <w:rsid w:val="41F8D774"/>
    <w:rsid w:val="4221B70D"/>
    <w:rsid w:val="422EE104"/>
    <w:rsid w:val="424EEB0A"/>
    <w:rsid w:val="428754BC"/>
    <w:rsid w:val="42CC16D3"/>
    <w:rsid w:val="42E4C4C8"/>
    <w:rsid w:val="433A6D61"/>
    <w:rsid w:val="43541297"/>
    <w:rsid w:val="4371CA4C"/>
    <w:rsid w:val="43808BD3"/>
    <w:rsid w:val="43975114"/>
    <w:rsid w:val="43B7FFE3"/>
    <w:rsid w:val="43CAB165"/>
    <w:rsid w:val="43D53B93"/>
    <w:rsid w:val="43D62D65"/>
    <w:rsid w:val="4403F1A6"/>
    <w:rsid w:val="44108CA2"/>
    <w:rsid w:val="44415263"/>
    <w:rsid w:val="44740429"/>
    <w:rsid w:val="44997A44"/>
    <w:rsid w:val="44B4886D"/>
    <w:rsid w:val="44D501DC"/>
    <w:rsid w:val="44D6A7E8"/>
    <w:rsid w:val="44E9A14A"/>
    <w:rsid w:val="44EDC56D"/>
    <w:rsid w:val="450968DD"/>
    <w:rsid w:val="450E271E"/>
    <w:rsid w:val="4514AE58"/>
    <w:rsid w:val="4524ABC7"/>
    <w:rsid w:val="457FE4F8"/>
    <w:rsid w:val="4590A658"/>
    <w:rsid w:val="45D768C2"/>
    <w:rsid w:val="4605551A"/>
    <w:rsid w:val="460A09FE"/>
    <w:rsid w:val="46200F2D"/>
    <w:rsid w:val="463FA5B1"/>
    <w:rsid w:val="465219E0"/>
    <w:rsid w:val="4678318E"/>
    <w:rsid w:val="469EECE9"/>
    <w:rsid w:val="46C045AE"/>
    <w:rsid w:val="46C0A282"/>
    <w:rsid w:val="46D78FCD"/>
    <w:rsid w:val="46DC01E5"/>
    <w:rsid w:val="470099BB"/>
    <w:rsid w:val="47135B98"/>
    <w:rsid w:val="472140D5"/>
    <w:rsid w:val="475FD585"/>
    <w:rsid w:val="479CA641"/>
    <w:rsid w:val="479EA241"/>
    <w:rsid w:val="47D848DB"/>
    <w:rsid w:val="47DD2FFC"/>
    <w:rsid w:val="47E74E0B"/>
    <w:rsid w:val="47F6311A"/>
    <w:rsid w:val="48243D1C"/>
    <w:rsid w:val="4892B578"/>
    <w:rsid w:val="48A29EAD"/>
    <w:rsid w:val="48B2FA74"/>
    <w:rsid w:val="48D9F27F"/>
    <w:rsid w:val="490B9BBD"/>
    <w:rsid w:val="491A718E"/>
    <w:rsid w:val="49331C55"/>
    <w:rsid w:val="493876A2"/>
    <w:rsid w:val="49AAFF62"/>
    <w:rsid w:val="49AD547C"/>
    <w:rsid w:val="49C0E010"/>
    <w:rsid w:val="4A351315"/>
    <w:rsid w:val="4A36FD26"/>
    <w:rsid w:val="4A39F2E9"/>
    <w:rsid w:val="4A4860B7"/>
    <w:rsid w:val="4A4AFC5A"/>
    <w:rsid w:val="4A4EFEFA"/>
    <w:rsid w:val="4A7A6D34"/>
    <w:rsid w:val="4A8C0013"/>
    <w:rsid w:val="4A987BB1"/>
    <w:rsid w:val="4ACB87BA"/>
    <w:rsid w:val="4AE76F35"/>
    <w:rsid w:val="4AE79D82"/>
    <w:rsid w:val="4B1F20A3"/>
    <w:rsid w:val="4B2B24EE"/>
    <w:rsid w:val="4B35432F"/>
    <w:rsid w:val="4B556D99"/>
    <w:rsid w:val="4B87090D"/>
    <w:rsid w:val="4BA2D096"/>
    <w:rsid w:val="4BCD725B"/>
    <w:rsid w:val="4BCD918C"/>
    <w:rsid w:val="4BD0F0F1"/>
    <w:rsid w:val="4BD3A707"/>
    <w:rsid w:val="4C07B337"/>
    <w:rsid w:val="4C3981A9"/>
    <w:rsid w:val="4C4C9B29"/>
    <w:rsid w:val="4C883F52"/>
    <w:rsid w:val="4D334523"/>
    <w:rsid w:val="4D9A853C"/>
    <w:rsid w:val="4DA39E0E"/>
    <w:rsid w:val="4DB973BD"/>
    <w:rsid w:val="4DEA4946"/>
    <w:rsid w:val="4E0405A2"/>
    <w:rsid w:val="4E113499"/>
    <w:rsid w:val="4E2DE730"/>
    <w:rsid w:val="4E72D1C1"/>
    <w:rsid w:val="4E91D61C"/>
    <w:rsid w:val="4EC4A703"/>
    <w:rsid w:val="4ED0A1AC"/>
    <w:rsid w:val="4ED6DAEB"/>
    <w:rsid w:val="4EF651D4"/>
    <w:rsid w:val="4F05324E"/>
    <w:rsid w:val="4F3B8DF3"/>
    <w:rsid w:val="4F64484A"/>
    <w:rsid w:val="4F6B1DCC"/>
    <w:rsid w:val="4FA40C86"/>
    <w:rsid w:val="4FA8692D"/>
    <w:rsid w:val="4FBADEB7"/>
    <w:rsid w:val="4FCF7A08"/>
    <w:rsid w:val="4FD1A180"/>
    <w:rsid w:val="502B9E1F"/>
    <w:rsid w:val="506EB3F1"/>
    <w:rsid w:val="50701BF0"/>
    <w:rsid w:val="5079E199"/>
    <w:rsid w:val="50A102AF"/>
    <w:rsid w:val="50B9C8C0"/>
    <w:rsid w:val="50D722D2"/>
    <w:rsid w:val="50ECA935"/>
    <w:rsid w:val="50F56BEA"/>
    <w:rsid w:val="510E7AD0"/>
    <w:rsid w:val="5128C8AC"/>
    <w:rsid w:val="51306499"/>
    <w:rsid w:val="515D6F45"/>
    <w:rsid w:val="5162EEF7"/>
    <w:rsid w:val="516B9301"/>
    <w:rsid w:val="518C531C"/>
    <w:rsid w:val="51C06BFB"/>
    <w:rsid w:val="51CA912F"/>
    <w:rsid w:val="521121B3"/>
    <w:rsid w:val="52ABBA6E"/>
    <w:rsid w:val="52B1D209"/>
    <w:rsid w:val="530E9F17"/>
    <w:rsid w:val="5314802E"/>
    <w:rsid w:val="53969095"/>
    <w:rsid w:val="53A51FF4"/>
    <w:rsid w:val="53AE9431"/>
    <w:rsid w:val="53B99F7A"/>
    <w:rsid w:val="53D61A00"/>
    <w:rsid w:val="53E4AC43"/>
    <w:rsid w:val="53F3E503"/>
    <w:rsid w:val="53F8D16A"/>
    <w:rsid w:val="540AB6D3"/>
    <w:rsid w:val="5448C8E7"/>
    <w:rsid w:val="547F5125"/>
    <w:rsid w:val="548E82AB"/>
    <w:rsid w:val="54C4238E"/>
    <w:rsid w:val="54C82081"/>
    <w:rsid w:val="54DB6CA0"/>
    <w:rsid w:val="5507B29A"/>
    <w:rsid w:val="5534417F"/>
    <w:rsid w:val="557849AF"/>
    <w:rsid w:val="55A6A338"/>
    <w:rsid w:val="55A807B1"/>
    <w:rsid w:val="55ADBC0D"/>
    <w:rsid w:val="55CDE8EF"/>
    <w:rsid w:val="55D3A20F"/>
    <w:rsid w:val="55D8F327"/>
    <w:rsid w:val="563AD5A8"/>
    <w:rsid w:val="569AD56A"/>
    <w:rsid w:val="56B5915E"/>
    <w:rsid w:val="56E1CBC5"/>
    <w:rsid w:val="570AF385"/>
    <w:rsid w:val="57190F58"/>
    <w:rsid w:val="57A880C5"/>
    <w:rsid w:val="57BE7E8B"/>
    <w:rsid w:val="57CD7880"/>
    <w:rsid w:val="57CFB59D"/>
    <w:rsid w:val="589095E4"/>
    <w:rsid w:val="58C54FC3"/>
    <w:rsid w:val="58CFC141"/>
    <w:rsid w:val="59516A12"/>
    <w:rsid w:val="5954594F"/>
    <w:rsid w:val="595D390D"/>
    <w:rsid w:val="5960ECB6"/>
    <w:rsid w:val="597E61C9"/>
    <w:rsid w:val="59BACC66"/>
    <w:rsid w:val="59CD01C1"/>
    <w:rsid w:val="5A090100"/>
    <w:rsid w:val="5A156F04"/>
    <w:rsid w:val="5A728497"/>
    <w:rsid w:val="5ABA868C"/>
    <w:rsid w:val="5AC43901"/>
    <w:rsid w:val="5B42CA18"/>
    <w:rsid w:val="5B4391D3"/>
    <w:rsid w:val="5B43D9A6"/>
    <w:rsid w:val="5B61D6CD"/>
    <w:rsid w:val="5B8E96E6"/>
    <w:rsid w:val="5B9DB751"/>
    <w:rsid w:val="5C369F7F"/>
    <w:rsid w:val="5C748286"/>
    <w:rsid w:val="5C93ECB8"/>
    <w:rsid w:val="5D005D7B"/>
    <w:rsid w:val="5D0C625C"/>
    <w:rsid w:val="5D90C705"/>
    <w:rsid w:val="5D9F52B6"/>
    <w:rsid w:val="5DAB0519"/>
    <w:rsid w:val="5DCE5A33"/>
    <w:rsid w:val="5DF4ADF5"/>
    <w:rsid w:val="5DFE99EC"/>
    <w:rsid w:val="5E0FA439"/>
    <w:rsid w:val="5E18C7AB"/>
    <w:rsid w:val="5E1D3F2E"/>
    <w:rsid w:val="5E25189F"/>
    <w:rsid w:val="5E335AFC"/>
    <w:rsid w:val="5E6EC25C"/>
    <w:rsid w:val="5E8B594E"/>
    <w:rsid w:val="5EEB6A8C"/>
    <w:rsid w:val="5F3C91A5"/>
    <w:rsid w:val="5F47192D"/>
    <w:rsid w:val="5F54A643"/>
    <w:rsid w:val="5F93C647"/>
    <w:rsid w:val="608A5659"/>
    <w:rsid w:val="608E0FE7"/>
    <w:rsid w:val="609327CC"/>
    <w:rsid w:val="60AE1D60"/>
    <w:rsid w:val="60BF833E"/>
    <w:rsid w:val="60C401A6"/>
    <w:rsid w:val="60C8D296"/>
    <w:rsid w:val="60D47DF0"/>
    <w:rsid w:val="60D797C5"/>
    <w:rsid w:val="60D8C814"/>
    <w:rsid w:val="60E309A1"/>
    <w:rsid w:val="60F16FD9"/>
    <w:rsid w:val="61339064"/>
    <w:rsid w:val="61F69CEC"/>
    <w:rsid w:val="6227F9A6"/>
    <w:rsid w:val="6230A81B"/>
    <w:rsid w:val="6230E6DF"/>
    <w:rsid w:val="6245ED4C"/>
    <w:rsid w:val="625D47CD"/>
    <w:rsid w:val="628B55B2"/>
    <w:rsid w:val="62CFD517"/>
    <w:rsid w:val="62DCA1E0"/>
    <w:rsid w:val="635FF4FC"/>
    <w:rsid w:val="63644DB9"/>
    <w:rsid w:val="6382F0F8"/>
    <w:rsid w:val="63C899CC"/>
    <w:rsid w:val="63CE848D"/>
    <w:rsid w:val="63F0A483"/>
    <w:rsid w:val="6412A66E"/>
    <w:rsid w:val="64BF48DB"/>
    <w:rsid w:val="64E29D00"/>
    <w:rsid w:val="64FC22E9"/>
    <w:rsid w:val="651648D6"/>
    <w:rsid w:val="65205384"/>
    <w:rsid w:val="6534C0F1"/>
    <w:rsid w:val="655F0742"/>
    <w:rsid w:val="65C0D363"/>
    <w:rsid w:val="65F27378"/>
    <w:rsid w:val="661DCA3A"/>
    <w:rsid w:val="662378E3"/>
    <w:rsid w:val="665BFEFC"/>
    <w:rsid w:val="66755176"/>
    <w:rsid w:val="66CFE30D"/>
    <w:rsid w:val="66D30771"/>
    <w:rsid w:val="66DA4445"/>
    <w:rsid w:val="67B94B24"/>
    <w:rsid w:val="681A3DC2"/>
    <w:rsid w:val="6833661F"/>
    <w:rsid w:val="68343B0F"/>
    <w:rsid w:val="68384F92"/>
    <w:rsid w:val="68468970"/>
    <w:rsid w:val="6854C76D"/>
    <w:rsid w:val="68909209"/>
    <w:rsid w:val="68A80367"/>
    <w:rsid w:val="68A9C626"/>
    <w:rsid w:val="68B2A8EF"/>
    <w:rsid w:val="68B9F027"/>
    <w:rsid w:val="68C47162"/>
    <w:rsid w:val="690A5979"/>
    <w:rsid w:val="693B1F42"/>
    <w:rsid w:val="693C2117"/>
    <w:rsid w:val="69589647"/>
    <w:rsid w:val="69630EBE"/>
    <w:rsid w:val="69647442"/>
    <w:rsid w:val="69A504B2"/>
    <w:rsid w:val="69B211BA"/>
    <w:rsid w:val="69CF64FA"/>
    <w:rsid w:val="69DC86B0"/>
    <w:rsid w:val="69F46A08"/>
    <w:rsid w:val="6A170627"/>
    <w:rsid w:val="6A1BE729"/>
    <w:rsid w:val="6A4A8C86"/>
    <w:rsid w:val="6A506A89"/>
    <w:rsid w:val="6A8FAC89"/>
    <w:rsid w:val="6AA820CD"/>
    <w:rsid w:val="6AB97CD2"/>
    <w:rsid w:val="6B13A7BD"/>
    <w:rsid w:val="6B40D513"/>
    <w:rsid w:val="6B548033"/>
    <w:rsid w:val="6B7B97A1"/>
    <w:rsid w:val="6B96CF78"/>
    <w:rsid w:val="6B9FE7EE"/>
    <w:rsid w:val="6BA52052"/>
    <w:rsid w:val="6BA61CCB"/>
    <w:rsid w:val="6BD8B255"/>
    <w:rsid w:val="6BD94111"/>
    <w:rsid w:val="6BE88E42"/>
    <w:rsid w:val="6BFFBD66"/>
    <w:rsid w:val="6C2F4006"/>
    <w:rsid w:val="6C43DB0F"/>
    <w:rsid w:val="6C6E42A8"/>
    <w:rsid w:val="6CAA0DFA"/>
    <w:rsid w:val="6CD42187"/>
    <w:rsid w:val="6CED63D3"/>
    <w:rsid w:val="6D25BFC6"/>
    <w:rsid w:val="6D44C509"/>
    <w:rsid w:val="6D699E92"/>
    <w:rsid w:val="6DAC0430"/>
    <w:rsid w:val="6DB2A5B4"/>
    <w:rsid w:val="6DE77522"/>
    <w:rsid w:val="6DEE9EDA"/>
    <w:rsid w:val="6E02CE24"/>
    <w:rsid w:val="6E42B12A"/>
    <w:rsid w:val="6E65A3DB"/>
    <w:rsid w:val="6E725A8F"/>
    <w:rsid w:val="6E891F85"/>
    <w:rsid w:val="6EA7D14D"/>
    <w:rsid w:val="6EC02781"/>
    <w:rsid w:val="6EC0EF3B"/>
    <w:rsid w:val="6EC47A2F"/>
    <w:rsid w:val="6EC764D9"/>
    <w:rsid w:val="6EE6D308"/>
    <w:rsid w:val="6F37DE86"/>
    <w:rsid w:val="6F5733CE"/>
    <w:rsid w:val="6F598746"/>
    <w:rsid w:val="6F6E1001"/>
    <w:rsid w:val="6F982EAE"/>
    <w:rsid w:val="6F98D872"/>
    <w:rsid w:val="6F9F5340"/>
    <w:rsid w:val="6FABFCEE"/>
    <w:rsid w:val="6FB0E499"/>
    <w:rsid w:val="6FB5DC4D"/>
    <w:rsid w:val="6FCF3EEC"/>
    <w:rsid w:val="6FFE7DA8"/>
    <w:rsid w:val="700EA821"/>
    <w:rsid w:val="7014DA8C"/>
    <w:rsid w:val="7038BFCB"/>
    <w:rsid w:val="704A108D"/>
    <w:rsid w:val="70884F55"/>
    <w:rsid w:val="70A78735"/>
    <w:rsid w:val="70B09D16"/>
    <w:rsid w:val="70C4DE11"/>
    <w:rsid w:val="70D5C87E"/>
    <w:rsid w:val="70F534BE"/>
    <w:rsid w:val="710907A0"/>
    <w:rsid w:val="710D8D52"/>
    <w:rsid w:val="7111CC84"/>
    <w:rsid w:val="716DB5C8"/>
    <w:rsid w:val="71E410D0"/>
    <w:rsid w:val="71E4F756"/>
    <w:rsid w:val="71EB9584"/>
    <w:rsid w:val="7259CE7F"/>
    <w:rsid w:val="72BB3B95"/>
    <w:rsid w:val="72BC5F22"/>
    <w:rsid w:val="72F55BDB"/>
    <w:rsid w:val="73051F4F"/>
    <w:rsid w:val="73829203"/>
    <w:rsid w:val="73B6B842"/>
    <w:rsid w:val="73FD827B"/>
    <w:rsid w:val="7415786D"/>
    <w:rsid w:val="7456E55A"/>
    <w:rsid w:val="74582F83"/>
    <w:rsid w:val="749A7E03"/>
    <w:rsid w:val="74B4E08A"/>
    <w:rsid w:val="74E4EED7"/>
    <w:rsid w:val="7519501B"/>
    <w:rsid w:val="75412B4D"/>
    <w:rsid w:val="75599B6F"/>
    <w:rsid w:val="756C8D84"/>
    <w:rsid w:val="756D2E7F"/>
    <w:rsid w:val="758D52F5"/>
    <w:rsid w:val="75A73D9F"/>
    <w:rsid w:val="75D03B7B"/>
    <w:rsid w:val="75F666B6"/>
    <w:rsid w:val="762B14E6"/>
    <w:rsid w:val="76724CE3"/>
    <w:rsid w:val="767BCD1B"/>
    <w:rsid w:val="769CA84D"/>
    <w:rsid w:val="769FA343"/>
    <w:rsid w:val="76AEB90C"/>
    <w:rsid w:val="7733BA54"/>
    <w:rsid w:val="777133F7"/>
    <w:rsid w:val="778B937C"/>
    <w:rsid w:val="7812EEEC"/>
    <w:rsid w:val="781C5871"/>
    <w:rsid w:val="7830618C"/>
    <w:rsid w:val="783B091F"/>
    <w:rsid w:val="7869897A"/>
    <w:rsid w:val="7869EE79"/>
    <w:rsid w:val="78750C92"/>
    <w:rsid w:val="7885378B"/>
    <w:rsid w:val="79077F37"/>
    <w:rsid w:val="7940F246"/>
    <w:rsid w:val="795104BF"/>
    <w:rsid w:val="7956506A"/>
    <w:rsid w:val="79660AE2"/>
    <w:rsid w:val="7970CA90"/>
    <w:rsid w:val="79BC3DDE"/>
    <w:rsid w:val="79E8BD76"/>
    <w:rsid w:val="7A1B2835"/>
    <w:rsid w:val="7A326456"/>
    <w:rsid w:val="7A371994"/>
    <w:rsid w:val="7A3EE772"/>
    <w:rsid w:val="7A505D4F"/>
    <w:rsid w:val="7A9A6327"/>
    <w:rsid w:val="7AA535DE"/>
    <w:rsid w:val="7AE205E7"/>
    <w:rsid w:val="7AEDD223"/>
    <w:rsid w:val="7AF98171"/>
    <w:rsid w:val="7B177542"/>
    <w:rsid w:val="7B6FEFD4"/>
    <w:rsid w:val="7B81BE98"/>
    <w:rsid w:val="7BDAB7D3"/>
    <w:rsid w:val="7C05987A"/>
    <w:rsid w:val="7C2961B5"/>
    <w:rsid w:val="7C500E7D"/>
    <w:rsid w:val="7C7DD648"/>
    <w:rsid w:val="7C8B4F7E"/>
    <w:rsid w:val="7C8E8A20"/>
    <w:rsid w:val="7CAC9304"/>
    <w:rsid w:val="7CBC4914"/>
    <w:rsid w:val="7D1C299F"/>
    <w:rsid w:val="7D57AAFA"/>
    <w:rsid w:val="7D70915F"/>
    <w:rsid w:val="7D77171B"/>
    <w:rsid w:val="7D8169FE"/>
    <w:rsid w:val="7D85F7C6"/>
    <w:rsid w:val="7DACD06C"/>
    <w:rsid w:val="7DB506C4"/>
    <w:rsid w:val="7DC1B0D9"/>
    <w:rsid w:val="7E2CF558"/>
    <w:rsid w:val="7E3ED135"/>
    <w:rsid w:val="7E4FA0FB"/>
    <w:rsid w:val="7E4FC908"/>
    <w:rsid w:val="7EA36F39"/>
    <w:rsid w:val="7EC86B7F"/>
    <w:rsid w:val="7ED250F4"/>
    <w:rsid w:val="7F1C13A6"/>
    <w:rsid w:val="7F48D93B"/>
    <w:rsid w:val="7F5AC148"/>
    <w:rsid w:val="7F87A6D7"/>
    <w:rsid w:val="7FBAD844"/>
    <w:rsid w:val="7FCE16EA"/>
    <w:rsid w:val="7FF09C6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86CFC3"/>
  <w15:docId w15:val="{AEAC4184-D311-4CDC-91B0-27B40C9AE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lsdException w:name="List Bullet" w:semiHidden="1" w:unhideWhenUsed="1"/>
    <w:lsdException w:name="List Number" w:semiHidden="1" w:unhideWhenUsed="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93B7A"/>
    <w:rPr>
      <w:rFonts w:ascii="Calibri" w:hAnsi="Calibri" w:cs="Arial"/>
      <w:sz w:val="22"/>
      <w:szCs w:val="22"/>
    </w:rPr>
  </w:style>
  <w:style w:type="paragraph" w:styleId="Heading1">
    <w:name w:val="heading 1"/>
    <w:basedOn w:val="Normal"/>
    <w:next w:val="Normal"/>
    <w:link w:val="Heading1Char"/>
    <w:uiPriority w:val="9"/>
    <w:qFormat/>
    <w:rsid w:val="007F2128"/>
    <w:pPr>
      <w:numPr>
        <w:numId w:val="2"/>
      </w:numPr>
      <w:spacing w:before="120" w:after="120"/>
      <w:outlineLvl w:val="0"/>
    </w:pPr>
    <w:rPr>
      <w:color w:val="3FB84E"/>
      <w:sz w:val="32"/>
      <w:szCs w:val="32"/>
    </w:rPr>
  </w:style>
  <w:style w:type="paragraph" w:styleId="Heading2">
    <w:name w:val="heading 2"/>
    <w:basedOn w:val="Heading1"/>
    <w:next w:val="Normal"/>
    <w:link w:val="Heading2Char"/>
    <w:uiPriority w:val="9"/>
    <w:rsid w:val="007F2128"/>
    <w:pPr>
      <w:numPr>
        <w:ilvl w:val="1"/>
      </w:numPr>
      <w:tabs>
        <w:tab w:val="left" w:pos="680"/>
      </w:tabs>
      <w:outlineLvl w:val="1"/>
    </w:pPr>
  </w:style>
  <w:style w:type="paragraph" w:styleId="Heading3">
    <w:name w:val="heading 3"/>
    <w:basedOn w:val="Heading2"/>
    <w:next w:val="Normal"/>
    <w:link w:val="Heading3Char"/>
    <w:uiPriority w:val="9"/>
    <w:qFormat/>
    <w:rsid w:val="007F2128"/>
    <w:pPr>
      <w:numPr>
        <w:ilvl w:val="2"/>
      </w:numPr>
      <w:tabs>
        <w:tab w:val="clear" w:pos="680"/>
        <w:tab w:val="left" w:pos="907"/>
      </w:tabs>
      <w:spacing w:before="240"/>
      <w:outlineLvl w:val="2"/>
    </w:pPr>
  </w:style>
  <w:style w:type="paragraph" w:styleId="Heading4">
    <w:name w:val="heading 4"/>
    <w:basedOn w:val="Heading3"/>
    <w:next w:val="Normal"/>
    <w:link w:val="Heading4Char"/>
    <w:uiPriority w:val="9"/>
    <w:rsid w:val="007F2128"/>
    <w:pPr>
      <w:numPr>
        <w:ilvl w:val="3"/>
      </w:numPr>
      <w:tabs>
        <w:tab w:val="clear" w:pos="907"/>
        <w:tab w:val="left" w:pos="1134"/>
      </w:tabs>
      <w:outlineLvl w:val="3"/>
    </w:pPr>
  </w:style>
  <w:style w:type="paragraph" w:styleId="Heading5">
    <w:name w:val="heading 5"/>
    <w:basedOn w:val="Normal"/>
    <w:next w:val="Normal"/>
    <w:link w:val="Heading5Char"/>
    <w:uiPriority w:val="9"/>
    <w:qFormat/>
    <w:rsid w:val="006246E0"/>
    <w:pPr>
      <w:spacing w:before="240"/>
      <w:outlineLvl w:val="4"/>
    </w:pPr>
    <w:rPr>
      <w:rFonts w:eastAsia="Calibri"/>
      <w:b/>
      <w:bCs/>
      <w:color w:val="767171"/>
      <w:szCs w:val="24"/>
      <w:lang w:eastAsia="en-GB"/>
    </w:rPr>
  </w:style>
  <w:style w:type="paragraph" w:styleId="Heading6">
    <w:name w:val="heading 6"/>
    <w:basedOn w:val="Normal"/>
    <w:next w:val="Normal"/>
    <w:link w:val="Heading6Char"/>
    <w:uiPriority w:val="9"/>
    <w:rsid w:val="002609D9"/>
    <w:pPr>
      <w:keepNext/>
      <w:keepLines/>
      <w:spacing w:before="40"/>
      <w:outlineLvl w:val="5"/>
    </w:pPr>
    <w:rPr>
      <w:rFonts w:asciiTheme="majorHAnsi" w:eastAsiaTheme="majorEastAsia" w:hAnsiTheme="majorHAnsi" w:cstheme="majorBidi"/>
      <w:color w:val="443F1E" w:themeColor="accent1" w:themeShade="7F"/>
    </w:rPr>
  </w:style>
  <w:style w:type="paragraph" w:styleId="Heading7">
    <w:name w:val="heading 7"/>
    <w:basedOn w:val="Normal"/>
    <w:next w:val="Normal"/>
    <w:link w:val="Heading7Char"/>
    <w:uiPriority w:val="9"/>
    <w:semiHidden/>
    <w:qFormat/>
    <w:rsid w:val="002609D9"/>
    <w:pPr>
      <w:keepNext/>
      <w:keepLines/>
      <w:spacing w:before="40"/>
      <w:outlineLvl w:val="6"/>
    </w:pPr>
    <w:rPr>
      <w:rFonts w:asciiTheme="majorHAnsi" w:eastAsiaTheme="majorEastAsia" w:hAnsiTheme="majorHAnsi" w:cstheme="majorBidi"/>
      <w:i/>
      <w:iCs/>
      <w:color w:val="443F1E" w:themeColor="accent1" w:themeShade="7F"/>
    </w:rPr>
  </w:style>
  <w:style w:type="paragraph" w:styleId="Heading8">
    <w:name w:val="heading 8"/>
    <w:basedOn w:val="Normal"/>
    <w:next w:val="Normal"/>
    <w:link w:val="Heading8Char"/>
    <w:uiPriority w:val="9"/>
    <w:semiHidden/>
    <w:qFormat/>
    <w:rsid w:val="002609D9"/>
    <w:pPr>
      <w:keepNext/>
      <w:keepLines/>
      <w:spacing w:before="40"/>
      <w:outlineLvl w:val="7"/>
    </w:pPr>
    <w:rPr>
      <w:rFonts w:asciiTheme="majorHAnsi" w:eastAsiaTheme="majorEastAsia" w:hAnsiTheme="majorHAnsi" w:cstheme="majorBidi"/>
      <w:color w:val="58585A" w:themeColor="text1" w:themeTint="D8"/>
      <w:sz w:val="21"/>
      <w:szCs w:val="21"/>
    </w:rPr>
  </w:style>
  <w:style w:type="paragraph" w:styleId="Heading9">
    <w:name w:val="heading 9"/>
    <w:basedOn w:val="Normal"/>
    <w:next w:val="Normal"/>
    <w:link w:val="Heading9Char"/>
    <w:uiPriority w:val="9"/>
    <w:semiHidden/>
    <w:qFormat/>
    <w:rsid w:val="002609D9"/>
    <w:pPr>
      <w:keepNext/>
      <w:keepLines/>
      <w:spacing w:before="40"/>
      <w:outlineLvl w:val="8"/>
    </w:pPr>
    <w:rPr>
      <w:rFonts w:asciiTheme="majorHAnsi" w:eastAsiaTheme="majorEastAsia" w:hAnsiTheme="majorHAnsi" w:cstheme="majorBidi"/>
      <w:i/>
      <w:iCs/>
      <w:color w:val="58585A"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D367BF"/>
    <w:rPr>
      <w:rFonts w:eastAsiaTheme="minorEastAsia"/>
      <w:sz w:val="22"/>
      <w:szCs w:val="22"/>
      <w:lang w:val="en-US" w:eastAsia="zh-CN"/>
    </w:rPr>
  </w:style>
  <w:style w:type="character" w:customStyle="1" w:styleId="NoSpacingChar">
    <w:name w:val="No Spacing Char"/>
    <w:basedOn w:val="DefaultParagraphFont"/>
    <w:link w:val="NoSpacing"/>
    <w:uiPriority w:val="1"/>
    <w:rsid w:val="00DA5495"/>
    <w:rPr>
      <w:rFonts w:eastAsiaTheme="minorEastAsia"/>
      <w:sz w:val="22"/>
      <w:szCs w:val="22"/>
      <w:lang w:val="en-US" w:eastAsia="zh-CN"/>
    </w:rPr>
  </w:style>
  <w:style w:type="paragraph" w:customStyle="1" w:styleId="ItadCaption">
    <w:name w:val="Itad Caption"/>
    <w:basedOn w:val="Normal"/>
    <w:next w:val="ItadIntroText"/>
    <w:link w:val="ItadCaptionChar"/>
    <w:qFormat/>
    <w:rsid w:val="002111C6"/>
    <w:pPr>
      <w:tabs>
        <w:tab w:val="left" w:pos="1420"/>
      </w:tabs>
      <w:spacing w:before="120" w:after="120"/>
    </w:pPr>
    <w:rPr>
      <w:color w:val="767171" w:themeColor="background2" w:themeShade="80"/>
      <w:sz w:val="18"/>
      <w:szCs w:val="18"/>
      <w:lang w:eastAsia="en-GB"/>
    </w:rPr>
  </w:style>
  <w:style w:type="paragraph" w:customStyle="1" w:styleId="ItadFigureCap">
    <w:name w:val="Itad Figure Cap"/>
    <w:basedOn w:val="ItadCaption"/>
    <w:next w:val="ItadNormalText"/>
    <w:link w:val="ItadFigureCapChar"/>
    <w:qFormat/>
    <w:rsid w:val="002A22DA"/>
    <w:pPr>
      <w:jc w:val="center"/>
    </w:pPr>
  </w:style>
  <w:style w:type="paragraph" w:styleId="Footer">
    <w:name w:val="footer"/>
    <w:basedOn w:val="Normal"/>
    <w:link w:val="FooterChar"/>
    <w:uiPriority w:val="99"/>
    <w:rsid w:val="00967499"/>
    <w:pPr>
      <w:tabs>
        <w:tab w:val="center" w:pos="4513"/>
        <w:tab w:val="right" w:pos="9026"/>
      </w:tabs>
    </w:pPr>
  </w:style>
  <w:style w:type="character" w:customStyle="1" w:styleId="FooterChar">
    <w:name w:val="Footer Char"/>
    <w:basedOn w:val="DefaultParagraphFont"/>
    <w:link w:val="Footer"/>
    <w:uiPriority w:val="99"/>
    <w:rsid w:val="00DA5495"/>
    <w:rPr>
      <w:rFonts w:ascii="Calibri" w:hAnsi="Calibri" w:cs="Arial"/>
      <w:sz w:val="22"/>
      <w:szCs w:val="22"/>
    </w:rPr>
  </w:style>
  <w:style w:type="table" w:customStyle="1" w:styleId="ItadGreenHeaderRow">
    <w:name w:val="Itad Green Header Row"/>
    <w:basedOn w:val="TableNormal"/>
    <w:uiPriority w:val="99"/>
    <w:qFormat/>
    <w:rsid w:val="00A72142"/>
    <w:rPr>
      <w:rFonts w:ascii="Calibri" w:hAnsi="Calibri" w:cs="Arial"/>
      <w:color w:val="3B3B3C" w:themeColor="text1"/>
      <w:sz w:val="22"/>
    </w:rPr>
    <w:tblPr>
      <w:tblStyleRowBandSize w:val="1"/>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cPr>
      <w:shd w:val="clear" w:color="auto" w:fill="F2F2F2" w:themeFill="background1" w:themeFillShade="F2"/>
    </w:tcPr>
    <w:tblStylePr w:type="firstRow">
      <w:tblPr/>
      <w:tcPr>
        <w:shd w:val="clear" w:color="auto" w:fill="96C286" w:themeFill="text2" w:themeFillTint="99"/>
      </w:tcPr>
    </w:tblStylePr>
    <w:tblStylePr w:type="lastRow">
      <w:tblPr/>
      <w:tcPr>
        <w:shd w:val="clear" w:color="auto" w:fill="E7E6E6" w:themeFill="background2"/>
      </w:tcPr>
    </w:tblStylePr>
    <w:tblStylePr w:type="band1Horz">
      <w:tblPr/>
      <w:tcPr>
        <w:shd w:val="clear" w:color="auto" w:fill="FFFFFF" w:themeFill="background1"/>
      </w:tcPr>
    </w:tblStylePr>
    <w:tblStylePr w:type="band2Horz">
      <w:tblPr/>
      <w:tcPr>
        <w:shd w:val="clear" w:color="auto" w:fill="FFFFFF" w:themeFill="background1"/>
      </w:tcPr>
    </w:tblStylePr>
  </w:style>
  <w:style w:type="paragraph" w:customStyle="1" w:styleId="ItadSectionTitleBlock">
    <w:name w:val="Itad Section Title Block"/>
    <w:basedOn w:val="Normal"/>
    <w:next w:val="ItadNormalText"/>
    <w:link w:val="ItadSectionTitleBlockChar"/>
    <w:rsid w:val="000E1EBA"/>
    <w:pPr>
      <w:tabs>
        <w:tab w:val="left" w:pos="1420"/>
      </w:tabs>
      <w:spacing w:before="240" w:after="360"/>
      <w:contextualSpacing/>
      <w:outlineLvl w:val="0"/>
    </w:pPr>
    <w:rPr>
      <w:rFonts w:ascii="CubeOT" w:hAnsi="CubeOT" w:cs="CubeOT"/>
      <w:noProof/>
      <w:color w:val="767171" w:themeColor="background2" w:themeShade="80"/>
      <w:position w:val="-80"/>
      <w:sz w:val="56"/>
      <w:szCs w:val="56"/>
      <w:lang w:eastAsia="en-GB"/>
    </w:rPr>
  </w:style>
  <w:style w:type="character" w:styleId="PageNumber">
    <w:name w:val="page number"/>
    <w:basedOn w:val="DefaultParagraphFont"/>
    <w:uiPriority w:val="99"/>
    <w:semiHidden/>
    <w:rsid w:val="00A07595"/>
  </w:style>
  <w:style w:type="table" w:customStyle="1" w:styleId="Itademphasiseheaderandfirstcolumn">
    <w:name w:val="Itad emphasise header and first column"/>
    <w:basedOn w:val="TableNormal"/>
    <w:uiPriority w:val="99"/>
    <w:qFormat/>
    <w:rsid w:val="00CD76E1"/>
    <w:pPr>
      <w:ind w:left="57" w:right="57"/>
    </w:pPr>
    <w:tblPr>
      <w:tblStyleRowBandSize w:val="1"/>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2F2F2"/>
    </w:tcPr>
    <w:tblStylePr w:type="firstRow">
      <w:pPr>
        <w:wordWrap/>
        <w:spacing w:beforeLines="0" w:before="60" w:beforeAutospacing="0" w:afterLines="0" w:after="60" w:afterAutospacing="0"/>
        <w:ind w:leftChars="0" w:left="57" w:rightChars="0" w:right="0"/>
      </w:pPr>
      <w:rPr>
        <w:rFonts w:asciiTheme="minorHAnsi" w:hAnsiTheme="minorHAnsi"/>
        <w:color w:val="FFFFFF" w:themeColor="background1"/>
        <w:sz w:val="22"/>
      </w:rPr>
      <w:tblPr/>
      <w:tcPr>
        <w:tcBorders>
          <w:insideV w:val="single" w:sz="4" w:space="0" w:color="FFFFFF" w:themeColor="background1"/>
        </w:tcBorders>
        <w:shd w:val="clear" w:color="auto" w:fill="588B46" w:themeFill="text2"/>
      </w:tcPr>
    </w:tblStylePr>
    <w:tblStylePr w:type="firstCol">
      <w:rPr>
        <w:color w:val="3B3B3C" w:themeColor="text1"/>
      </w:rPr>
      <w:tblPr/>
      <w:tcPr>
        <w:shd w:val="clear" w:color="auto" w:fill="DCEAD6" w:themeFill="text2" w:themeFillTint="33"/>
      </w:tcPr>
    </w:tblStylePr>
    <w:tblStylePr w:type="band1Horz">
      <w:tblPr/>
      <w:tcPr>
        <w:shd w:val="clear" w:color="auto" w:fill="FFFFFF" w:themeFill="background1"/>
      </w:tcPr>
    </w:tblStylePr>
    <w:tblStylePr w:type="band2Horz">
      <w:tblPr/>
      <w:tcPr>
        <w:shd w:val="clear" w:color="auto" w:fill="FFFFFF" w:themeFill="background1"/>
      </w:tcPr>
    </w:tblStylePr>
  </w:style>
  <w:style w:type="table" w:customStyle="1" w:styleId="ItadPlain">
    <w:name w:val="Itad Plain"/>
    <w:basedOn w:val="TableNormal"/>
    <w:uiPriority w:val="99"/>
    <w:qFormat/>
    <w:rsid w:val="00F11EAD"/>
    <w:tblPr/>
    <w:tcPr>
      <w:vAlign w:val="center"/>
    </w:tcPr>
    <w:tblStylePr w:type="firstRow">
      <w:pPr>
        <w:jc w:val="left"/>
      </w:pPr>
      <w:rPr>
        <w:rFonts w:asciiTheme="minorHAnsi" w:hAnsiTheme="minorHAnsi"/>
        <w:b/>
        <w:color w:val="E37230" w:themeColor="accent2"/>
        <w:sz w:val="22"/>
      </w:rPr>
    </w:tblStylePr>
  </w:style>
  <w:style w:type="table" w:customStyle="1" w:styleId="ItadPull-outBoxgreen">
    <w:name w:val="Itad Pull-out Box green"/>
    <w:basedOn w:val="TableNormal"/>
    <w:uiPriority w:val="99"/>
    <w:qFormat/>
    <w:rsid w:val="00452A42"/>
    <w:pPr>
      <w:spacing w:after="60"/>
      <w:ind w:left="57" w:right="57"/>
    </w:pPr>
    <w:rPr>
      <w:rFonts w:ascii="Calibri" w:hAnsi="Calibri" w:cs="Arial"/>
    </w:rPr>
    <w:tblPr>
      <w:tblInd w:w="113"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Pr>
    <w:tcPr>
      <w:shd w:val="clear" w:color="auto" w:fill="DCEAD6" w:themeFill="text2" w:themeFillTint="33"/>
    </w:tcPr>
  </w:style>
  <w:style w:type="character" w:customStyle="1" w:styleId="Heading2Char">
    <w:name w:val="Heading 2 Char"/>
    <w:basedOn w:val="DefaultParagraphFont"/>
    <w:link w:val="Heading2"/>
    <w:uiPriority w:val="9"/>
    <w:rsid w:val="008D540A"/>
    <w:rPr>
      <w:rFonts w:ascii="Calibri" w:hAnsi="Calibri" w:cs="Arial"/>
      <w:color w:val="3FB84E"/>
      <w:sz w:val="32"/>
      <w:szCs w:val="32"/>
    </w:rPr>
  </w:style>
  <w:style w:type="character" w:customStyle="1" w:styleId="Heading3Char">
    <w:name w:val="Heading 3 Char"/>
    <w:basedOn w:val="DefaultParagraphFont"/>
    <w:link w:val="Heading3"/>
    <w:uiPriority w:val="9"/>
    <w:rsid w:val="008D540A"/>
    <w:rPr>
      <w:rFonts w:ascii="Calibri" w:hAnsi="Calibri" w:cs="Arial"/>
      <w:color w:val="3FB84E"/>
      <w:sz w:val="32"/>
      <w:szCs w:val="32"/>
    </w:rPr>
  </w:style>
  <w:style w:type="character" w:customStyle="1" w:styleId="Heading4Char">
    <w:name w:val="Heading 4 Char"/>
    <w:basedOn w:val="DefaultParagraphFont"/>
    <w:link w:val="Heading4"/>
    <w:uiPriority w:val="9"/>
    <w:rsid w:val="008D540A"/>
    <w:rPr>
      <w:rFonts w:ascii="Calibri" w:hAnsi="Calibri" w:cs="Arial"/>
      <w:color w:val="3FB84E"/>
      <w:sz w:val="32"/>
      <w:szCs w:val="32"/>
    </w:rPr>
  </w:style>
  <w:style w:type="character" w:customStyle="1" w:styleId="Heading5Char">
    <w:name w:val="Heading 5 Char"/>
    <w:basedOn w:val="DefaultParagraphFont"/>
    <w:link w:val="Heading5"/>
    <w:uiPriority w:val="9"/>
    <w:rsid w:val="006246E0"/>
    <w:rPr>
      <w:rFonts w:ascii="Calibri" w:eastAsia="Calibri" w:hAnsi="Calibri" w:cs="Arial"/>
      <w:b/>
      <w:bCs/>
      <w:color w:val="767171"/>
      <w:sz w:val="22"/>
      <w:lang w:eastAsia="en-GB"/>
    </w:rPr>
  </w:style>
  <w:style w:type="character" w:customStyle="1" w:styleId="Heading6Char">
    <w:name w:val="Heading 6 Char"/>
    <w:basedOn w:val="DefaultParagraphFont"/>
    <w:link w:val="Heading6"/>
    <w:uiPriority w:val="9"/>
    <w:rsid w:val="008D540A"/>
    <w:rPr>
      <w:rFonts w:asciiTheme="majorHAnsi" w:eastAsiaTheme="majorEastAsia" w:hAnsiTheme="majorHAnsi" w:cstheme="majorBidi"/>
      <w:color w:val="443F1E" w:themeColor="accent1" w:themeShade="7F"/>
      <w:sz w:val="22"/>
      <w:szCs w:val="22"/>
    </w:rPr>
  </w:style>
  <w:style w:type="character" w:customStyle="1" w:styleId="Heading7Char">
    <w:name w:val="Heading 7 Char"/>
    <w:basedOn w:val="DefaultParagraphFont"/>
    <w:link w:val="Heading7"/>
    <w:uiPriority w:val="9"/>
    <w:semiHidden/>
    <w:rsid w:val="008D540A"/>
    <w:rPr>
      <w:rFonts w:asciiTheme="majorHAnsi" w:eastAsiaTheme="majorEastAsia" w:hAnsiTheme="majorHAnsi" w:cstheme="majorBidi"/>
      <w:i/>
      <w:iCs/>
      <w:color w:val="443F1E" w:themeColor="accent1" w:themeShade="7F"/>
      <w:sz w:val="22"/>
      <w:szCs w:val="22"/>
    </w:rPr>
  </w:style>
  <w:style w:type="character" w:customStyle="1" w:styleId="Heading8Char">
    <w:name w:val="Heading 8 Char"/>
    <w:basedOn w:val="DefaultParagraphFont"/>
    <w:link w:val="Heading8"/>
    <w:uiPriority w:val="9"/>
    <w:semiHidden/>
    <w:rsid w:val="008D540A"/>
    <w:rPr>
      <w:rFonts w:asciiTheme="majorHAnsi" w:eastAsiaTheme="majorEastAsia" w:hAnsiTheme="majorHAnsi" w:cstheme="majorBidi"/>
      <w:color w:val="58585A" w:themeColor="text1" w:themeTint="D8"/>
      <w:sz w:val="21"/>
      <w:szCs w:val="21"/>
    </w:rPr>
  </w:style>
  <w:style w:type="character" w:customStyle="1" w:styleId="Heading9Char">
    <w:name w:val="Heading 9 Char"/>
    <w:basedOn w:val="DefaultParagraphFont"/>
    <w:link w:val="Heading9"/>
    <w:uiPriority w:val="9"/>
    <w:semiHidden/>
    <w:rsid w:val="008D540A"/>
    <w:rPr>
      <w:rFonts w:asciiTheme="majorHAnsi" w:eastAsiaTheme="majorEastAsia" w:hAnsiTheme="majorHAnsi" w:cstheme="majorBidi"/>
      <w:i/>
      <w:iCs/>
      <w:color w:val="58585A" w:themeColor="text1" w:themeTint="D8"/>
      <w:sz w:val="21"/>
      <w:szCs w:val="21"/>
    </w:rPr>
  </w:style>
  <w:style w:type="paragraph" w:styleId="TOC1">
    <w:name w:val="toc 1"/>
    <w:aliases w:val="TOC 1 ITAD V4"/>
    <w:basedOn w:val="Normal"/>
    <w:next w:val="Normal"/>
    <w:autoRedefine/>
    <w:uiPriority w:val="39"/>
    <w:rsid w:val="003D3404"/>
    <w:pPr>
      <w:tabs>
        <w:tab w:val="left" w:pos="284"/>
        <w:tab w:val="right" w:pos="9010"/>
      </w:tabs>
      <w:spacing w:before="240" w:after="120"/>
      <w:ind w:left="284" w:hanging="284"/>
    </w:pPr>
    <w:rPr>
      <w:rFonts w:eastAsiaTheme="minorEastAsia"/>
      <w:bCs/>
      <w:noProof/>
      <w:color w:val="3B3B3C" w:themeColor="text1"/>
      <w:lang w:eastAsia="en-GB"/>
    </w:rPr>
  </w:style>
  <w:style w:type="paragraph" w:styleId="TOC2">
    <w:name w:val="toc 2"/>
    <w:aliases w:val="TOC 2 ITAD V4"/>
    <w:basedOn w:val="Normal"/>
    <w:next w:val="Normal"/>
    <w:autoRedefine/>
    <w:uiPriority w:val="39"/>
    <w:rsid w:val="003A0CCD"/>
    <w:pPr>
      <w:tabs>
        <w:tab w:val="left" w:pos="851"/>
        <w:tab w:val="right" w:pos="9010"/>
      </w:tabs>
      <w:spacing w:before="120" w:after="120"/>
      <w:ind w:left="1278" w:hanging="994"/>
    </w:pPr>
    <w:rPr>
      <w:iCs/>
      <w:noProof/>
    </w:rPr>
  </w:style>
  <w:style w:type="paragraph" w:styleId="TOC3">
    <w:name w:val="toc 3"/>
    <w:aliases w:val="TOC 3 ITAD V4"/>
    <w:basedOn w:val="Normal"/>
    <w:next w:val="Normal"/>
    <w:autoRedefine/>
    <w:uiPriority w:val="39"/>
    <w:rsid w:val="003A0CCD"/>
    <w:pPr>
      <w:tabs>
        <w:tab w:val="left" w:pos="1278"/>
        <w:tab w:val="right" w:pos="9010"/>
      </w:tabs>
      <w:spacing w:before="120" w:after="120"/>
      <w:ind w:left="1278" w:hanging="710"/>
    </w:pPr>
    <w:rPr>
      <w:noProof/>
    </w:rPr>
  </w:style>
  <w:style w:type="paragraph" w:styleId="TOC4">
    <w:name w:val="toc 4"/>
    <w:basedOn w:val="Normal"/>
    <w:next w:val="Normal"/>
    <w:autoRedefine/>
    <w:uiPriority w:val="39"/>
    <w:rsid w:val="003D273A"/>
    <w:pPr>
      <w:ind w:left="720"/>
    </w:pPr>
    <w:rPr>
      <w:sz w:val="20"/>
      <w:szCs w:val="20"/>
    </w:rPr>
  </w:style>
  <w:style w:type="paragraph" w:styleId="TOC5">
    <w:name w:val="toc 5"/>
    <w:basedOn w:val="Normal"/>
    <w:next w:val="Normal"/>
    <w:autoRedefine/>
    <w:uiPriority w:val="39"/>
    <w:rsid w:val="003D273A"/>
    <w:pPr>
      <w:ind w:left="960"/>
    </w:pPr>
    <w:rPr>
      <w:sz w:val="20"/>
      <w:szCs w:val="20"/>
    </w:rPr>
  </w:style>
  <w:style w:type="paragraph" w:styleId="TOC6">
    <w:name w:val="toc 6"/>
    <w:basedOn w:val="Normal"/>
    <w:next w:val="Normal"/>
    <w:autoRedefine/>
    <w:uiPriority w:val="39"/>
    <w:rsid w:val="003D273A"/>
    <w:pPr>
      <w:ind w:left="1200"/>
    </w:pPr>
    <w:rPr>
      <w:sz w:val="20"/>
      <w:szCs w:val="20"/>
    </w:rPr>
  </w:style>
  <w:style w:type="paragraph" w:styleId="TOC7">
    <w:name w:val="toc 7"/>
    <w:basedOn w:val="Normal"/>
    <w:next w:val="Normal"/>
    <w:autoRedefine/>
    <w:uiPriority w:val="39"/>
    <w:rsid w:val="003D273A"/>
    <w:pPr>
      <w:ind w:left="1440"/>
    </w:pPr>
    <w:rPr>
      <w:sz w:val="20"/>
      <w:szCs w:val="20"/>
    </w:rPr>
  </w:style>
  <w:style w:type="paragraph" w:styleId="TOC8">
    <w:name w:val="toc 8"/>
    <w:basedOn w:val="Normal"/>
    <w:next w:val="Normal"/>
    <w:autoRedefine/>
    <w:uiPriority w:val="39"/>
    <w:rsid w:val="003D273A"/>
    <w:pPr>
      <w:ind w:left="1680"/>
    </w:pPr>
    <w:rPr>
      <w:sz w:val="20"/>
      <w:szCs w:val="20"/>
    </w:rPr>
  </w:style>
  <w:style w:type="paragraph" w:styleId="TOC9">
    <w:name w:val="toc 9"/>
    <w:basedOn w:val="Normal"/>
    <w:next w:val="Normal"/>
    <w:autoRedefine/>
    <w:uiPriority w:val="39"/>
    <w:rsid w:val="003D273A"/>
    <w:pPr>
      <w:ind w:left="1920"/>
    </w:pPr>
    <w:rPr>
      <w:sz w:val="20"/>
      <w:szCs w:val="20"/>
    </w:rPr>
  </w:style>
  <w:style w:type="character" w:styleId="Hyperlink">
    <w:name w:val="Hyperlink"/>
    <w:basedOn w:val="DefaultParagraphFont"/>
    <w:uiPriority w:val="99"/>
    <w:rsid w:val="003D273A"/>
    <w:rPr>
      <w:color w:val="3B3B3C" w:themeColor="hyperlink"/>
      <w:u w:val="single"/>
    </w:rPr>
  </w:style>
  <w:style w:type="paragraph" w:styleId="FootnoteText">
    <w:name w:val="footnote text"/>
    <w:aliases w:val="single space,f,Footnote Text Char1,Footnote Text Char Char,Footnote Text Char11,Footnote Text Char Char1,Footnote Text Char Char Char1,Footnote Text Char1 Char Char,Footnote Text Char1 Char Char Char Char Char Char,ft,FOOTNOTES,fn,FOOTNOT"/>
    <w:basedOn w:val="Normal"/>
    <w:link w:val="FootnoteTextChar"/>
    <w:uiPriority w:val="99"/>
    <w:rsid w:val="00D32EC8"/>
    <w:rPr>
      <w:sz w:val="16"/>
      <w:szCs w:val="16"/>
    </w:rPr>
  </w:style>
  <w:style w:type="character" w:customStyle="1" w:styleId="FootnoteTextChar">
    <w:name w:val="Footnote Text Char"/>
    <w:aliases w:val="single space Char,f Char,Footnote Text Char1 Char,Footnote Text Char Char Char,Footnote Text Char11 Char,Footnote Text Char Char1 Char,Footnote Text Char Char Char1 Char,Footnote Text Char1 Char Char Char,ft Char,FOOTNOTES Char"/>
    <w:basedOn w:val="DefaultParagraphFont"/>
    <w:link w:val="FootnoteText"/>
    <w:uiPriority w:val="99"/>
    <w:rsid w:val="00D32EC8"/>
    <w:rPr>
      <w:rFonts w:ascii="Calibri" w:hAnsi="Calibri" w:cs="Arial"/>
      <w:sz w:val="16"/>
      <w:szCs w:val="16"/>
    </w:rPr>
  </w:style>
  <w:style w:type="character" w:styleId="FootnoteReference">
    <w:name w:val="footnote reference"/>
    <w:aliases w:val="ftref,16 Point,Superscript 6 Point, BVI fnr,BVI fnr,Ref,de nota al pie,ASI Footer,BVI fnr Car Car,BVI fnr Car,BVI fnr Car Car Car Car,BVI fnr Car Car Car Car Char,Appel note de bas de p.,Error-Fußnotenzeichen5,Error-Fußnotenzeichen6"/>
    <w:basedOn w:val="DefaultParagraphFont"/>
    <w:link w:val="BVIfnrCharCar1CarChar"/>
    <w:uiPriority w:val="99"/>
    <w:qFormat/>
    <w:rsid w:val="00D65CC2"/>
    <w:rPr>
      <w:rFonts w:asciiTheme="minorHAnsi" w:hAnsiTheme="minorHAnsi" w:cs="Arial"/>
      <w:position w:val="0"/>
      <w:sz w:val="20"/>
      <w:szCs w:val="20"/>
      <w:vertAlign w:val="superscript"/>
    </w:rPr>
  </w:style>
  <w:style w:type="paragraph" w:customStyle="1" w:styleId="ItadBullets">
    <w:name w:val="Itad Bullets"/>
    <w:basedOn w:val="ItadNormalText"/>
    <w:link w:val="ItadBulletsChar"/>
    <w:qFormat/>
    <w:rsid w:val="009D1380"/>
    <w:pPr>
      <w:numPr>
        <w:numId w:val="1"/>
      </w:numPr>
      <w:ind w:left="284" w:hanging="284"/>
    </w:pPr>
    <w:rPr>
      <w:lang w:eastAsia="en-GB"/>
    </w:rPr>
  </w:style>
  <w:style w:type="table" w:styleId="TableGrid">
    <w:name w:val="Table Grid"/>
    <w:aliases w:val="Plain Table Grid,Header Table Grid,FF Table 1"/>
    <w:basedOn w:val="TableNormal"/>
    <w:uiPriority w:val="39"/>
    <w:rsid w:val="005A32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adQuote">
    <w:name w:val="Itad Quote"/>
    <w:basedOn w:val="Normal"/>
    <w:next w:val="ItadNormalText"/>
    <w:qFormat/>
    <w:rsid w:val="00CB63E8"/>
    <w:pPr>
      <w:tabs>
        <w:tab w:val="left" w:pos="1420"/>
      </w:tabs>
      <w:spacing w:before="360" w:after="360"/>
      <w:ind w:left="567" w:right="510"/>
    </w:pPr>
    <w:rPr>
      <w:i/>
      <w:iCs/>
      <w:color w:val="3B3B3C"/>
      <w:shd w:val="clear" w:color="auto" w:fill="FFFFFF"/>
      <w:lang w:eastAsia="en-GB"/>
    </w:rPr>
  </w:style>
  <w:style w:type="paragraph" w:customStyle="1" w:styleId="ItadPull-outBold">
    <w:name w:val="Itad Pull-out Bold"/>
    <w:basedOn w:val="ItadQuote"/>
    <w:next w:val="ItadNormalText"/>
    <w:rsid w:val="00A323EE"/>
    <w:rPr>
      <w:b/>
      <w:i w:val="0"/>
    </w:rPr>
  </w:style>
  <w:style w:type="paragraph" w:customStyle="1" w:styleId="ItadPull-outTint">
    <w:name w:val="Itad Pull-out Tint"/>
    <w:basedOn w:val="ItadPull-outBold"/>
    <w:next w:val="ItadNormalText"/>
    <w:rsid w:val="002F13A2"/>
    <w:pPr>
      <w:pBdr>
        <w:top w:val="single" w:sz="24" w:space="0" w:color="F4F9E9"/>
        <w:left w:val="single" w:sz="24" w:space="4" w:color="F4F9E9"/>
        <w:bottom w:val="single" w:sz="24" w:space="1" w:color="F4F9E9"/>
        <w:right w:val="single" w:sz="24" w:space="4" w:color="F4F9E9"/>
      </w:pBdr>
      <w:shd w:val="clear" w:color="auto" w:fill="F4F9E9"/>
    </w:pPr>
    <w:rPr>
      <w:b w:val="0"/>
      <w:shd w:val="clear" w:color="auto" w:fill="F4F9E9"/>
    </w:rPr>
  </w:style>
  <w:style w:type="paragraph" w:customStyle="1" w:styleId="ItadPull-outBlock">
    <w:name w:val="Itad Pull-out Block"/>
    <w:basedOn w:val="Normal"/>
    <w:next w:val="ItadNormalText"/>
    <w:rsid w:val="0026393B"/>
    <w:pPr>
      <w:pBdr>
        <w:top w:val="single" w:sz="24" w:space="1" w:color="8CCA45"/>
        <w:left w:val="single" w:sz="24" w:space="4" w:color="8CCA45"/>
        <w:bottom w:val="single" w:sz="24" w:space="1" w:color="8CCA45"/>
        <w:right w:val="single" w:sz="24" w:space="4" w:color="8CCA45"/>
      </w:pBdr>
      <w:shd w:val="clear" w:color="auto" w:fill="8CCA45"/>
      <w:spacing w:before="360" w:after="360"/>
      <w:ind w:left="851" w:right="851"/>
    </w:pPr>
    <w:rPr>
      <w:color w:val="FFFFFF" w:themeColor="background1"/>
    </w:rPr>
  </w:style>
  <w:style w:type="paragraph" w:styleId="Header">
    <w:name w:val="header"/>
    <w:basedOn w:val="Normal"/>
    <w:link w:val="HeaderChar"/>
    <w:uiPriority w:val="99"/>
    <w:rsid w:val="00D46FD7"/>
    <w:pPr>
      <w:tabs>
        <w:tab w:val="center" w:pos="4513"/>
        <w:tab w:val="right" w:pos="9026"/>
      </w:tabs>
    </w:pPr>
  </w:style>
  <w:style w:type="character" w:customStyle="1" w:styleId="HeaderChar">
    <w:name w:val="Header Char"/>
    <w:basedOn w:val="DefaultParagraphFont"/>
    <w:link w:val="Header"/>
    <w:uiPriority w:val="99"/>
    <w:rsid w:val="00D65CC2"/>
    <w:rPr>
      <w:rFonts w:ascii="Calibri" w:hAnsi="Calibri" w:cs="Arial"/>
      <w:sz w:val="22"/>
      <w:szCs w:val="22"/>
    </w:rPr>
  </w:style>
  <w:style w:type="paragraph" w:styleId="BalloonText">
    <w:name w:val="Balloon Text"/>
    <w:basedOn w:val="Normal"/>
    <w:link w:val="BalloonTextChar"/>
    <w:uiPriority w:val="99"/>
    <w:semiHidden/>
    <w:rsid w:val="007E092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DA5495"/>
    <w:rPr>
      <w:rFonts w:ascii="Times New Roman" w:hAnsi="Times New Roman" w:cs="Times New Roman"/>
      <w:sz w:val="18"/>
      <w:szCs w:val="18"/>
    </w:rPr>
  </w:style>
  <w:style w:type="paragraph" w:customStyle="1" w:styleId="ItadIntroText">
    <w:name w:val="Itad Intro Text"/>
    <w:basedOn w:val="Normal"/>
    <w:next w:val="ItadNormalText"/>
    <w:autoRedefine/>
    <w:rsid w:val="007F4DF1"/>
    <w:pPr>
      <w:spacing w:before="120" w:after="120" w:line="320" w:lineRule="atLeast"/>
    </w:pPr>
    <w:rPr>
      <w:color w:val="767171" w:themeColor="background2" w:themeShade="80"/>
      <w:sz w:val="28"/>
      <w:szCs w:val="28"/>
    </w:rPr>
  </w:style>
  <w:style w:type="paragraph" w:customStyle="1" w:styleId="ItadNormalText">
    <w:name w:val="Itad Normal Text"/>
    <w:basedOn w:val="NormalWeb"/>
    <w:link w:val="ItadNormalTextChar"/>
    <w:qFormat/>
    <w:rsid w:val="00AC2686"/>
    <w:pPr>
      <w:tabs>
        <w:tab w:val="left" w:pos="1418"/>
      </w:tabs>
      <w:spacing w:before="120" w:after="120"/>
    </w:pPr>
    <w:rPr>
      <w:rFonts w:ascii="Calibri" w:hAnsi="Calibri" w:cs="Arial"/>
      <w:color w:val="3B3B3C"/>
    </w:rPr>
  </w:style>
  <w:style w:type="paragraph" w:customStyle="1" w:styleId="ItadNormalTextBold">
    <w:name w:val="Itad Normal Text (Bold)"/>
    <w:basedOn w:val="ItadNormalText"/>
    <w:next w:val="ItadNormalText"/>
    <w:qFormat/>
    <w:rsid w:val="009D1380"/>
    <w:rPr>
      <w:b/>
      <w:bCs/>
    </w:rPr>
  </w:style>
  <w:style w:type="paragraph" w:customStyle="1" w:styleId="ItadNormalTextWhite">
    <w:name w:val="Itad Normal Text (White)"/>
    <w:basedOn w:val="ItadNormalText"/>
    <w:next w:val="ItadNormalText"/>
    <w:rsid w:val="00C407DB"/>
    <w:rPr>
      <w:color w:val="FFFFFF" w:themeColor="background1"/>
    </w:rPr>
  </w:style>
  <w:style w:type="paragraph" w:styleId="NormalWeb">
    <w:name w:val="Normal (Web)"/>
    <w:basedOn w:val="Normal"/>
    <w:link w:val="NormalWebChar"/>
    <w:uiPriority w:val="99"/>
    <w:rsid w:val="009D1380"/>
    <w:rPr>
      <w:rFonts w:ascii="Times New Roman" w:hAnsi="Times New Roman" w:cs="Times New Roman"/>
    </w:rPr>
  </w:style>
  <w:style w:type="paragraph" w:customStyle="1" w:styleId="ItadHeader">
    <w:name w:val="Itad Header"/>
    <w:basedOn w:val="Normal"/>
    <w:rsid w:val="00D32EC8"/>
    <w:pPr>
      <w:spacing w:after="480"/>
    </w:pPr>
    <w:rPr>
      <w:sz w:val="18"/>
      <w:szCs w:val="18"/>
    </w:rPr>
  </w:style>
  <w:style w:type="paragraph" w:customStyle="1" w:styleId="ItadFooter">
    <w:name w:val="Itad Footer"/>
    <w:basedOn w:val="ItadNormalText"/>
    <w:rsid w:val="001A6FFB"/>
    <w:pPr>
      <w:tabs>
        <w:tab w:val="clear" w:pos="1418"/>
        <w:tab w:val="right" w:pos="9072"/>
      </w:tabs>
      <w:spacing w:before="460" w:after="0"/>
      <w:contextualSpacing/>
    </w:pPr>
    <w:rPr>
      <w:sz w:val="18"/>
      <w:szCs w:val="18"/>
    </w:rPr>
  </w:style>
  <w:style w:type="character" w:customStyle="1" w:styleId="Heading1Char">
    <w:name w:val="Heading 1 Char"/>
    <w:basedOn w:val="DefaultParagraphFont"/>
    <w:link w:val="Heading1"/>
    <w:uiPriority w:val="9"/>
    <w:rsid w:val="008D540A"/>
    <w:rPr>
      <w:rFonts w:ascii="Calibri" w:hAnsi="Calibri" w:cs="Arial"/>
      <w:color w:val="3FB84E"/>
      <w:sz w:val="32"/>
      <w:szCs w:val="32"/>
    </w:rPr>
  </w:style>
  <w:style w:type="paragraph" w:customStyle="1" w:styleId="ItadH1Numbered">
    <w:name w:val="Itad H1 (Numbered)"/>
    <w:basedOn w:val="Heading1"/>
    <w:next w:val="ItadNormalText"/>
    <w:qFormat/>
    <w:rsid w:val="0045048E"/>
    <w:pPr>
      <w:ind w:firstLine="0"/>
    </w:pPr>
    <w:rPr>
      <w:b/>
      <w:bCs/>
      <w:color w:val="588B46" w:themeColor="text2"/>
    </w:rPr>
  </w:style>
  <w:style w:type="paragraph" w:customStyle="1" w:styleId="ItadH2Numbered">
    <w:name w:val="Itad H2 (Numbered)"/>
    <w:basedOn w:val="Heading2"/>
    <w:next w:val="ItadNormalText"/>
    <w:qFormat/>
    <w:rsid w:val="00DA58F5"/>
    <w:pPr>
      <w:spacing w:before="240" w:after="240"/>
      <w:ind w:firstLine="0"/>
    </w:pPr>
    <w:rPr>
      <w:b/>
      <w:bCs/>
      <w:color w:val="E37230" w:themeColor="accent2"/>
      <w:sz w:val="28"/>
      <w:szCs w:val="28"/>
    </w:rPr>
  </w:style>
  <w:style w:type="paragraph" w:customStyle="1" w:styleId="ItadH3Numbered">
    <w:name w:val="Itad H3 (Numbered)"/>
    <w:basedOn w:val="Heading3"/>
    <w:next w:val="ItadNormalText"/>
    <w:qFormat/>
    <w:rsid w:val="00DA58F5"/>
    <w:pPr>
      <w:tabs>
        <w:tab w:val="num" w:pos="680"/>
      </w:tabs>
      <w:spacing w:after="200"/>
      <w:ind w:left="0" w:firstLine="0"/>
    </w:pPr>
    <w:rPr>
      <w:b/>
      <w:bCs/>
      <w:color w:val="767171" w:themeColor="background2" w:themeShade="80"/>
      <w:sz w:val="24"/>
      <w:szCs w:val="24"/>
      <w:lang w:eastAsia="en-GB"/>
    </w:rPr>
  </w:style>
  <w:style w:type="paragraph" w:customStyle="1" w:styleId="ItadH4Numbered">
    <w:name w:val="Itad H4 (Numbered)"/>
    <w:basedOn w:val="Heading4"/>
    <w:qFormat/>
    <w:rsid w:val="009D2E35"/>
    <w:pPr>
      <w:ind w:left="907" w:hanging="907"/>
    </w:pPr>
    <w:rPr>
      <w:i/>
      <w:iCs/>
      <w:color w:val="767171" w:themeColor="background2" w:themeShade="80"/>
      <w:sz w:val="24"/>
      <w:szCs w:val="24"/>
    </w:rPr>
  </w:style>
  <w:style w:type="paragraph" w:customStyle="1" w:styleId="ItadH4">
    <w:name w:val="Itad H4"/>
    <w:basedOn w:val="Normal"/>
    <w:next w:val="ItadNormalText"/>
    <w:qFormat/>
    <w:rsid w:val="002F6B60"/>
    <w:pPr>
      <w:shd w:val="clear" w:color="auto" w:fill="DCEAD6" w:themeFill="text2" w:themeFillTint="33"/>
      <w:spacing w:after="120"/>
      <w:outlineLvl w:val="3"/>
    </w:pPr>
    <w:rPr>
      <w:rFonts w:eastAsia="Calibri"/>
      <w:b/>
      <w:bCs/>
      <w:color w:val="3B3B3C"/>
      <w:sz w:val="24"/>
      <w:szCs w:val="24"/>
    </w:rPr>
  </w:style>
  <w:style w:type="paragraph" w:customStyle="1" w:styleId="ItadH1">
    <w:name w:val="Itad H1"/>
    <w:basedOn w:val="ItadNormalText"/>
    <w:link w:val="ItadH1Char"/>
    <w:qFormat/>
    <w:rsid w:val="002E67FF"/>
    <w:pPr>
      <w:outlineLvl w:val="0"/>
    </w:pPr>
    <w:rPr>
      <w:b/>
      <w:bCs/>
      <w:color w:val="588B46" w:themeColor="text2"/>
      <w:sz w:val="36"/>
      <w:szCs w:val="36"/>
    </w:rPr>
  </w:style>
  <w:style w:type="paragraph" w:customStyle="1" w:styleId="ItadH2">
    <w:name w:val="Itad H2"/>
    <w:basedOn w:val="Normal"/>
    <w:next w:val="ItadNormalText"/>
    <w:qFormat/>
    <w:rsid w:val="0086557C"/>
    <w:pPr>
      <w:spacing w:before="240" w:after="120"/>
      <w:outlineLvl w:val="1"/>
    </w:pPr>
    <w:rPr>
      <w:b/>
      <w:bCs/>
      <w:color w:val="E37230" w:themeColor="accent2"/>
      <w:sz w:val="28"/>
      <w:szCs w:val="28"/>
    </w:rPr>
  </w:style>
  <w:style w:type="paragraph" w:customStyle="1" w:styleId="ItadH3">
    <w:name w:val="Itad H3"/>
    <w:basedOn w:val="ItadH3Numbered"/>
    <w:next w:val="ItadNormalText"/>
    <w:qFormat/>
    <w:rsid w:val="00083937"/>
    <w:pPr>
      <w:numPr>
        <w:ilvl w:val="0"/>
        <w:numId w:val="0"/>
      </w:numPr>
    </w:pPr>
  </w:style>
  <w:style w:type="paragraph" w:customStyle="1" w:styleId="ItadMainTitle1">
    <w:name w:val="Itad Main Title 1"/>
    <w:basedOn w:val="Normal"/>
    <w:next w:val="ItadMainTitle2"/>
    <w:rsid w:val="00A51EB8"/>
    <w:pPr>
      <w:spacing w:after="440"/>
    </w:pPr>
    <w:rPr>
      <w:sz w:val="36"/>
      <w:szCs w:val="36"/>
    </w:rPr>
  </w:style>
  <w:style w:type="paragraph" w:customStyle="1" w:styleId="ItadMainTitle2">
    <w:name w:val="Itad Main Title 2"/>
    <w:basedOn w:val="Normal"/>
    <w:next w:val="ItadMainTitle3"/>
    <w:rsid w:val="00A51EB8"/>
    <w:rPr>
      <w:sz w:val="52"/>
      <w:szCs w:val="52"/>
    </w:rPr>
  </w:style>
  <w:style w:type="paragraph" w:customStyle="1" w:styleId="ItadMainTitle3">
    <w:name w:val="Itad Main Title 3"/>
    <w:basedOn w:val="Normal"/>
    <w:rsid w:val="00390A6B"/>
    <w:pPr>
      <w:spacing w:before="260"/>
      <w:contextualSpacing/>
    </w:pPr>
    <w:rPr>
      <w:color w:val="3B3B3C" w:themeColor="text1"/>
    </w:rPr>
  </w:style>
  <w:style w:type="paragraph" w:customStyle="1" w:styleId="ItadHeading1Non-Contents">
    <w:name w:val="Itad Heading 1 (Non-Contents)"/>
    <w:basedOn w:val="ItadH1"/>
    <w:next w:val="ItadNormalText"/>
    <w:rsid w:val="00A51EB8"/>
  </w:style>
  <w:style w:type="paragraph" w:customStyle="1" w:styleId="ItadH4Tables">
    <w:name w:val="Itad H4 (Tables)"/>
    <w:basedOn w:val="ItadH4"/>
    <w:next w:val="ItadNormalText"/>
    <w:rsid w:val="009D2E35"/>
    <w:pPr>
      <w:spacing w:after="0"/>
    </w:pPr>
    <w:rPr>
      <w:b w:val="0"/>
      <w:bCs w:val="0"/>
      <w:i/>
      <w:iCs/>
    </w:rPr>
  </w:style>
  <w:style w:type="paragraph" w:customStyle="1" w:styleId="Itadnumberedparas">
    <w:name w:val="Itad numbered paras"/>
    <w:basedOn w:val="ItadNormalText"/>
    <w:rsid w:val="00314399"/>
    <w:pPr>
      <w:numPr>
        <w:numId w:val="3"/>
      </w:numPr>
      <w:ind w:left="0" w:hanging="709"/>
    </w:pPr>
  </w:style>
  <w:style w:type="paragraph" w:customStyle="1" w:styleId="ItadSubbullets">
    <w:name w:val="Itad Sub bullets"/>
    <w:qFormat/>
    <w:rsid w:val="00E71DAC"/>
    <w:pPr>
      <w:numPr>
        <w:numId w:val="4"/>
      </w:numPr>
      <w:spacing w:before="120" w:after="120"/>
      <w:ind w:left="568" w:hanging="284"/>
    </w:pPr>
    <w:rPr>
      <w:rFonts w:ascii="Calibri" w:hAnsi="Calibri" w:cs="Arial"/>
      <w:color w:val="3B3B3C" w:themeColor="text1"/>
      <w:sz w:val="22"/>
      <w:szCs w:val="22"/>
      <w:lang w:eastAsia="en-GB"/>
    </w:rPr>
  </w:style>
  <w:style w:type="paragraph" w:customStyle="1" w:styleId="Bannerheader">
    <w:name w:val="Banner header"/>
    <w:basedOn w:val="ItadH1"/>
    <w:link w:val="BannerheaderChar"/>
    <w:rsid w:val="00B90F0D"/>
    <w:rPr>
      <w:rFonts w:asciiTheme="minorHAnsi" w:hAnsiTheme="minorHAnsi"/>
      <w:color w:val="FFFFFF" w:themeColor="background1"/>
    </w:rPr>
  </w:style>
  <w:style w:type="character" w:customStyle="1" w:styleId="NormalWebChar">
    <w:name w:val="Normal (Web) Char"/>
    <w:basedOn w:val="DefaultParagraphFont"/>
    <w:link w:val="NormalWeb"/>
    <w:uiPriority w:val="99"/>
    <w:rsid w:val="0066140D"/>
    <w:rPr>
      <w:rFonts w:ascii="Times New Roman" w:hAnsi="Times New Roman" w:cs="Times New Roman"/>
      <w:sz w:val="22"/>
      <w:szCs w:val="22"/>
    </w:rPr>
  </w:style>
  <w:style w:type="character" w:customStyle="1" w:styleId="ItadNormalTextChar">
    <w:name w:val="Itad Normal Text Char"/>
    <w:basedOn w:val="NormalWebChar"/>
    <w:link w:val="ItadNormalText"/>
    <w:rsid w:val="00AC2686"/>
    <w:rPr>
      <w:rFonts w:ascii="Calibri" w:hAnsi="Calibri" w:cs="Arial"/>
      <w:color w:val="3B3B3C"/>
      <w:sz w:val="22"/>
      <w:szCs w:val="22"/>
    </w:rPr>
  </w:style>
  <w:style w:type="character" w:customStyle="1" w:styleId="ItadH1Char">
    <w:name w:val="Itad H1 Char"/>
    <w:basedOn w:val="ItadNormalTextChar"/>
    <w:link w:val="ItadH1"/>
    <w:rsid w:val="002E67FF"/>
    <w:rPr>
      <w:rFonts w:ascii="Calibri" w:hAnsi="Calibri" w:cs="Arial"/>
      <w:b/>
      <w:bCs/>
      <w:color w:val="588B46" w:themeColor="text2"/>
      <w:sz w:val="36"/>
      <w:szCs w:val="36"/>
    </w:rPr>
  </w:style>
  <w:style w:type="character" w:customStyle="1" w:styleId="BannerheaderChar">
    <w:name w:val="Banner header Char"/>
    <w:basedOn w:val="ItadH1Char"/>
    <w:link w:val="Bannerheader"/>
    <w:rsid w:val="00B90F0D"/>
    <w:rPr>
      <w:rFonts w:ascii="Calibri" w:hAnsi="Calibri" w:cs="Arial"/>
      <w:b/>
      <w:bCs/>
      <w:color w:val="FFFFFF" w:themeColor="background1"/>
      <w:sz w:val="36"/>
      <w:szCs w:val="32"/>
    </w:rPr>
  </w:style>
  <w:style w:type="paragraph" w:styleId="TOCHeading">
    <w:name w:val="TOC Heading"/>
    <w:basedOn w:val="Heading1"/>
    <w:next w:val="Normal"/>
    <w:uiPriority w:val="39"/>
    <w:unhideWhenUsed/>
    <w:rsid w:val="009E38EF"/>
    <w:pPr>
      <w:keepNext/>
      <w:keepLines/>
      <w:numPr>
        <w:numId w:val="0"/>
      </w:numPr>
      <w:spacing w:before="240" w:after="0" w:line="259" w:lineRule="auto"/>
      <w:outlineLvl w:val="9"/>
    </w:pPr>
    <w:rPr>
      <w:rFonts w:asciiTheme="majorHAnsi" w:eastAsiaTheme="majorEastAsia" w:hAnsiTheme="majorHAnsi" w:cstheme="majorBidi"/>
      <w:color w:val="665F2D" w:themeColor="accent1" w:themeShade="BF"/>
      <w:lang w:val="en-US"/>
    </w:rPr>
  </w:style>
  <w:style w:type="paragraph" w:customStyle="1" w:styleId="Itadtablestyle">
    <w:name w:val="Itad table style"/>
    <w:basedOn w:val="ItadFigureCap"/>
    <w:link w:val="ItadtablestyleChar"/>
    <w:qFormat/>
    <w:rsid w:val="008B3191"/>
    <w:pPr>
      <w:numPr>
        <w:numId w:val="5"/>
      </w:numPr>
      <w:ind w:left="57" w:firstLine="0"/>
    </w:pPr>
  </w:style>
  <w:style w:type="paragraph" w:styleId="Caption">
    <w:name w:val="caption"/>
    <w:basedOn w:val="Normal"/>
    <w:next w:val="Normal"/>
    <w:uiPriority w:val="35"/>
    <w:unhideWhenUsed/>
    <w:rsid w:val="00C3353E"/>
    <w:pPr>
      <w:spacing w:after="200"/>
    </w:pPr>
    <w:rPr>
      <w:iCs/>
      <w:color w:val="3B3B3C" w:themeColor="text1"/>
      <w:sz w:val="18"/>
      <w:szCs w:val="18"/>
    </w:rPr>
  </w:style>
  <w:style w:type="character" w:customStyle="1" w:styleId="ItadCaptionChar">
    <w:name w:val="Itad Caption Char"/>
    <w:basedOn w:val="DefaultParagraphFont"/>
    <w:link w:val="ItadCaption"/>
    <w:rsid w:val="002111C6"/>
    <w:rPr>
      <w:rFonts w:ascii="Calibri" w:hAnsi="Calibri" w:cs="Arial"/>
      <w:color w:val="767171" w:themeColor="background2" w:themeShade="80"/>
      <w:sz w:val="18"/>
      <w:szCs w:val="18"/>
      <w:lang w:eastAsia="en-GB"/>
    </w:rPr>
  </w:style>
  <w:style w:type="character" w:customStyle="1" w:styleId="ItadFigureCapChar">
    <w:name w:val="Itad Figure Cap Char"/>
    <w:basedOn w:val="ItadCaptionChar"/>
    <w:link w:val="ItadFigureCap"/>
    <w:rsid w:val="002A22DA"/>
    <w:rPr>
      <w:rFonts w:ascii="Calibri" w:hAnsi="Calibri" w:cs="Arial"/>
      <w:color w:val="767171" w:themeColor="background2" w:themeShade="80"/>
      <w:sz w:val="18"/>
      <w:szCs w:val="18"/>
      <w:lang w:eastAsia="en-GB"/>
    </w:rPr>
  </w:style>
  <w:style w:type="character" w:customStyle="1" w:styleId="ItadtablestyleChar">
    <w:name w:val="Itad table style Char"/>
    <w:basedOn w:val="ItadFigureCapChar"/>
    <w:link w:val="Itadtablestyle"/>
    <w:rsid w:val="008B3191"/>
    <w:rPr>
      <w:rFonts w:ascii="Calibri" w:hAnsi="Calibri" w:cs="Arial"/>
      <w:b w:val="0"/>
      <w:color w:val="767171" w:themeColor="background2" w:themeShade="80"/>
      <w:sz w:val="18"/>
      <w:szCs w:val="18"/>
      <w:lang w:eastAsia="en-GB"/>
    </w:rPr>
  </w:style>
  <w:style w:type="paragraph" w:customStyle="1" w:styleId="ItadSectionTitleBlocknumbered">
    <w:name w:val="Itad Section Title Block numbered"/>
    <w:basedOn w:val="ItadSectionTitleBlock"/>
    <w:link w:val="ItadSectionTitleBlocknumberedChar"/>
    <w:rsid w:val="00CB00A0"/>
    <w:pPr>
      <w:numPr>
        <w:numId w:val="7"/>
      </w:numPr>
      <w:tabs>
        <w:tab w:val="clear" w:pos="1420"/>
      </w:tabs>
      <w:ind w:left="0" w:firstLine="0"/>
    </w:pPr>
  </w:style>
  <w:style w:type="character" w:customStyle="1" w:styleId="ItadSectionTitleBlockChar">
    <w:name w:val="Itad Section Title Block Char"/>
    <w:basedOn w:val="DefaultParagraphFont"/>
    <w:link w:val="ItadSectionTitleBlock"/>
    <w:rsid w:val="000E1EBA"/>
    <w:rPr>
      <w:rFonts w:ascii="CubeOT" w:hAnsi="CubeOT" w:cs="CubeOT"/>
      <w:noProof/>
      <w:color w:val="767171" w:themeColor="background2" w:themeShade="80"/>
      <w:position w:val="-80"/>
      <w:sz w:val="56"/>
      <w:szCs w:val="56"/>
      <w:lang w:eastAsia="en-GB"/>
    </w:rPr>
  </w:style>
  <w:style w:type="character" w:customStyle="1" w:styleId="ItadSectionTitleBlocknumberedChar">
    <w:name w:val="Itad Section Title Block numbered Char"/>
    <w:basedOn w:val="ItadSectionTitleBlockChar"/>
    <w:link w:val="ItadSectionTitleBlocknumbered"/>
    <w:rsid w:val="00CB00A0"/>
    <w:rPr>
      <w:rFonts w:ascii="CubeOT" w:hAnsi="CubeOT" w:cs="CubeOT"/>
      <w:noProof/>
      <w:color w:val="767171" w:themeColor="background2" w:themeShade="80"/>
      <w:position w:val="-80"/>
      <w:sz w:val="56"/>
      <w:szCs w:val="56"/>
      <w:lang w:eastAsia="en-GB"/>
    </w:rPr>
  </w:style>
  <w:style w:type="paragraph" w:customStyle="1" w:styleId="Itadfootnotestyle">
    <w:name w:val="Itad footnote style"/>
    <w:basedOn w:val="FootnoteText"/>
    <w:link w:val="ItadfootnotestyleChar"/>
    <w:qFormat/>
    <w:rsid w:val="00D1522D"/>
  </w:style>
  <w:style w:type="character" w:styleId="CommentReference">
    <w:name w:val="annotation reference"/>
    <w:basedOn w:val="DefaultParagraphFont"/>
    <w:uiPriority w:val="99"/>
    <w:unhideWhenUsed/>
    <w:rsid w:val="006477BD"/>
    <w:rPr>
      <w:sz w:val="16"/>
      <w:szCs w:val="16"/>
    </w:rPr>
  </w:style>
  <w:style w:type="character" w:customStyle="1" w:styleId="ItadfootnotestyleChar">
    <w:name w:val="Itad footnote style Char"/>
    <w:basedOn w:val="FootnoteTextChar"/>
    <w:link w:val="Itadfootnotestyle"/>
    <w:rsid w:val="00D1522D"/>
    <w:rPr>
      <w:rFonts w:ascii="Calibri" w:hAnsi="Calibri" w:cs="Arial"/>
      <w:sz w:val="16"/>
      <w:szCs w:val="16"/>
    </w:rPr>
  </w:style>
  <w:style w:type="paragraph" w:styleId="CommentText">
    <w:name w:val="annotation text"/>
    <w:basedOn w:val="Normal"/>
    <w:link w:val="CommentTextChar"/>
    <w:uiPriority w:val="99"/>
    <w:unhideWhenUsed/>
    <w:rsid w:val="006477BD"/>
    <w:rPr>
      <w:sz w:val="20"/>
      <w:szCs w:val="20"/>
    </w:rPr>
  </w:style>
  <w:style w:type="character" w:customStyle="1" w:styleId="CommentTextChar">
    <w:name w:val="Comment Text Char"/>
    <w:basedOn w:val="DefaultParagraphFont"/>
    <w:link w:val="CommentText"/>
    <w:uiPriority w:val="99"/>
    <w:rsid w:val="006477BD"/>
    <w:rPr>
      <w:rFonts w:ascii="Calibri" w:hAnsi="Calibri" w:cs="Arial"/>
      <w:sz w:val="20"/>
      <w:szCs w:val="20"/>
    </w:rPr>
  </w:style>
  <w:style w:type="paragraph" w:styleId="CommentSubject">
    <w:name w:val="annotation subject"/>
    <w:basedOn w:val="CommentText"/>
    <w:next w:val="CommentText"/>
    <w:link w:val="CommentSubjectChar"/>
    <w:uiPriority w:val="99"/>
    <w:semiHidden/>
    <w:unhideWhenUsed/>
    <w:rsid w:val="006477BD"/>
    <w:rPr>
      <w:b/>
      <w:bCs/>
    </w:rPr>
  </w:style>
  <w:style w:type="character" w:customStyle="1" w:styleId="CommentSubjectChar">
    <w:name w:val="Comment Subject Char"/>
    <w:basedOn w:val="CommentTextChar"/>
    <w:link w:val="CommentSubject"/>
    <w:uiPriority w:val="99"/>
    <w:semiHidden/>
    <w:rsid w:val="006477BD"/>
    <w:rPr>
      <w:rFonts w:ascii="Calibri" w:hAnsi="Calibri" w:cs="Arial"/>
      <w:b/>
      <w:bCs/>
      <w:sz w:val="20"/>
      <w:szCs w:val="20"/>
    </w:rPr>
  </w:style>
  <w:style w:type="paragraph" w:customStyle="1" w:styleId="Itadtabletext">
    <w:name w:val="Itad table text"/>
    <w:basedOn w:val="ItadNormalText"/>
    <w:link w:val="ItadtabletextChar"/>
    <w:qFormat/>
    <w:rsid w:val="00215994"/>
    <w:pPr>
      <w:spacing w:before="60" w:after="60"/>
    </w:pPr>
    <w:rPr>
      <w:sz w:val="20"/>
    </w:rPr>
  </w:style>
  <w:style w:type="character" w:customStyle="1" w:styleId="ItadtabletextChar">
    <w:name w:val="Itad table text Char"/>
    <w:basedOn w:val="ItadNormalTextChar"/>
    <w:link w:val="Itadtabletext"/>
    <w:rsid w:val="00215994"/>
    <w:rPr>
      <w:rFonts w:ascii="Calibri" w:hAnsi="Calibri" w:cs="Arial"/>
      <w:color w:val="3B3B3C" w:themeColor="text1"/>
      <w:sz w:val="20"/>
      <w:szCs w:val="22"/>
    </w:rPr>
  </w:style>
  <w:style w:type="paragraph" w:customStyle="1" w:styleId="Figuresource">
    <w:name w:val="Figure source"/>
    <w:basedOn w:val="Normal"/>
    <w:link w:val="FiguresourceChar"/>
    <w:qFormat/>
    <w:rsid w:val="002111C6"/>
    <w:pPr>
      <w:jc w:val="right"/>
    </w:pPr>
    <w:rPr>
      <w:color w:val="767171" w:themeColor="background2" w:themeShade="80"/>
      <w:sz w:val="18"/>
      <w:szCs w:val="18"/>
    </w:rPr>
  </w:style>
  <w:style w:type="paragraph" w:customStyle="1" w:styleId="Sectionsubheading">
    <w:name w:val="Section subheading"/>
    <w:basedOn w:val="ItadH1"/>
    <w:link w:val="SectionsubheadingChar"/>
    <w:rsid w:val="00115008"/>
    <w:rPr>
      <w:b w:val="0"/>
      <w:bCs w:val="0"/>
      <w:color w:val="767171" w:themeColor="background2" w:themeShade="80"/>
    </w:rPr>
  </w:style>
  <w:style w:type="character" w:customStyle="1" w:styleId="FiguresourceChar">
    <w:name w:val="Figure source Char"/>
    <w:basedOn w:val="DefaultParagraphFont"/>
    <w:link w:val="Figuresource"/>
    <w:rsid w:val="002111C6"/>
    <w:rPr>
      <w:rFonts w:ascii="Calibri" w:hAnsi="Calibri" w:cs="Arial"/>
      <w:color w:val="767171" w:themeColor="background2" w:themeShade="80"/>
      <w:sz w:val="18"/>
      <w:szCs w:val="18"/>
    </w:rPr>
  </w:style>
  <w:style w:type="character" w:customStyle="1" w:styleId="SectionsubheadingChar">
    <w:name w:val="Section subheading Char"/>
    <w:basedOn w:val="ItadH1Char"/>
    <w:link w:val="Sectionsubheading"/>
    <w:rsid w:val="00115008"/>
    <w:rPr>
      <w:rFonts w:ascii="Calibri" w:hAnsi="Calibri" w:cs="Arial"/>
      <w:b w:val="0"/>
      <w:bCs w:val="0"/>
      <w:color w:val="767171" w:themeColor="background2" w:themeShade="80"/>
      <w:sz w:val="32"/>
      <w:szCs w:val="32"/>
    </w:rPr>
  </w:style>
  <w:style w:type="table" w:customStyle="1" w:styleId="Itadpulloutboxorange">
    <w:name w:val="Itad pullout box orange"/>
    <w:basedOn w:val="ItadPull-outBoxgreen"/>
    <w:uiPriority w:val="99"/>
    <w:rsid w:val="00452A42"/>
    <w:tblPr/>
    <w:tcPr>
      <w:shd w:val="clear" w:color="auto" w:fill="F9E2D5" w:themeFill="accent2" w:themeFillTint="33"/>
    </w:tcPr>
  </w:style>
  <w:style w:type="table" w:customStyle="1" w:styleId="ItadPulloutBoxGrey">
    <w:name w:val="Itad Pullout Box Grey"/>
    <w:basedOn w:val="ItadPull-outBoxgreen"/>
    <w:uiPriority w:val="99"/>
    <w:rsid w:val="00452A42"/>
    <w:tblPr/>
    <w:tcPr>
      <w:shd w:val="clear" w:color="auto" w:fill="F2F2F2" w:themeFill="background1" w:themeFillShade="F2"/>
    </w:tcPr>
  </w:style>
  <w:style w:type="table" w:customStyle="1" w:styleId="Itadalternaterows">
    <w:name w:val="Itad alternate rows"/>
    <w:basedOn w:val="ItadGreenHeaderRow"/>
    <w:uiPriority w:val="99"/>
    <w:rsid w:val="00452A42"/>
    <w:tblPr/>
    <w:tcPr>
      <w:shd w:val="clear" w:color="auto" w:fill="F2F2F2" w:themeFill="background1" w:themeFillShade="F2"/>
    </w:tcPr>
    <w:tblStylePr w:type="firstRow">
      <w:tblPr/>
      <w:tcPr>
        <w:shd w:val="clear" w:color="auto" w:fill="96C286" w:themeFill="text2" w:themeFillTint="99"/>
      </w:tcPr>
    </w:tblStylePr>
    <w:tblStylePr w:type="lastRow">
      <w:tblPr/>
      <w:tcPr>
        <w:shd w:val="clear" w:color="auto" w:fill="FFFFFF" w:themeFill="background1"/>
      </w:tcPr>
    </w:tblStylePr>
    <w:tblStylePr w:type="band1Horz">
      <w:tblPr/>
      <w:tcPr>
        <w:shd w:val="clear" w:color="auto" w:fill="F2F2F2" w:themeFill="background1" w:themeFillShade="F2"/>
      </w:tcPr>
    </w:tblStylePr>
    <w:tblStylePr w:type="band2Horz">
      <w:tblPr/>
      <w:tcPr>
        <w:shd w:val="clear" w:color="auto" w:fill="FFFFFF" w:themeFill="background1"/>
      </w:tcPr>
    </w:tblStylePr>
  </w:style>
  <w:style w:type="table" w:styleId="TableGridLight">
    <w:name w:val="Grid Table Light"/>
    <w:basedOn w:val="TableNormal"/>
    <w:uiPriority w:val="40"/>
    <w:rsid w:val="0047016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FC54B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tadplaingridgrey">
    <w:name w:val="Itad plain grid grey"/>
    <w:basedOn w:val="TableGridLight"/>
    <w:uiPriority w:val="99"/>
    <w:rsid w:val="00325542"/>
    <w:tblPr/>
    <w:tcPr>
      <w:vAlign w:val="center"/>
    </w:tcPr>
  </w:style>
  <w:style w:type="paragraph" w:customStyle="1" w:styleId="BoxHeader">
    <w:name w:val="Box Header"/>
    <w:basedOn w:val="ItadFigureCap"/>
    <w:link w:val="BoxHeaderChar"/>
    <w:rsid w:val="00A95893"/>
    <w:rPr>
      <w:color w:val="E37230" w:themeColor="accent2"/>
      <w:sz w:val="24"/>
    </w:rPr>
  </w:style>
  <w:style w:type="character" w:styleId="UnresolvedMention">
    <w:name w:val="Unresolved Mention"/>
    <w:basedOn w:val="DefaultParagraphFont"/>
    <w:uiPriority w:val="99"/>
    <w:semiHidden/>
    <w:unhideWhenUsed/>
    <w:rsid w:val="00325542"/>
    <w:rPr>
      <w:color w:val="605E5C"/>
      <w:shd w:val="clear" w:color="auto" w:fill="E1DFDD"/>
    </w:rPr>
  </w:style>
  <w:style w:type="character" w:customStyle="1" w:styleId="BoxHeaderChar">
    <w:name w:val="Box Header Char"/>
    <w:basedOn w:val="ItadFigureCapChar"/>
    <w:link w:val="BoxHeader"/>
    <w:rsid w:val="00A95893"/>
    <w:rPr>
      <w:rFonts w:ascii="Calibri" w:hAnsi="Calibri" w:cs="Arial"/>
      <w:b w:val="0"/>
      <w:color w:val="E37230" w:themeColor="accent2"/>
      <w:sz w:val="18"/>
      <w:szCs w:val="18"/>
      <w:lang w:eastAsia="en-GB"/>
    </w:rPr>
  </w:style>
  <w:style w:type="character" w:styleId="FollowedHyperlink">
    <w:name w:val="FollowedHyperlink"/>
    <w:basedOn w:val="DefaultParagraphFont"/>
    <w:uiPriority w:val="99"/>
    <w:semiHidden/>
    <w:unhideWhenUsed/>
    <w:rsid w:val="00325542"/>
    <w:rPr>
      <w:color w:val="F3932D" w:themeColor="followedHyperlink"/>
      <w:u w:val="single"/>
    </w:rPr>
  </w:style>
  <w:style w:type="character" w:styleId="LineNumber">
    <w:name w:val="line number"/>
    <w:basedOn w:val="DefaultParagraphFont"/>
    <w:uiPriority w:val="99"/>
    <w:semiHidden/>
    <w:unhideWhenUsed/>
    <w:rsid w:val="00314399"/>
  </w:style>
  <w:style w:type="paragraph" w:customStyle="1" w:styleId="Itadnumberedlist">
    <w:name w:val="Itad numbered list"/>
    <w:basedOn w:val="ItadBullets"/>
    <w:link w:val="ItadnumberedlistChar"/>
    <w:qFormat/>
    <w:rsid w:val="00A12329"/>
    <w:pPr>
      <w:numPr>
        <w:numId w:val="8"/>
      </w:numPr>
      <w:tabs>
        <w:tab w:val="clear" w:pos="567"/>
        <w:tab w:val="clear" w:pos="1418"/>
        <w:tab w:val="num" w:pos="284"/>
      </w:tabs>
      <w:ind w:left="284" w:hanging="284"/>
    </w:pPr>
    <w:rPr>
      <w:bCs/>
      <w:lang w:val="it-IT"/>
    </w:rPr>
  </w:style>
  <w:style w:type="character" w:customStyle="1" w:styleId="ItadBulletsChar">
    <w:name w:val="Itad Bullets Char"/>
    <w:basedOn w:val="ItadNormalTextChar"/>
    <w:link w:val="ItadBullets"/>
    <w:rsid w:val="00314399"/>
    <w:rPr>
      <w:rFonts w:ascii="Calibri" w:hAnsi="Calibri" w:cs="Arial"/>
      <w:color w:val="3B3B3C" w:themeColor="text1"/>
      <w:sz w:val="22"/>
      <w:szCs w:val="22"/>
      <w:lang w:eastAsia="en-GB"/>
    </w:rPr>
  </w:style>
  <w:style w:type="character" w:customStyle="1" w:styleId="ItadnumberedlistChar">
    <w:name w:val="Itad numbered list Char"/>
    <w:basedOn w:val="ItadBulletsChar"/>
    <w:link w:val="Itadnumberedlist"/>
    <w:rsid w:val="00A12329"/>
    <w:rPr>
      <w:rFonts w:ascii="Calibri" w:hAnsi="Calibri" w:cs="Arial"/>
      <w:bCs/>
      <w:color w:val="3B3B3C"/>
      <w:sz w:val="22"/>
      <w:szCs w:val="22"/>
      <w:lang w:val="it-IT" w:eastAsia="en-GB"/>
    </w:rPr>
  </w:style>
  <w:style w:type="paragraph" w:customStyle="1" w:styleId="Itadboxnumbers">
    <w:name w:val="Itad box numbers"/>
    <w:basedOn w:val="ItadNormalText"/>
    <w:link w:val="ItadboxnumbersChar"/>
    <w:qFormat/>
    <w:rsid w:val="00E71DAC"/>
    <w:pPr>
      <w:framePr w:hSpace="180" w:wrap="around" w:vAnchor="text" w:hAnchor="margin" w:y="307"/>
      <w:numPr>
        <w:numId w:val="9"/>
      </w:numPr>
      <w:tabs>
        <w:tab w:val="left" w:pos="567"/>
      </w:tabs>
      <w:ind w:right="57"/>
    </w:pPr>
    <w:rPr>
      <w:b/>
      <w:bCs/>
      <w:color w:val="E37230" w:themeColor="accent2"/>
    </w:rPr>
  </w:style>
  <w:style w:type="character" w:customStyle="1" w:styleId="ItadboxnumbersChar">
    <w:name w:val="Itad box numbers Char"/>
    <w:basedOn w:val="ItadNormalTextChar"/>
    <w:link w:val="Itadboxnumbers"/>
    <w:rsid w:val="00E71DAC"/>
    <w:rPr>
      <w:rFonts w:ascii="Calibri" w:hAnsi="Calibri" w:cs="Arial"/>
      <w:b/>
      <w:bCs/>
      <w:color w:val="E37230" w:themeColor="accent2"/>
      <w:sz w:val="22"/>
      <w:szCs w:val="22"/>
    </w:rPr>
  </w:style>
  <w:style w:type="character" w:customStyle="1" w:styleId="eop">
    <w:name w:val="eop"/>
    <w:basedOn w:val="DefaultParagraphFont"/>
    <w:rsid w:val="00D42B8B"/>
  </w:style>
  <w:style w:type="character" w:styleId="Emphasis">
    <w:name w:val="Emphasis"/>
    <w:basedOn w:val="DefaultParagraphFont"/>
    <w:uiPriority w:val="20"/>
    <w:qFormat/>
    <w:rsid w:val="00012EE7"/>
    <w:rPr>
      <w:i/>
      <w:iCs/>
    </w:rPr>
  </w:style>
  <w:style w:type="character" w:styleId="Strong">
    <w:name w:val="Strong"/>
    <w:basedOn w:val="DefaultParagraphFont"/>
    <w:uiPriority w:val="22"/>
    <w:rsid w:val="00012EE7"/>
    <w:rPr>
      <w:b/>
      <w:bCs/>
    </w:rPr>
  </w:style>
  <w:style w:type="paragraph" w:customStyle="1" w:styleId="ql-indent-1">
    <w:name w:val="ql-indent-1"/>
    <w:basedOn w:val="Normal"/>
    <w:rsid w:val="00012EE7"/>
    <w:pPr>
      <w:spacing w:before="100" w:beforeAutospacing="1" w:after="100" w:afterAutospacing="1"/>
    </w:pPr>
    <w:rPr>
      <w:rFonts w:ascii="Times New Roman" w:eastAsia="Times New Roman" w:hAnsi="Times New Roman" w:cs="Times New Roman"/>
      <w:sz w:val="24"/>
      <w:szCs w:val="24"/>
      <w:lang w:eastAsia="en-GB"/>
    </w:rPr>
  </w:style>
  <w:style w:type="paragraph" w:customStyle="1" w:styleId="ql-indent-2">
    <w:name w:val="ql-indent-2"/>
    <w:basedOn w:val="Normal"/>
    <w:rsid w:val="00012EE7"/>
    <w:pPr>
      <w:spacing w:before="100" w:beforeAutospacing="1" w:after="100" w:afterAutospacing="1"/>
    </w:pPr>
    <w:rPr>
      <w:rFonts w:ascii="Times New Roman" w:eastAsia="Times New Roman" w:hAnsi="Times New Roman" w:cs="Times New Roman"/>
      <w:sz w:val="24"/>
      <w:szCs w:val="24"/>
      <w:lang w:eastAsia="en-GB"/>
    </w:rPr>
  </w:style>
  <w:style w:type="paragraph" w:customStyle="1" w:styleId="paragraph">
    <w:name w:val="paragraph"/>
    <w:basedOn w:val="Normal"/>
    <w:rsid w:val="00012EE7"/>
    <w:pPr>
      <w:spacing w:before="100" w:beforeAutospacing="1" w:after="100" w:afterAutospacing="1"/>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012EE7"/>
  </w:style>
  <w:style w:type="paragraph" w:styleId="ListParagraph">
    <w:name w:val="List Paragraph"/>
    <w:aliases w:val="Dot pt,Numbered Para 1,No Spacing1,List Paragraph Char Char Char,Indicator Text,Bullet 1,Bullet Points,F5 List Paragraph,Colorful List - Accent 11,List Paragraph2,Normal numbered,OBC Bullet,Bullet Style,L,List Paragraph12,MAIN CONTENT"/>
    <w:basedOn w:val="Normal"/>
    <w:link w:val="ListParagraphChar"/>
    <w:uiPriority w:val="34"/>
    <w:rsid w:val="00012EE7"/>
    <w:pPr>
      <w:ind w:left="720"/>
      <w:contextualSpacing/>
    </w:pPr>
    <w:rPr>
      <w:rFonts w:asciiTheme="minorHAnsi" w:hAnsiTheme="minorHAnsi" w:cstheme="minorBidi"/>
      <w:sz w:val="24"/>
      <w:szCs w:val="24"/>
    </w:rPr>
  </w:style>
  <w:style w:type="paragraph" w:customStyle="1" w:styleId="pf0">
    <w:name w:val="pf0"/>
    <w:basedOn w:val="Normal"/>
    <w:rsid w:val="00012EE7"/>
    <w:pPr>
      <w:spacing w:before="100" w:beforeAutospacing="1" w:after="100" w:afterAutospacing="1"/>
    </w:pPr>
    <w:rPr>
      <w:rFonts w:ascii="Times New Roman" w:eastAsia="Times New Roman" w:hAnsi="Times New Roman" w:cs="Times New Roman"/>
      <w:sz w:val="24"/>
      <w:szCs w:val="24"/>
      <w:lang w:eastAsia="en-GB"/>
    </w:rPr>
  </w:style>
  <w:style w:type="character" w:customStyle="1" w:styleId="cf01">
    <w:name w:val="cf01"/>
    <w:basedOn w:val="DefaultParagraphFont"/>
    <w:rsid w:val="00012EE7"/>
    <w:rPr>
      <w:rFonts w:ascii="Segoe UI" w:hAnsi="Segoe UI" w:cs="Segoe UI" w:hint="default"/>
      <w:sz w:val="18"/>
      <w:szCs w:val="18"/>
    </w:rPr>
  </w:style>
  <w:style w:type="paragraph" w:customStyle="1" w:styleId="BVIfnrCharCar1CarChar">
    <w:name w:val="BVI fnr Char Car1 Car Char"/>
    <w:aliases w:val="BVI fnr Char Car Car Char,ftref Char Car Car Char,BVI fnr Char Car Char Char Car Car Char,ftref Char Car Char Char Car Car Char,BVI fnr Char, BVI fnr Char Car Char Char Car Car Char, BVI fnr Char"/>
    <w:basedOn w:val="Normal"/>
    <w:next w:val="Normal"/>
    <w:link w:val="FootnoteReference"/>
    <w:uiPriority w:val="99"/>
    <w:rsid w:val="00012EE7"/>
    <w:pPr>
      <w:spacing w:line="240" w:lineRule="exact"/>
      <w:jc w:val="both"/>
    </w:pPr>
    <w:rPr>
      <w:rFonts w:asciiTheme="minorHAnsi" w:hAnsiTheme="minorHAnsi"/>
      <w:sz w:val="20"/>
      <w:szCs w:val="20"/>
      <w:vertAlign w:val="superscript"/>
    </w:rPr>
  </w:style>
  <w:style w:type="paragraph" w:customStyle="1" w:styleId="FFNormal">
    <w:name w:val="FF Normal"/>
    <w:basedOn w:val="Normal"/>
    <w:link w:val="FFNormalChar"/>
    <w:rsid w:val="00012EE7"/>
    <w:rPr>
      <w:rFonts w:eastAsia="Calibri" w:cs="Times New Roman"/>
      <w:sz w:val="24"/>
      <w:szCs w:val="24"/>
    </w:rPr>
  </w:style>
  <w:style w:type="character" w:customStyle="1" w:styleId="FFNormalChar">
    <w:name w:val="FF Normal Char"/>
    <w:link w:val="FFNormal"/>
    <w:rsid w:val="00012EE7"/>
    <w:rPr>
      <w:rFonts w:ascii="Calibri" w:eastAsia="Calibri" w:hAnsi="Calibri" w:cs="Times New Roman"/>
    </w:rPr>
  </w:style>
  <w:style w:type="character" w:customStyle="1" w:styleId="fontstyle01">
    <w:name w:val="fontstyle01"/>
    <w:rsid w:val="00012EE7"/>
    <w:rPr>
      <w:rFonts w:ascii="Arial" w:hAnsi="Arial" w:cs="Arial" w:hint="default"/>
      <w:b w:val="0"/>
      <w:bCs w:val="0"/>
      <w:i w:val="0"/>
      <w:iCs w:val="0"/>
      <w:color w:val="000000"/>
      <w:sz w:val="24"/>
      <w:szCs w:val="24"/>
    </w:rPr>
  </w:style>
  <w:style w:type="paragraph" w:customStyle="1" w:styleId="Default">
    <w:name w:val="Default"/>
    <w:rsid w:val="00012EE7"/>
    <w:pPr>
      <w:autoSpaceDE w:val="0"/>
      <w:autoSpaceDN w:val="0"/>
      <w:adjustRightInd w:val="0"/>
    </w:pPr>
    <w:rPr>
      <w:rFonts w:ascii="Calibri" w:hAnsi="Calibri" w:cs="Calibri"/>
      <w:color w:val="000000"/>
    </w:rPr>
  </w:style>
  <w:style w:type="character" w:customStyle="1" w:styleId="cf11">
    <w:name w:val="cf11"/>
    <w:basedOn w:val="DefaultParagraphFont"/>
    <w:rsid w:val="00012EE7"/>
    <w:rPr>
      <w:rFonts w:ascii="Segoe UI" w:hAnsi="Segoe UI" w:cs="Segoe UI" w:hint="default"/>
      <w:sz w:val="18"/>
      <w:szCs w:val="18"/>
    </w:rPr>
  </w:style>
  <w:style w:type="character" w:customStyle="1" w:styleId="cf21">
    <w:name w:val="cf21"/>
    <w:basedOn w:val="DefaultParagraphFont"/>
    <w:rsid w:val="00012EE7"/>
    <w:rPr>
      <w:rFonts w:ascii="Segoe UI" w:hAnsi="Segoe UI" w:cs="Segoe UI" w:hint="default"/>
      <w:sz w:val="18"/>
      <w:szCs w:val="18"/>
      <w:shd w:val="clear" w:color="auto" w:fill="FFFF00"/>
    </w:rPr>
  </w:style>
  <w:style w:type="paragraph" w:styleId="Title">
    <w:name w:val="Title"/>
    <w:basedOn w:val="Normal"/>
    <w:next w:val="Normal"/>
    <w:link w:val="TitleChar"/>
    <w:uiPriority w:val="10"/>
    <w:rsid w:val="00012EE7"/>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12EE7"/>
    <w:rPr>
      <w:rFonts w:asciiTheme="majorHAnsi" w:eastAsiaTheme="majorEastAsia" w:hAnsiTheme="majorHAnsi" w:cstheme="majorBidi"/>
      <w:spacing w:val="-10"/>
      <w:kern w:val="28"/>
      <w:sz w:val="56"/>
      <w:szCs w:val="56"/>
    </w:rPr>
  </w:style>
  <w:style w:type="character" w:customStyle="1" w:styleId="apple-converted-space">
    <w:name w:val="apple-converted-space"/>
    <w:basedOn w:val="DefaultParagraphFont"/>
    <w:rsid w:val="00012EE7"/>
  </w:style>
  <w:style w:type="paragraph" w:styleId="Revision">
    <w:name w:val="Revision"/>
    <w:hidden/>
    <w:uiPriority w:val="99"/>
    <w:semiHidden/>
    <w:rsid w:val="00012EE7"/>
  </w:style>
  <w:style w:type="paragraph" w:styleId="EndnoteText">
    <w:name w:val="endnote text"/>
    <w:basedOn w:val="Normal"/>
    <w:link w:val="EndnoteTextChar"/>
    <w:uiPriority w:val="99"/>
    <w:semiHidden/>
    <w:unhideWhenUsed/>
    <w:rsid w:val="00012EE7"/>
    <w:rPr>
      <w:rFonts w:asciiTheme="minorHAnsi" w:hAnsiTheme="minorHAnsi" w:cstheme="minorBidi"/>
      <w:sz w:val="20"/>
      <w:szCs w:val="20"/>
    </w:rPr>
  </w:style>
  <w:style w:type="character" w:customStyle="1" w:styleId="EndnoteTextChar">
    <w:name w:val="Endnote Text Char"/>
    <w:basedOn w:val="DefaultParagraphFont"/>
    <w:link w:val="EndnoteText"/>
    <w:uiPriority w:val="99"/>
    <w:semiHidden/>
    <w:rsid w:val="00012EE7"/>
    <w:rPr>
      <w:sz w:val="20"/>
      <w:szCs w:val="20"/>
    </w:rPr>
  </w:style>
  <w:style w:type="character" w:styleId="EndnoteReference">
    <w:name w:val="endnote reference"/>
    <w:basedOn w:val="DefaultParagraphFont"/>
    <w:uiPriority w:val="99"/>
    <w:semiHidden/>
    <w:unhideWhenUsed/>
    <w:rsid w:val="00012EE7"/>
    <w:rPr>
      <w:vertAlign w:val="superscript"/>
    </w:rPr>
  </w:style>
  <w:style w:type="character" w:customStyle="1" w:styleId="cf31">
    <w:name w:val="cf31"/>
    <w:basedOn w:val="DefaultParagraphFont"/>
    <w:rsid w:val="00012EE7"/>
    <w:rPr>
      <w:rFonts w:ascii="Segoe UI" w:hAnsi="Segoe UI" w:cs="Segoe UI" w:hint="default"/>
      <w:i/>
      <w:iCs/>
      <w:sz w:val="18"/>
      <w:szCs w:val="18"/>
    </w:rPr>
  </w:style>
  <w:style w:type="character" w:customStyle="1" w:styleId="cf41">
    <w:name w:val="cf41"/>
    <w:basedOn w:val="DefaultParagraphFont"/>
    <w:rsid w:val="00012EE7"/>
    <w:rPr>
      <w:rFonts w:ascii="Segoe UI" w:hAnsi="Segoe UI" w:cs="Segoe UI" w:hint="default"/>
      <w:sz w:val="18"/>
      <w:szCs w:val="18"/>
    </w:rPr>
  </w:style>
  <w:style w:type="character" w:customStyle="1" w:styleId="findhit">
    <w:name w:val="findhit"/>
    <w:basedOn w:val="DefaultParagraphFont"/>
    <w:rsid w:val="00012EE7"/>
  </w:style>
  <w:style w:type="character" w:customStyle="1" w:styleId="scxp108269843">
    <w:name w:val="scxp108269843"/>
    <w:basedOn w:val="DefaultParagraphFont"/>
    <w:rsid w:val="00012EE7"/>
  </w:style>
  <w:style w:type="table" w:styleId="GridTable2">
    <w:name w:val="Grid Table 2"/>
    <w:basedOn w:val="TableNormal"/>
    <w:uiPriority w:val="47"/>
    <w:rsid w:val="00012EE7"/>
    <w:tblPr>
      <w:tblStyleRowBandSize w:val="1"/>
      <w:tblStyleColBandSize w:val="1"/>
      <w:tblBorders>
        <w:top w:val="single" w:sz="2" w:space="0" w:color="88888A" w:themeColor="text1" w:themeTint="99"/>
        <w:bottom w:val="single" w:sz="2" w:space="0" w:color="88888A" w:themeColor="text1" w:themeTint="99"/>
        <w:insideH w:val="single" w:sz="2" w:space="0" w:color="88888A" w:themeColor="text1" w:themeTint="99"/>
        <w:insideV w:val="single" w:sz="2" w:space="0" w:color="88888A" w:themeColor="text1" w:themeTint="99"/>
      </w:tblBorders>
    </w:tblPr>
    <w:tblStylePr w:type="firstRow">
      <w:rPr>
        <w:b/>
        <w:bCs/>
      </w:rPr>
      <w:tblPr/>
      <w:tcPr>
        <w:tcBorders>
          <w:top w:val="nil"/>
          <w:bottom w:val="single" w:sz="12" w:space="0" w:color="88888A" w:themeColor="text1" w:themeTint="99"/>
          <w:insideH w:val="nil"/>
          <w:insideV w:val="nil"/>
        </w:tcBorders>
        <w:shd w:val="clear" w:color="auto" w:fill="FFFFFF" w:themeFill="background1"/>
      </w:tcPr>
    </w:tblStylePr>
    <w:tblStylePr w:type="lastRow">
      <w:rPr>
        <w:b/>
        <w:bCs/>
      </w:rPr>
      <w:tblPr/>
      <w:tcPr>
        <w:tcBorders>
          <w:top w:val="double" w:sz="2" w:space="0" w:color="88888A"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7D7D8" w:themeFill="text1" w:themeFillTint="33"/>
      </w:tcPr>
    </w:tblStylePr>
    <w:tblStylePr w:type="band1Horz">
      <w:tblPr/>
      <w:tcPr>
        <w:shd w:val="clear" w:color="auto" w:fill="D7D7D8" w:themeFill="text1" w:themeFillTint="33"/>
      </w:tcPr>
    </w:tblStylePr>
  </w:style>
  <w:style w:type="table" w:styleId="ListTable3-Accent3">
    <w:name w:val="List Table 3 Accent 3"/>
    <w:basedOn w:val="TableNormal"/>
    <w:uiPriority w:val="48"/>
    <w:rsid w:val="00012EE7"/>
    <w:tblPr>
      <w:tblStyleRowBandSize w:val="1"/>
      <w:tblStyleColBandSize w:val="1"/>
      <w:tblBorders>
        <w:top w:val="single" w:sz="4" w:space="0" w:color="3FB84E" w:themeColor="accent3"/>
        <w:left w:val="single" w:sz="4" w:space="0" w:color="3FB84E" w:themeColor="accent3"/>
        <w:bottom w:val="single" w:sz="4" w:space="0" w:color="3FB84E" w:themeColor="accent3"/>
        <w:right w:val="single" w:sz="4" w:space="0" w:color="3FB84E" w:themeColor="accent3"/>
      </w:tblBorders>
    </w:tblPr>
    <w:tblStylePr w:type="firstRow">
      <w:rPr>
        <w:b/>
        <w:bCs/>
        <w:color w:val="FFFFFF" w:themeColor="background1"/>
      </w:rPr>
      <w:tblPr/>
      <w:tcPr>
        <w:shd w:val="clear" w:color="auto" w:fill="3FB84E" w:themeFill="accent3"/>
      </w:tcPr>
    </w:tblStylePr>
    <w:tblStylePr w:type="lastRow">
      <w:rPr>
        <w:b/>
        <w:bCs/>
      </w:rPr>
      <w:tblPr/>
      <w:tcPr>
        <w:tcBorders>
          <w:top w:val="double" w:sz="4" w:space="0" w:color="3FB84E"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FB84E" w:themeColor="accent3"/>
          <w:right w:val="single" w:sz="4" w:space="0" w:color="3FB84E" w:themeColor="accent3"/>
        </w:tcBorders>
      </w:tcPr>
    </w:tblStylePr>
    <w:tblStylePr w:type="band1Horz">
      <w:tblPr/>
      <w:tcPr>
        <w:tcBorders>
          <w:top w:val="single" w:sz="4" w:space="0" w:color="3FB84E" w:themeColor="accent3"/>
          <w:bottom w:val="single" w:sz="4" w:space="0" w:color="3FB84E"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FB84E" w:themeColor="accent3"/>
          <w:left w:val="nil"/>
        </w:tcBorders>
      </w:tcPr>
    </w:tblStylePr>
    <w:tblStylePr w:type="swCell">
      <w:tblPr/>
      <w:tcPr>
        <w:tcBorders>
          <w:top w:val="double" w:sz="4" w:space="0" w:color="3FB84E" w:themeColor="accent3"/>
          <w:right w:val="nil"/>
        </w:tcBorders>
      </w:tcPr>
    </w:tblStylePr>
  </w:style>
  <w:style w:type="table" w:styleId="ListTable3-Accent6">
    <w:name w:val="List Table 3 Accent 6"/>
    <w:basedOn w:val="TableNormal"/>
    <w:uiPriority w:val="48"/>
    <w:rsid w:val="00012EE7"/>
    <w:tblPr>
      <w:tblStyleRowBandSize w:val="1"/>
      <w:tblStyleColBandSize w:val="1"/>
      <w:tblBorders>
        <w:top w:val="single" w:sz="4" w:space="0" w:color="8CCA45" w:themeColor="accent6"/>
        <w:left w:val="single" w:sz="4" w:space="0" w:color="8CCA45" w:themeColor="accent6"/>
        <w:bottom w:val="single" w:sz="4" w:space="0" w:color="8CCA45" w:themeColor="accent6"/>
        <w:right w:val="single" w:sz="4" w:space="0" w:color="8CCA45" w:themeColor="accent6"/>
      </w:tblBorders>
    </w:tblPr>
    <w:tblStylePr w:type="firstRow">
      <w:rPr>
        <w:b/>
        <w:bCs/>
        <w:color w:val="FFFFFF" w:themeColor="background1"/>
      </w:rPr>
      <w:tblPr/>
      <w:tcPr>
        <w:shd w:val="clear" w:color="auto" w:fill="8CCA45" w:themeFill="accent6"/>
      </w:tcPr>
    </w:tblStylePr>
    <w:tblStylePr w:type="lastRow">
      <w:rPr>
        <w:b/>
        <w:bCs/>
      </w:rPr>
      <w:tblPr/>
      <w:tcPr>
        <w:tcBorders>
          <w:top w:val="double" w:sz="4" w:space="0" w:color="8CCA45"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CCA45" w:themeColor="accent6"/>
          <w:right w:val="single" w:sz="4" w:space="0" w:color="8CCA45" w:themeColor="accent6"/>
        </w:tcBorders>
      </w:tcPr>
    </w:tblStylePr>
    <w:tblStylePr w:type="band1Horz">
      <w:tblPr/>
      <w:tcPr>
        <w:tcBorders>
          <w:top w:val="single" w:sz="4" w:space="0" w:color="8CCA45" w:themeColor="accent6"/>
          <w:bottom w:val="single" w:sz="4" w:space="0" w:color="8CCA45"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CCA45" w:themeColor="accent6"/>
          <w:left w:val="nil"/>
        </w:tcBorders>
      </w:tcPr>
    </w:tblStylePr>
    <w:tblStylePr w:type="swCell">
      <w:tblPr/>
      <w:tcPr>
        <w:tcBorders>
          <w:top w:val="double" w:sz="4" w:space="0" w:color="8CCA45" w:themeColor="accent6"/>
          <w:right w:val="nil"/>
        </w:tcBorders>
      </w:tcPr>
    </w:tblStylePr>
  </w:style>
  <w:style w:type="table" w:styleId="GridTable6Colorful">
    <w:name w:val="Grid Table 6 Colorful"/>
    <w:basedOn w:val="TableNormal"/>
    <w:uiPriority w:val="51"/>
    <w:rsid w:val="00012EE7"/>
    <w:rPr>
      <w:color w:val="3B3B3C" w:themeColor="text1"/>
    </w:rPr>
    <w:tblPr>
      <w:tblStyleRowBandSize w:val="1"/>
      <w:tblStyleColBandSize w:val="1"/>
      <w:tblBorders>
        <w:top w:val="single" w:sz="4" w:space="0" w:color="88888A" w:themeColor="text1" w:themeTint="99"/>
        <w:left w:val="single" w:sz="4" w:space="0" w:color="88888A" w:themeColor="text1" w:themeTint="99"/>
        <w:bottom w:val="single" w:sz="4" w:space="0" w:color="88888A" w:themeColor="text1" w:themeTint="99"/>
        <w:right w:val="single" w:sz="4" w:space="0" w:color="88888A" w:themeColor="text1" w:themeTint="99"/>
        <w:insideH w:val="single" w:sz="4" w:space="0" w:color="88888A" w:themeColor="text1" w:themeTint="99"/>
        <w:insideV w:val="single" w:sz="4" w:space="0" w:color="88888A" w:themeColor="text1" w:themeTint="99"/>
      </w:tblBorders>
    </w:tblPr>
    <w:tblStylePr w:type="firstRow">
      <w:rPr>
        <w:b/>
        <w:bCs/>
      </w:rPr>
      <w:tblPr/>
      <w:tcPr>
        <w:tcBorders>
          <w:bottom w:val="single" w:sz="12" w:space="0" w:color="88888A" w:themeColor="text1" w:themeTint="99"/>
        </w:tcBorders>
      </w:tcPr>
    </w:tblStylePr>
    <w:tblStylePr w:type="lastRow">
      <w:rPr>
        <w:b/>
        <w:bCs/>
      </w:rPr>
      <w:tblPr/>
      <w:tcPr>
        <w:tcBorders>
          <w:top w:val="double" w:sz="4" w:space="0" w:color="88888A" w:themeColor="text1" w:themeTint="99"/>
        </w:tcBorders>
      </w:tcPr>
    </w:tblStylePr>
    <w:tblStylePr w:type="firstCol">
      <w:rPr>
        <w:b/>
        <w:bCs/>
      </w:rPr>
    </w:tblStylePr>
    <w:tblStylePr w:type="lastCol">
      <w:rPr>
        <w:b/>
        <w:bCs/>
      </w:rPr>
    </w:tblStylePr>
    <w:tblStylePr w:type="band1Vert">
      <w:tblPr/>
      <w:tcPr>
        <w:shd w:val="clear" w:color="auto" w:fill="D7D7D8" w:themeFill="text1" w:themeFillTint="33"/>
      </w:tcPr>
    </w:tblStylePr>
    <w:tblStylePr w:type="band1Horz">
      <w:tblPr/>
      <w:tcPr>
        <w:shd w:val="clear" w:color="auto" w:fill="D7D7D8" w:themeFill="text1" w:themeFillTint="33"/>
      </w:tcPr>
    </w:tblStylePr>
  </w:style>
  <w:style w:type="table" w:styleId="GridTable4">
    <w:name w:val="Grid Table 4"/>
    <w:basedOn w:val="TableNormal"/>
    <w:uiPriority w:val="49"/>
    <w:rsid w:val="00012EE7"/>
    <w:tblPr>
      <w:tblStyleRowBandSize w:val="1"/>
      <w:tblStyleColBandSize w:val="1"/>
      <w:tblBorders>
        <w:top w:val="single" w:sz="4" w:space="0" w:color="88888A" w:themeColor="text1" w:themeTint="99"/>
        <w:left w:val="single" w:sz="4" w:space="0" w:color="88888A" w:themeColor="text1" w:themeTint="99"/>
        <w:bottom w:val="single" w:sz="4" w:space="0" w:color="88888A" w:themeColor="text1" w:themeTint="99"/>
        <w:right w:val="single" w:sz="4" w:space="0" w:color="88888A" w:themeColor="text1" w:themeTint="99"/>
        <w:insideH w:val="single" w:sz="4" w:space="0" w:color="88888A" w:themeColor="text1" w:themeTint="99"/>
        <w:insideV w:val="single" w:sz="4" w:space="0" w:color="88888A" w:themeColor="text1" w:themeTint="99"/>
      </w:tblBorders>
    </w:tblPr>
    <w:tblStylePr w:type="firstRow">
      <w:rPr>
        <w:b/>
        <w:bCs/>
        <w:color w:val="FFFFFF" w:themeColor="background1"/>
      </w:rPr>
      <w:tblPr/>
      <w:tcPr>
        <w:tcBorders>
          <w:top w:val="single" w:sz="4" w:space="0" w:color="3B3B3C" w:themeColor="text1"/>
          <w:left w:val="single" w:sz="4" w:space="0" w:color="3B3B3C" w:themeColor="text1"/>
          <w:bottom w:val="single" w:sz="4" w:space="0" w:color="3B3B3C" w:themeColor="text1"/>
          <w:right w:val="single" w:sz="4" w:space="0" w:color="3B3B3C" w:themeColor="text1"/>
          <w:insideH w:val="nil"/>
          <w:insideV w:val="nil"/>
        </w:tcBorders>
        <w:shd w:val="clear" w:color="auto" w:fill="3B3B3C" w:themeFill="text1"/>
      </w:tcPr>
    </w:tblStylePr>
    <w:tblStylePr w:type="lastRow">
      <w:rPr>
        <w:b/>
        <w:bCs/>
      </w:rPr>
      <w:tblPr/>
      <w:tcPr>
        <w:tcBorders>
          <w:top w:val="double" w:sz="4" w:space="0" w:color="3B3B3C" w:themeColor="text1"/>
        </w:tcBorders>
      </w:tcPr>
    </w:tblStylePr>
    <w:tblStylePr w:type="firstCol">
      <w:rPr>
        <w:b/>
        <w:bCs/>
      </w:rPr>
    </w:tblStylePr>
    <w:tblStylePr w:type="lastCol">
      <w:rPr>
        <w:b/>
        <w:bCs/>
      </w:rPr>
    </w:tblStylePr>
    <w:tblStylePr w:type="band1Vert">
      <w:tblPr/>
      <w:tcPr>
        <w:shd w:val="clear" w:color="auto" w:fill="D7D7D8" w:themeFill="text1" w:themeFillTint="33"/>
      </w:tcPr>
    </w:tblStylePr>
    <w:tblStylePr w:type="band1Horz">
      <w:tblPr/>
      <w:tcPr>
        <w:shd w:val="clear" w:color="auto" w:fill="D7D7D8" w:themeFill="text1" w:themeFillTint="33"/>
      </w:tcPr>
    </w:tblStylePr>
  </w:style>
  <w:style w:type="table" w:styleId="ListTable6Colorful">
    <w:name w:val="List Table 6 Colorful"/>
    <w:basedOn w:val="TableNormal"/>
    <w:uiPriority w:val="51"/>
    <w:rsid w:val="00012EE7"/>
    <w:rPr>
      <w:color w:val="3B3B3C" w:themeColor="text1"/>
    </w:rPr>
    <w:tblPr>
      <w:tblStyleRowBandSize w:val="1"/>
      <w:tblStyleColBandSize w:val="1"/>
      <w:tblBorders>
        <w:top w:val="single" w:sz="4" w:space="0" w:color="3B3B3C" w:themeColor="text1"/>
        <w:bottom w:val="single" w:sz="4" w:space="0" w:color="3B3B3C" w:themeColor="text1"/>
      </w:tblBorders>
    </w:tblPr>
    <w:tblStylePr w:type="firstRow">
      <w:rPr>
        <w:b/>
        <w:bCs/>
      </w:rPr>
      <w:tblPr/>
      <w:tcPr>
        <w:tcBorders>
          <w:bottom w:val="single" w:sz="4" w:space="0" w:color="3B3B3C" w:themeColor="text1"/>
        </w:tcBorders>
      </w:tcPr>
    </w:tblStylePr>
    <w:tblStylePr w:type="lastRow">
      <w:rPr>
        <w:b/>
        <w:bCs/>
      </w:rPr>
      <w:tblPr/>
      <w:tcPr>
        <w:tcBorders>
          <w:top w:val="double" w:sz="4" w:space="0" w:color="3B3B3C" w:themeColor="text1"/>
        </w:tcBorders>
      </w:tcPr>
    </w:tblStylePr>
    <w:tblStylePr w:type="firstCol">
      <w:rPr>
        <w:b/>
        <w:bCs/>
      </w:rPr>
    </w:tblStylePr>
    <w:tblStylePr w:type="lastCol">
      <w:rPr>
        <w:b/>
        <w:bCs/>
      </w:rPr>
    </w:tblStylePr>
    <w:tblStylePr w:type="band1Vert">
      <w:tblPr/>
      <w:tcPr>
        <w:shd w:val="clear" w:color="auto" w:fill="D7D7D8" w:themeFill="text1" w:themeFillTint="33"/>
      </w:tcPr>
    </w:tblStylePr>
    <w:tblStylePr w:type="band1Horz">
      <w:tblPr/>
      <w:tcPr>
        <w:shd w:val="clear" w:color="auto" w:fill="D7D7D8" w:themeFill="text1" w:themeFillTint="33"/>
      </w:tcPr>
    </w:tblStylePr>
  </w:style>
  <w:style w:type="paragraph" w:styleId="TableofFigures">
    <w:name w:val="table of figures"/>
    <w:basedOn w:val="Normal"/>
    <w:next w:val="Normal"/>
    <w:uiPriority w:val="99"/>
    <w:unhideWhenUsed/>
    <w:rsid w:val="00012EE7"/>
    <w:rPr>
      <w:rFonts w:asciiTheme="minorHAnsi" w:hAnsiTheme="minorHAnsi" w:cstheme="minorBidi"/>
      <w:sz w:val="24"/>
      <w:szCs w:val="24"/>
    </w:rPr>
  </w:style>
  <w:style w:type="character" w:customStyle="1" w:styleId="Error-Funotenzeichen61">
    <w:name w:val="Error-Fußnotenzeichen61"/>
    <w:basedOn w:val="DefaultParagraphFont"/>
    <w:uiPriority w:val="99"/>
    <w:rsid w:val="00DF29DB"/>
    <w:rPr>
      <w:rFonts w:ascii="Calibri" w:hAnsi="Calibri" w:cs="Arial"/>
      <w:position w:val="0"/>
      <w:sz w:val="20"/>
      <w:szCs w:val="20"/>
      <w:vertAlign w:val="superscript"/>
    </w:rPr>
  </w:style>
  <w:style w:type="character" w:customStyle="1" w:styleId="m4664602168025286625fontstyle01">
    <w:name w:val="m_4664602168025286625fontstyle01"/>
    <w:basedOn w:val="DefaultParagraphFont"/>
    <w:rsid w:val="00470226"/>
  </w:style>
  <w:style w:type="character" w:customStyle="1" w:styleId="Hyperlink1">
    <w:name w:val="Hyperlink1"/>
    <w:basedOn w:val="DefaultParagraphFont"/>
    <w:uiPriority w:val="99"/>
    <w:rsid w:val="00C37940"/>
    <w:rPr>
      <w:color w:val="3B3B3C"/>
      <w:u w:val="single"/>
    </w:rPr>
  </w:style>
  <w:style w:type="character" w:customStyle="1" w:styleId="ListParagraphChar">
    <w:name w:val="List Paragraph Char"/>
    <w:aliases w:val="Dot pt Char,Numbered Para 1 Char,No Spacing1 Char,List Paragraph Char Char Char Char,Indicator Text Char,Bullet 1 Char,Bullet Points Char,F5 List Paragraph Char,Colorful List - Accent 11 Char,List Paragraph2 Char,Normal numbered Char"/>
    <w:link w:val="ListParagraph"/>
    <w:uiPriority w:val="34"/>
    <w:qFormat/>
    <w:locked/>
    <w:rsid w:val="007524CA"/>
  </w:style>
  <w:style w:type="character" w:customStyle="1" w:styleId="A12">
    <w:name w:val="A12"/>
    <w:uiPriority w:val="99"/>
    <w:rsid w:val="003F4A34"/>
    <w:rPr>
      <w:color w:val="3A3A3B"/>
      <w:sz w:val="14"/>
      <w:szCs w:val="14"/>
    </w:rPr>
  </w:style>
  <w:style w:type="paragraph" w:customStyle="1" w:styleId="FFBoxText">
    <w:name w:val="FF Box Text"/>
    <w:basedOn w:val="Normal"/>
    <w:link w:val="FFBoxTextChar"/>
    <w:qFormat/>
    <w:rsid w:val="00163F93"/>
    <w:pPr>
      <w:spacing w:after="120"/>
      <w:ind w:left="57" w:right="57"/>
    </w:pPr>
    <w:rPr>
      <w:rFonts w:eastAsia="Times New Roman"/>
      <w:color w:val="3B3B3C"/>
      <w:sz w:val="21"/>
      <w:szCs w:val="21"/>
      <w:lang w:eastAsia="en-GB"/>
    </w:rPr>
  </w:style>
  <w:style w:type="paragraph" w:customStyle="1" w:styleId="FFBoxTitle">
    <w:name w:val="FF Box Title"/>
    <w:basedOn w:val="ItadCaption"/>
    <w:link w:val="FFBoxTitleChar"/>
    <w:qFormat/>
    <w:rsid w:val="00AA498E"/>
    <w:pPr>
      <w:keepNext/>
    </w:pPr>
    <w:rPr>
      <w:b/>
      <w:bCs/>
      <w:sz w:val="20"/>
      <w:szCs w:val="20"/>
    </w:rPr>
  </w:style>
  <w:style w:type="character" w:customStyle="1" w:styleId="FFBoxTextChar">
    <w:name w:val="FF Box Text Char"/>
    <w:basedOn w:val="DefaultParagraphFont"/>
    <w:link w:val="FFBoxText"/>
    <w:rsid w:val="00163F93"/>
    <w:rPr>
      <w:rFonts w:ascii="Calibri" w:eastAsia="Times New Roman" w:hAnsi="Calibri" w:cs="Arial"/>
      <w:color w:val="3B3B3C"/>
      <w:sz w:val="21"/>
      <w:szCs w:val="21"/>
      <w:lang w:eastAsia="en-GB"/>
    </w:rPr>
  </w:style>
  <w:style w:type="character" w:customStyle="1" w:styleId="FFBoxTitleChar">
    <w:name w:val="FF Box Title Char"/>
    <w:basedOn w:val="DefaultParagraphFont"/>
    <w:link w:val="FFBoxTitle"/>
    <w:rsid w:val="00AA498E"/>
    <w:rPr>
      <w:rFonts w:ascii="Calibri" w:hAnsi="Calibri" w:cs="Arial"/>
      <w:b/>
      <w:bCs/>
      <w:color w:val="767171" w:themeColor="background2" w:themeShade="80"/>
      <w:sz w:val="20"/>
      <w:szCs w:val="20"/>
      <w:lang w:eastAsia="en-GB"/>
    </w:rPr>
  </w:style>
  <w:style w:type="character" w:customStyle="1" w:styleId="ng-star-inserted">
    <w:name w:val="ng-star-inserted"/>
    <w:basedOn w:val="DefaultParagraphFont"/>
    <w:rsid w:val="008D5C7F"/>
  </w:style>
  <w:style w:type="paragraph" w:customStyle="1" w:styleId="StyleTOC2TOC2ITADV4Left05cmHanging1cm">
    <w:name w:val="Style TOC 2TOC 2 ITAD V4 + Left:  0.5 cm Hanging:  1 cm"/>
    <w:basedOn w:val="TOC2"/>
    <w:qFormat/>
    <w:rsid w:val="006C2FD9"/>
    <w:pPr>
      <w:ind w:left="851" w:hanging="567"/>
    </w:pPr>
    <w:rPr>
      <w:rFonts w:eastAsia="Times New Roman" w:cs="Times New Roman"/>
      <w:iCs w:val="0"/>
      <w:szCs w:val="20"/>
    </w:rPr>
  </w:style>
  <w:style w:type="paragraph" w:customStyle="1" w:styleId="EQhead">
    <w:name w:val="EQ head"/>
    <w:basedOn w:val="Normal"/>
    <w:qFormat/>
    <w:rsid w:val="00CF3D84"/>
    <w:pPr>
      <w:spacing w:after="120"/>
      <w:jc w:val="both"/>
    </w:pPr>
    <w:rPr>
      <w:rFonts w:eastAsia="Calibri" w:cs="Calibri"/>
      <w:b/>
      <w:bCs/>
      <w:i/>
      <w:iCs/>
      <w:color w:val="E37230" w:themeColor="accent2"/>
    </w:rPr>
  </w:style>
  <w:style w:type="paragraph" w:customStyle="1" w:styleId="Textboxbullet">
    <w:name w:val="Text box bullet"/>
    <w:basedOn w:val="ListParagraph"/>
    <w:qFormat/>
    <w:rsid w:val="00512F37"/>
    <w:pPr>
      <w:framePr w:hSpace="180" w:wrap="around" w:vAnchor="text" w:hAnchor="margin" w:y="208"/>
      <w:numPr>
        <w:numId w:val="26"/>
      </w:numPr>
      <w:spacing w:after="120" w:line="259" w:lineRule="auto"/>
      <w:ind w:right="57"/>
    </w:pPr>
    <w:rPr>
      <w:rFonts w:eastAsia="Times New Roman"/>
      <w:color w:val="3B3B3C"/>
      <w:sz w:val="21"/>
      <w:szCs w:val="21"/>
      <w:lang w:eastAsia="en-GB"/>
    </w:rPr>
  </w:style>
  <w:style w:type="paragraph" w:styleId="Quote">
    <w:name w:val="Quote"/>
    <w:basedOn w:val="Normal"/>
    <w:next w:val="Normal"/>
    <w:link w:val="QuoteChar"/>
    <w:uiPriority w:val="29"/>
    <w:rsid w:val="005450AC"/>
    <w:pPr>
      <w:spacing w:before="120" w:after="120"/>
      <w:ind w:left="142" w:right="20"/>
    </w:pPr>
    <w:rPr>
      <w:rFonts w:eastAsia="Calibri" w:cs="Calibri"/>
      <w:i/>
      <w:iCs/>
      <w:color w:val="3B3B3C"/>
      <w:sz w:val="20"/>
      <w:szCs w:val="20"/>
    </w:rPr>
  </w:style>
  <w:style w:type="character" w:customStyle="1" w:styleId="QuoteChar">
    <w:name w:val="Quote Char"/>
    <w:basedOn w:val="DefaultParagraphFont"/>
    <w:link w:val="Quote"/>
    <w:uiPriority w:val="29"/>
    <w:rsid w:val="005450AC"/>
    <w:rPr>
      <w:rFonts w:ascii="Calibri" w:eastAsia="Calibri" w:hAnsi="Calibri" w:cs="Calibri"/>
      <w:i/>
      <w:iCs/>
      <w:color w:val="3B3B3C"/>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11934">
      <w:bodyDiv w:val="1"/>
      <w:marLeft w:val="0"/>
      <w:marRight w:val="0"/>
      <w:marTop w:val="0"/>
      <w:marBottom w:val="0"/>
      <w:divBdr>
        <w:top w:val="none" w:sz="0" w:space="0" w:color="auto"/>
        <w:left w:val="none" w:sz="0" w:space="0" w:color="auto"/>
        <w:bottom w:val="none" w:sz="0" w:space="0" w:color="auto"/>
        <w:right w:val="none" w:sz="0" w:space="0" w:color="auto"/>
      </w:divBdr>
      <w:divsChild>
        <w:div w:id="5599713">
          <w:marLeft w:val="0"/>
          <w:marRight w:val="0"/>
          <w:marTop w:val="0"/>
          <w:marBottom w:val="0"/>
          <w:divBdr>
            <w:top w:val="none" w:sz="0" w:space="0" w:color="auto"/>
            <w:left w:val="none" w:sz="0" w:space="0" w:color="auto"/>
            <w:bottom w:val="none" w:sz="0" w:space="0" w:color="auto"/>
            <w:right w:val="none" w:sz="0" w:space="0" w:color="auto"/>
          </w:divBdr>
          <w:divsChild>
            <w:div w:id="279344194">
              <w:marLeft w:val="0"/>
              <w:marRight w:val="0"/>
              <w:marTop w:val="0"/>
              <w:marBottom w:val="0"/>
              <w:divBdr>
                <w:top w:val="none" w:sz="0" w:space="0" w:color="auto"/>
                <w:left w:val="none" w:sz="0" w:space="0" w:color="auto"/>
                <w:bottom w:val="none" w:sz="0" w:space="0" w:color="auto"/>
                <w:right w:val="none" w:sz="0" w:space="0" w:color="auto"/>
              </w:divBdr>
            </w:div>
            <w:div w:id="536354293">
              <w:marLeft w:val="0"/>
              <w:marRight w:val="0"/>
              <w:marTop w:val="0"/>
              <w:marBottom w:val="0"/>
              <w:divBdr>
                <w:top w:val="none" w:sz="0" w:space="0" w:color="auto"/>
                <w:left w:val="none" w:sz="0" w:space="0" w:color="auto"/>
                <w:bottom w:val="none" w:sz="0" w:space="0" w:color="auto"/>
                <w:right w:val="none" w:sz="0" w:space="0" w:color="auto"/>
              </w:divBdr>
            </w:div>
            <w:div w:id="641231175">
              <w:marLeft w:val="0"/>
              <w:marRight w:val="0"/>
              <w:marTop w:val="0"/>
              <w:marBottom w:val="0"/>
              <w:divBdr>
                <w:top w:val="none" w:sz="0" w:space="0" w:color="auto"/>
                <w:left w:val="none" w:sz="0" w:space="0" w:color="auto"/>
                <w:bottom w:val="none" w:sz="0" w:space="0" w:color="auto"/>
                <w:right w:val="none" w:sz="0" w:space="0" w:color="auto"/>
              </w:divBdr>
            </w:div>
            <w:div w:id="1377042790">
              <w:marLeft w:val="0"/>
              <w:marRight w:val="0"/>
              <w:marTop w:val="0"/>
              <w:marBottom w:val="0"/>
              <w:divBdr>
                <w:top w:val="none" w:sz="0" w:space="0" w:color="auto"/>
                <w:left w:val="none" w:sz="0" w:space="0" w:color="auto"/>
                <w:bottom w:val="none" w:sz="0" w:space="0" w:color="auto"/>
                <w:right w:val="none" w:sz="0" w:space="0" w:color="auto"/>
              </w:divBdr>
            </w:div>
          </w:divsChild>
        </w:div>
        <w:div w:id="372968424">
          <w:marLeft w:val="0"/>
          <w:marRight w:val="0"/>
          <w:marTop w:val="0"/>
          <w:marBottom w:val="0"/>
          <w:divBdr>
            <w:top w:val="none" w:sz="0" w:space="0" w:color="auto"/>
            <w:left w:val="none" w:sz="0" w:space="0" w:color="auto"/>
            <w:bottom w:val="none" w:sz="0" w:space="0" w:color="auto"/>
            <w:right w:val="none" w:sz="0" w:space="0" w:color="auto"/>
          </w:divBdr>
          <w:divsChild>
            <w:div w:id="629633032">
              <w:marLeft w:val="0"/>
              <w:marRight w:val="0"/>
              <w:marTop w:val="0"/>
              <w:marBottom w:val="0"/>
              <w:divBdr>
                <w:top w:val="none" w:sz="0" w:space="0" w:color="auto"/>
                <w:left w:val="none" w:sz="0" w:space="0" w:color="auto"/>
                <w:bottom w:val="none" w:sz="0" w:space="0" w:color="auto"/>
                <w:right w:val="none" w:sz="0" w:space="0" w:color="auto"/>
              </w:divBdr>
            </w:div>
            <w:div w:id="716130696">
              <w:marLeft w:val="0"/>
              <w:marRight w:val="0"/>
              <w:marTop w:val="0"/>
              <w:marBottom w:val="0"/>
              <w:divBdr>
                <w:top w:val="none" w:sz="0" w:space="0" w:color="auto"/>
                <w:left w:val="none" w:sz="0" w:space="0" w:color="auto"/>
                <w:bottom w:val="none" w:sz="0" w:space="0" w:color="auto"/>
                <w:right w:val="none" w:sz="0" w:space="0" w:color="auto"/>
              </w:divBdr>
            </w:div>
            <w:div w:id="846284377">
              <w:marLeft w:val="0"/>
              <w:marRight w:val="0"/>
              <w:marTop w:val="0"/>
              <w:marBottom w:val="0"/>
              <w:divBdr>
                <w:top w:val="none" w:sz="0" w:space="0" w:color="auto"/>
                <w:left w:val="none" w:sz="0" w:space="0" w:color="auto"/>
                <w:bottom w:val="none" w:sz="0" w:space="0" w:color="auto"/>
                <w:right w:val="none" w:sz="0" w:space="0" w:color="auto"/>
              </w:divBdr>
            </w:div>
            <w:div w:id="1944485296">
              <w:marLeft w:val="0"/>
              <w:marRight w:val="0"/>
              <w:marTop w:val="0"/>
              <w:marBottom w:val="0"/>
              <w:divBdr>
                <w:top w:val="none" w:sz="0" w:space="0" w:color="auto"/>
                <w:left w:val="none" w:sz="0" w:space="0" w:color="auto"/>
                <w:bottom w:val="none" w:sz="0" w:space="0" w:color="auto"/>
                <w:right w:val="none" w:sz="0" w:space="0" w:color="auto"/>
              </w:divBdr>
            </w:div>
            <w:div w:id="2062364659">
              <w:marLeft w:val="0"/>
              <w:marRight w:val="0"/>
              <w:marTop w:val="0"/>
              <w:marBottom w:val="0"/>
              <w:divBdr>
                <w:top w:val="none" w:sz="0" w:space="0" w:color="auto"/>
                <w:left w:val="none" w:sz="0" w:space="0" w:color="auto"/>
                <w:bottom w:val="none" w:sz="0" w:space="0" w:color="auto"/>
                <w:right w:val="none" w:sz="0" w:space="0" w:color="auto"/>
              </w:divBdr>
            </w:div>
          </w:divsChild>
        </w:div>
        <w:div w:id="703599684">
          <w:marLeft w:val="0"/>
          <w:marRight w:val="0"/>
          <w:marTop w:val="0"/>
          <w:marBottom w:val="0"/>
          <w:divBdr>
            <w:top w:val="none" w:sz="0" w:space="0" w:color="auto"/>
            <w:left w:val="none" w:sz="0" w:space="0" w:color="auto"/>
            <w:bottom w:val="none" w:sz="0" w:space="0" w:color="auto"/>
            <w:right w:val="none" w:sz="0" w:space="0" w:color="auto"/>
          </w:divBdr>
          <w:divsChild>
            <w:div w:id="176895130">
              <w:marLeft w:val="0"/>
              <w:marRight w:val="0"/>
              <w:marTop w:val="0"/>
              <w:marBottom w:val="0"/>
              <w:divBdr>
                <w:top w:val="none" w:sz="0" w:space="0" w:color="auto"/>
                <w:left w:val="none" w:sz="0" w:space="0" w:color="auto"/>
                <w:bottom w:val="none" w:sz="0" w:space="0" w:color="auto"/>
                <w:right w:val="none" w:sz="0" w:space="0" w:color="auto"/>
              </w:divBdr>
            </w:div>
            <w:div w:id="503857981">
              <w:marLeft w:val="0"/>
              <w:marRight w:val="0"/>
              <w:marTop w:val="0"/>
              <w:marBottom w:val="0"/>
              <w:divBdr>
                <w:top w:val="none" w:sz="0" w:space="0" w:color="auto"/>
                <w:left w:val="none" w:sz="0" w:space="0" w:color="auto"/>
                <w:bottom w:val="none" w:sz="0" w:space="0" w:color="auto"/>
                <w:right w:val="none" w:sz="0" w:space="0" w:color="auto"/>
              </w:divBdr>
            </w:div>
            <w:div w:id="768936055">
              <w:marLeft w:val="0"/>
              <w:marRight w:val="0"/>
              <w:marTop w:val="0"/>
              <w:marBottom w:val="0"/>
              <w:divBdr>
                <w:top w:val="none" w:sz="0" w:space="0" w:color="auto"/>
                <w:left w:val="none" w:sz="0" w:space="0" w:color="auto"/>
                <w:bottom w:val="none" w:sz="0" w:space="0" w:color="auto"/>
                <w:right w:val="none" w:sz="0" w:space="0" w:color="auto"/>
              </w:divBdr>
            </w:div>
            <w:div w:id="1311246947">
              <w:marLeft w:val="0"/>
              <w:marRight w:val="0"/>
              <w:marTop w:val="0"/>
              <w:marBottom w:val="0"/>
              <w:divBdr>
                <w:top w:val="none" w:sz="0" w:space="0" w:color="auto"/>
                <w:left w:val="none" w:sz="0" w:space="0" w:color="auto"/>
                <w:bottom w:val="none" w:sz="0" w:space="0" w:color="auto"/>
                <w:right w:val="none" w:sz="0" w:space="0" w:color="auto"/>
              </w:divBdr>
            </w:div>
            <w:div w:id="1428113896">
              <w:marLeft w:val="0"/>
              <w:marRight w:val="0"/>
              <w:marTop w:val="0"/>
              <w:marBottom w:val="0"/>
              <w:divBdr>
                <w:top w:val="none" w:sz="0" w:space="0" w:color="auto"/>
                <w:left w:val="none" w:sz="0" w:space="0" w:color="auto"/>
                <w:bottom w:val="none" w:sz="0" w:space="0" w:color="auto"/>
                <w:right w:val="none" w:sz="0" w:space="0" w:color="auto"/>
              </w:divBdr>
            </w:div>
          </w:divsChild>
        </w:div>
        <w:div w:id="947153838">
          <w:marLeft w:val="0"/>
          <w:marRight w:val="0"/>
          <w:marTop w:val="0"/>
          <w:marBottom w:val="0"/>
          <w:divBdr>
            <w:top w:val="none" w:sz="0" w:space="0" w:color="auto"/>
            <w:left w:val="none" w:sz="0" w:space="0" w:color="auto"/>
            <w:bottom w:val="none" w:sz="0" w:space="0" w:color="auto"/>
            <w:right w:val="none" w:sz="0" w:space="0" w:color="auto"/>
          </w:divBdr>
          <w:divsChild>
            <w:div w:id="84956854">
              <w:marLeft w:val="0"/>
              <w:marRight w:val="0"/>
              <w:marTop w:val="0"/>
              <w:marBottom w:val="0"/>
              <w:divBdr>
                <w:top w:val="none" w:sz="0" w:space="0" w:color="auto"/>
                <w:left w:val="none" w:sz="0" w:space="0" w:color="auto"/>
                <w:bottom w:val="none" w:sz="0" w:space="0" w:color="auto"/>
                <w:right w:val="none" w:sz="0" w:space="0" w:color="auto"/>
              </w:divBdr>
            </w:div>
            <w:div w:id="439449913">
              <w:marLeft w:val="0"/>
              <w:marRight w:val="0"/>
              <w:marTop w:val="0"/>
              <w:marBottom w:val="0"/>
              <w:divBdr>
                <w:top w:val="none" w:sz="0" w:space="0" w:color="auto"/>
                <w:left w:val="none" w:sz="0" w:space="0" w:color="auto"/>
                <w:bottom w:val="none" w:sz="0" w:space="0" w:color="auto"/>
                <w:right w:val="none" w:sz="0" w:space="0" w:color="auto"/>
              </w:divBdr>
            </w:div>
            <w:div w:id="610940017">
              <w:marLeft w:val="0"/>
              <w:marRight w:val="0"/>
              <w:marTop w:val="0"/>
              <w:marBottom w:val="0"/>
              <w:divBdr>
                <w:top w:val="none" w:sz="0" w:space="0" w:color="auto"/>
                <w:left w:val="none" w:sz="0" w:space="0" w:color="auto"/>
                <w:bottom w:val="none" w:sz="0" w:space="0" w:color="auto"/>
                <w:right w:val="none" w:sz="0" w:space="0" w:color="auto"/>
              </w:divBdr>
            </w:div>
            <w:div w:id="1104110618">
              <w:marLeft w:val="0"/>
              <w:marRight w:val="0"/>
              <w:marTop w:val="0"/>
              <w:marBottom w:val="0"/>
              <w:divBdr>
                <w:top w:val="none" w:sz="0" w:space="0" w:color="auto"/>
                <w:left w:val="none" w:sz="0" w:space="0" w:color="auto"/>
                <w:bottom w:val="none" w:sz="0" w:space="0" w:color="auto"/>
                <w:right w:val="none" w:sz="0" w:space="0" w:color="auto"/>
              </w:divBdr>
            </w:div>
            <w:div w:id="1411123529">
              <w:marLeft w:val="0"/>
              <w:marRight w:val="0"/>
              <w:marTop w:val="0"/>
              <w:marBottom w:val="0"/>
              <w:divBdr>
                <w:top w:val="none" w:sz="0" w:space="0" w:color="auto"/>
                <w:left w:val="none" w:sz="0" w:space="0" w:color="auto"/>
                <w:bottom w:val="none" w:sz="0" w:space="0" w:color="auto"/>
                <w:right w:val="none" w:sz="0" w:space="0" w:color="auto"/>
              </w:divBdr>
            </w:div>
          </w:divsChild>
        </w:div>
        <w:div w:id="1145319380">
          <w:marLeft w:val="0"/>
          <w:marRight w:val="0"/>
          <w:marTop w:val="0"/>
          <w:marBottom w:val="0"/>
          <w:divBdr>
            <w:top w:val="none" w:sz="0" w:space="0" w:color="auto"/>
            <w:left w:val="none" w:sz="0" w:space="0" w:color="auto"/>
            <w:bottom w:val="none" w:sz="0" w:space="0" w:color="auto"/>
            <w:right w:val="none" w:sz="0" w:space="0" w:color="auto"/>
          </w:divBdr>
          <w:divsChild>
            <w:div w:id="277183570">
              <w:marLeft w:val="0"/>
              <w:marRight w:val="0"/>
              <w:marTop w:val="0"/>
              <w:marBottom w:val="0"/>
              <w:divBdr>
                <w:top w:val="none" w:sz="0" w:space="0" w:color="auto"/>
                <w:left w:val="none" w:sz="0" w:space="0" w:color="auto"/>
                <w:bottom w:val="none" w:sz="0" w:space="0" w:color="auto"/>
                <w:right w:val="none" w:sz="0" w:space="0" w:color="auto"/>
              </w:divBdr>
            </w:div>
            <w:div w:id="299500061">
              <w:marLeft w:val="0"/>
              <w:marRight w:val="0"/>
              <w:marTop w:val="0"/>
              <w:marBottom w:val="0"/>
              <w:divBdr>
                <w:top w:val="none" w:sz="0" w:space="0" w:color="auto"/>
                <w:left w:val="none" w:sz="0" w:space="0" w:color="auto"/>
                <w:bottom w:val="none" w:sz="0" w:space="0" w:color="auto"/>
                <w:right w:val="none" w:sz="0" w:space="0" w:color="auto"/>
              </w:divBdr>
            </w:div>
            <w:div w:id="686909749">
              <w:marLeft w:val="0"/>
              <w:marRight w:val="0"/>
              <w:marTop w:val="0"/>
              <w:marBottom w:val="0"/>
              <w:divBdr>
                <w:top w:val="none" w:sz="0" w:space="0" w:color="auto"/>
                <w:left w:val="none" w:sz="0" w:space="0" w:color="auto"/>
                <w:bottom w:val="none" w:sz="0" w:space="0" w:color="auto"/>
                <w:right w:val="none" w:sz="0" w:space="0" w:color="auto"/>
              </w:divBdr>
            </w:div>
            <w:div w:id="1007901438">
              <w:marLeft w:val="0"/>
              <w:marRight w:val="0"/>
              <w:marTop w:val="0"/>
              <w:marBottom w:val="0"/>
              <w:divBdr>
                <w:top w:val="none" w:sz="0" w:space="0" w:color="auto"/>
                <w:left w:val="none" w:sz="0" w:space="0" w:color="auto"/>
                <w:bottom w:val="none" w:sz="0" w:space="0" w:color="auto"/>
                <w:right w:val="none" w:sz="0" w:space="0" w:color="auto"/>
              </w:divBdr>
            </w:div>
            <w:div w:id="1736931294">
              <w:marLeft w:val="0"/>
              <w:marRight w:val="0"/>
              <w:marTop w:val="0"/>
              <w:marBottom w:val="0"/>
              <w:divBdr>
                <w:top w:val="none" w:sz="0" w:space="0" w:color="auto"/>
                <w:left w:val="none" w:sz="0" w:space="0" w:color="auto"/>
                <w:bottom w:val="none" w:sz="0" w:space="0" w:color="auto"/>
                <w:right w:val="none" w:sz="0" w:space="0" w:color="auto"/>
              </w:divBdr>
            </w:div>
          </w:divsChild>
        </w:div>
        <w:div w:id="1599289385">
          <w:marLeft w:val="0"/>
          <w:marRight w:val="0"/>
          <w:marTop w:val="0"/>
          <w:marBottom w:val="0"/>
          <w:divBdr>
            <w:top w:val="none" w:sz="0" w:space="0" w:color="auto"/>
            <w:left w:val="none" w:sz="0" w:space="0" w:color="auto"/>
            <w:bottom w:val="none" w:sz="0" w:space="0" w:color="auto"/>
            <w:right w:val="none" w:sz="0" w:space="0" w:color="auto"/>
          </w:divBdr>
          <w:divsChild>
            <w:div w:id="11928232">
              <w:marLeft w:val="0"/>
              <w:marRight w:val="0"/>
              <w:marTop w:val="0"/>
              <w:marBottom w:val="0"/>
              <w:divBdr>
                <w:top w:val="none" w:sz="0" w:space="0" w:color="auto"/>
                <w:left w:val="none" w:sz="0" w:space="0" w:color="auto"/>
                <w:bottom w:val="none" w:sz="0" w:space="0" w:color="auto"/>
                <w:right w:val="none" w:sz="0" w:space="0" w:color="auto"/>
              </w:divBdr>
            </w:div>
            <w:div w:id="530873197">
              <w:marLeft w:val="0"/>
              <w:marRight w:val="0"/>
              <w:marTop w:val="0"/>
              <w:marBottom w:val="0"/>
              <w:divBdr>
                <w:top w:val="none" w:sz="0" w:space="0" w:color="auto"/>
                <w:left w:val="none" w:sz="0" w:space="0" w:color="auto"/>
                <w:bottom w:val="none" w:sz="0" w:space="0" w:color="auto"/>
                <w:right w:val="none" w:sz="0" w:space="0" w:color="auto"/>
              </w:divBdr>
            </w:div>
            <w:div w:id="678973519">
              <w:marLeft w:val="0"/>
              <w:marRight w:val="0"/>
              <w:marTop w:val="0"/>
              <w:marBottom w:val="0"/>
              <w:divBdr>
                <w:top w:val="none" w:sz="0" w:space="0" w:color="auto"/>
                <w:left w:val="none" w:sz="0" w:space="0" w:color="auto"/>
                <w:bottom w:val="none" w:sz="0" w:space="0" w:color="auto"/>
                <w:right w:val="none" w:sz="0" w:space="0" w:color="auto"/>
              </w:divBdr>
            </w:div>
            <w:div w:id="185048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77425">
      <w:bodyDiv w:val="1"/>
      <w:marLeft w:val="0"/>
      <w:marRight w:val="0"/>
      <w:marTop w:val="0"/>
      <w:marBottom w:val="0"/>
      <w:divBdr>
        <w:top w:val="none" w:sz="0" w:space="0" w:color="auto"/>
        <w:left w:val="none" w:sz="0" w:space="0" w:color="auto"/>
        <w:bottom w:val="none" w:sz="0" w:space="0" w:color="auto"/>
        <w:right w:val="none" w:sz="0" w:space="0" w:color="auto"/>
      </w:divBdr>
    </w:div>
    <w:div w:id="62147024">
      <w:bodyDiv w:val="1"/>
      <w:marLeft w:val="0"/>
      <w:marRight w:val="0"/>
      <w:marTop w:val="0"/>
      <w:marBottom w:val="0"/>
      <w:divBdr>
        <w:top w:val="none" w:sz="0" w:space="0" w:color="auto"/>
        <w:left w:val="none" w:sz="0" w:space="0" w:color="auto"/>
        <w:bottom w:val="none" w:sz="0" w:space="0" w:color="auto"/>
        <w:right w:val="none" w:sz="0" w:space="0" w:color="auto"/>
      </w:divBdr>
    </w:div>
    <w:div w:id="120268785">
      <w:bodyDiv w:val="1"/>
      <w:marLeft w:val="0"/>
      <w:marRight w:val="0"/>
      <w:marTop w:val="0"/>
      <w:marBottom w:val="0"/>
      <w:divBdr>
        <w:top w:val="none" w:sz="0" w:space="0" w:color="auto"/>
        <w:left w:val="none" w:sz="0" w:space="0" w:color="auto"/>
        <w:bottom w:val="none" w:sz="0" w:space="0" w:color="auto"/>
        <w:right w:val="none" w:sz="0" w:space="0" w:color="auto"/>
      </w:divBdr>
    </w:div>
    <w:div w:id="160005242">
      <w:bodyDiv w:val="1"/>
      <w:marLeft w:val="0"/>
      <w:marRight w:val="0"/>
      <w:marTop w:val="0"/>
      <w:marBottom w:val="0"/>
      <w:divBdr>
        <w:top w:val="none" w:sz="0" w:space="0" w:color="auto"/>
        <w:left w:val="none" w:sz="0" w:space="0" w:color="auto"/>
        <w:bottom w:val="none" w:sz="0" w:space="0" w:color="auto"/>
        <w:right w:val="none" w:sz="0" w:space="0" w:color="auto"/>
      </w:divBdr>
    </w:div>
    <w:div w:id="198709820">
      <w:bodyDiv w:val="1"/>
      <w:marLeft w:val="0"/>
      <w:marRight w:val="0"/>
      <w:marTop w:val="0"/>
      <w:marBottom w:val="0"/>
      <w:divBdr>
        <w:top w:val="none" w:sz="0" w:space="0" w:color="auto"/>
        <w:left w:val="none" w:sz="0" w:space="0" w:color="auto"/>
        <w:bottom w:val="none" w:sz="0" w:space="0" w:color="auto"/>
        <w:right w:val="none" w:sz="0" w:space="0" w:color="auto"/>
      </w:divBdr>
    </w:div>
    <w:div w:id="284239528">
      <w:bodyDiv w:val="1"/>
      <w:marLeft w:val="0"/>
      <w:marRight w:val="0"/>
      <w:marTop w:val="0"/>
      <w:marBottom w:val="0"/>
      <w:divBdr>
        <w:top w:val="none" w:sz="0" w:space="0" w:color="auto"/>
        <w:left w:val="none" w:sz="0" w:space="0" w:color="auto"/>
        <w:bottom w:val="none" w:sz="0" w:space="0" w:color="auto"/>
        <w:right w:val="none" w:sz="0" w:space="0" w:color="auto"/>
      </w:divBdr>
    </w:div>
    <w:div w:id="314067640">
      <w:bodyDiv w:val="1"/>
      <w:marLeft w:val="0"/>
      <w:marRight w:val="0"/>
      <w:marTop w:val="0"/>
      <w:marBottom w:val="0"/>
      <w:divBdr>
        <w:top w:val="none" w:sz="0" w:space="0" w:color="auto"/>
        <w:left w:val="none" w:sz="0" w:space="0" w:color="auto"/>
        <w:bottom w:val="none" w:sz="0" w:space="0" w:color="auto"/>
        <w:right w:val="none" w:sz="0" w:space="0" w:color="auto"/>
      </w:divBdr>
    </w:div>
    <w:div w:id="422578567">
      <w:bodyDiv w:val="1"/>
      <w:marLeft w:val="0"/>
      <w:marRight w:val="0"/>
      <w:marTop w:val="0"/>
      <w:marBottom w:val="0"/>
      <w:divBdr>
        <w:top w:val="none" w:sz="0" w:space="0" w:color="auto"/>
        <w:left w:val="none" w:sz="0" w:space="0" w:color="auto"/>
        <w:bottom w:val="none" w:sz="0" w:space="0" w:color="auto"/>
        <w:right w:val="none" w:sz="0" w:space="0" w:color="auto"/>
      </w:divBdr>
    </w:div>
    <w:div w:id="466093752">
      <w:bodyDiv w:val="1"/>
      <w:marLeft w:val="0"/>
      <w:marRight w:val="0"/>
      <w:marTop w:val="0"/>
      <w:marBottom w:val="0"/>
      <w:divBdr>
        <w:top w:val="none" w:sz="0" w:space="0" w:color="auto"/>
        <w:left w:val="none" w:sz="0" w:space="0" w:color="auto"/>
        <w:bottom w:val="none" w:sz="0" w:space="0" w:color="auto"/>
        <w:right w:val="none" w:sz="0" w:space="0" w:color="auto"/>
      </w:divBdr>
    </w:div>
    <w:div w:id="515509704">
      <w:bodyDiv w:val="1"/>
      <w:marLeft w:val="0"/>
      <w:marRight w:val="0"/>
      <w:marTop w:val="0"/>
      <w:marBottom w:val="0"/>
      <w:divBdr>
        <w:top w:val="none" w:sz="0" w:space="0" w:color="auto"/>
        <w:left w:val="none" w:sz="0" w:space="0" w:color="auto"/>
        <w:bottom w:val="none" w:sz="0" w:space="0" w:color="auto"/>
        <w:right w:val="none" w:sz="0" w:space="0" w:color="auto"/>
      </w:divBdr>
    </w:div>
    <w:div w:id="516120058">
      <w:bodyDiv w:val="1"/>
      <w:marLeft w:val="0"/>
      <w:marRight w:val="0"/>
      <w:marTop w:val="0"/>
      <w:marBottom w:val="0"/>
      <w:divBdr>
        <w:top w:val="none" w:sz="0" w:space="0" w:color="auto"/>
        <w:left w:val="none" w:sz="0" w:space="0" w:color="auto"/>
        <w:bottom w:val="none" w:sz="0" w:space="0" w:color="auto"/>
        <w:right w:val="none" w:sz="0" w:space="0" w:color="auto"/>
      </w:divBdr>
    </w:div>
    <w:div w:id="537006852">
      <w:bodyDiv w:val="1"/>
      <w:marLeft w:val="0"/>
      <w:marRight w:val="0"/>
      <w:marTop w:val="0"/>
      <w:marBottom w:val="0"/>
      <w:divBdr>
        <w:top w:val="none" w:sz="0" w:space="0" w:color="auto"/>
        <w:left w:val="none" w:sz="0" w:space="0" w:color="auto"/>
        <w:bottom w:val="none" w:sz="0" w:space="0" w:color="auto"/>
        <w:right w:val="none" w:sz="0" w:space="0" w:color="auto"/>
      </w:divBdr>
    </w:div>
    <w:div w:id="629288655">
      <w:bodyDiv w:val="1"/>
      <w:marLeft w:val="0"/>
      <w:marRight w:val="0"/>
      <w:marTop w:val="0"/>
      <w:marBottom w:val="0"/>
      <w:divBdr>
        <w:top w:val="none" w:sz="0" w:space="0" w:color="auto"/>
        <w:left w:val="none" w:sz="0" w:space="0" w:color="auto"/>
        <w:bottom w:val="none" w:sz="0" w:space="0" w:color="auto"/>
        <w:right w:val="none" w:sz="0" w:space="0" w:color="auto"/>
      </w:divBdr>
    </w:div>
    <w:div w:id="631398129">
      <w:bodyDiv w:val="1"/>
      <w:marLeft w:val="0"/>
      <w:marRight w:val="0"/>
      <w:marTop w:val="0"/>
      <w:marBottom w:val="0"/>
      <w:divBdr>
        <w:top w:val="none" w:sz="0" w:space="0" w:color="auto"/>
        <w:left w:val="none" w:sz="0" w:space="0" w:color="auto"/>
        <w:bottom w:val="none" w:sz="0" w:space="0" w:color="auto"/>
        <w:right w:val="none" w:sz="0" w:space="0" w:color="auto"/>
      </w:divBdr>
    </w:div>
    <w:div w:id="702052972">
      <w:bodyDiv w:val="1"/>
      <w:marLeft w:val="0"/>
      <w:marRight w:val="0"/>
      <w:marTop w:val="0"/>
      <w:marBottom w:val="0"/>
      <w:divBdr>
        <w:top w:val="none" w:sz="0" w:space="0" w:color="auto"/>
        <w:left w:val="none" w:sz="0" w:space="0" w:color="auto"/>
        <w:bottom w:val="none" w:sz="0" w:space="0" w:color="auto"/>
        <w:right w:val="none" w:sz="0" w:space="0" w:color="auto"/>
      </w:divBdr>
    </w:div>
    <w:div w:id="728841788">
      <w:bodyDiv w:val="1"/>
      <w:marLeft w:val="0"/>
      <w:marRight w:val="0"/>
      <w:marTop w:val="0"/>
      <w:marBottom w:val="0"/>
      <w:divBdr>
        <w:top w:val="none" w:sz="0" w:space="0" w:color="auto"/>
        <w:left w:val="none" w:sz="0" w:space="0" w:color="auto"/>
        <w:bottom w:val="none" w:sz="0" w:space="0" w:color="auto"/>
        <w:right w:val="none" w:sz="0" w:space="0" w:color="auto"/>
      </w:divBdr>
    </w:div>
    <w:div w:id="785276601">
      <w:bodyDiv w:val="1"/>
      <w:marLeft w:val="0"/>
      <w:marRight w:val="0"/>
      <w:marTop w:val="0"/>
      <w:marBottom w:val="0"/>
      <w:divBdr>
        <w:top w:val="none" w:sz="0" w:space="0" w:color="auto"/>
        <w:left w:val="none" w:sz="0" w:space="0" w:color="auto"/>
        <w:bottom w:val="none" w:sz="0" w:space="0" w:color="auto"/>
        <w:right w:val="none" w:sz="0" w:space="0" w:color="auto"/>
      </w:divBdr>
    </w:div>
    <w:div w:id="854422663">
      <w:bodyDiv w:val="1"/>
      <w:marLeft w:val="0"/>
      <w:marRight w:val="0"/>
      <w:marTop w:val="0"/>
      <w:marBottom w:val="0"/>
      <w:divBdr>
        <w:top w:val="none" w:sz="0" w:space="0" w:color="auto"/>
        <w:left w:val="none" w:sz="0" w:space="0" w:color="auto"/>
        <w:bottom w:val="none" w:sz="0" w:space="0" w:color="auto"/>
        <w:right w:val="none" w:sz="0" w:space="0" w:color="auto"/>
      </w:divBdr>
    </w:div>
    <w:div w:id="932972560">
      <w:bodyDiv w:val="1"/>
      <w:marLeft w:val="0"/>
      <w:marRight w:val="0"/>
      <w:marTop w:val="0"/>
      <w:marBottom w:val="0"/>
      <w:divBdr>
        <w:top w:val="none" w:sz="0" w:space="0" w:color="auto"/>
        <w:left w:val="none" w:sz="0" w:space="0" w:color="auto"/>
        <w:bottom w:val="none" w:sz="0" w:space="0" w:color="auto"/>
        <w:right w:val="none" w:sz="0" w:space="0" w:color="auto"/>
      </w:divBdr>
    </w:div>
    <w:div w:id="995112965">
      <w:bodyDiv w:val="1"/>
      <w:marLeft w:val="0"/>
      <w:marRight w:val="0"/>
      <w:marTop w:val="0"/>
      <w:marBottom w:val="0"/>
      <w:divBdr>
        <w:top w:val="none" w:sz="0" w:space="0" w:color="auto"/>
        <w:left w:val="none" w:sz="0" w:space="0" w:color="auto"/>
        <w:bottom w:val="none" w:sz="0" w:space="0" w:color="auto"/>
        <w:right w:val="none" w:sz="0" w:space="0" w:color="auto"/>
      </w:divBdr>
    </w:div>
    <w:div w:id="997343322">
      <w:bodyDiv w:val="1"/>
      <w:marLeft w:val="0"/>
      <w:marRight w:val="0"/>
      <w:marTop w:val="0"/>
      <w:marBottom w:val="0"/>
      <w:divBdr>
        <w:top w:val="none" w:sz="0" w:space="0" w:color="auto"/>
        <w:left w:val="none" w:sz="0" w:space="0" w:color="auto"/>
        <w:bottom w:val="none" w:sz="0" w:space="0" w:color="auto"/>
        <w:right w:val="none" w:sz="0" w:space="0" w:color="auto"/>
      </w:divBdr>
    </w:div>
    <w:div w:id="1037270270">
      <w:bodyDiv w:val="1"/>
      <w:marLeft w:val="0"/>
      <w:marRight w:val="0"/>
      <w:marTop w:val="0"/>
      <w:marBottom w:val="0"/>
      <w:divBdr>
        <w:top w:val="none" w:sz="0" w:space="0" w:color="auto"/>
        <w:left w:val="none" w:sz="0" w:space="0" w:color="auto"/>
        <w:bottom w:val="none" w:sz="0" w:space="0" w:color="auto"/>
        <w:right w:val="none" w:sz="0" w:space="0" w:color="auto"/>
      </w:divBdr>
    </w:div>
    <w:div w:id="1063911833">
      <w:bodyDiv w:val="1"/>
      <w:marLeft w:val="0"/>
      <w:marRight w:val="0"/>
      <w:marTop w:val="0"/>
      <w:marBottom w:val="0"/>
      <w:divBdr>
        <w:top w:val="none" w:sz="0" w:space="0" w:color="auto"/>
        <w:left w:val="none" w:sz="0" w:space="0" w:color="auto"/>
        <w:bottom w:val="none" w:sz="0" w:space="0" w:color="auto"/>
        <w:right w:val="none" w:sz="0" w:space="0" w:color="auto"/>
      </w:divBdr>
    </w:div>
    <w:div w:id="1063941594">
      <w:bodyDiv w:val="1"/>
      <w:marLeft w:val="0"/>
      <w:marRight w:val="0"/>
      <w:marTop w:val="0"/>
      <w:marBottom w:val="0"/>
      <w:divBdr>
        <w:top w:val="none" w:sz="0" w:space="0" w:color="auto"/>
        <w:left w:val="none" w:sz="0" w:space="0" w:color="auto"/>
        <w:bottom w:val="none" w:sz="0" w:space="0" w:color="auto"/>
        <w:right w:val="none" w:sz="0" w:space="0" w:color="auto"/>
      </w:divBdr>
    </w:div>
    <w:div w:id="1077022665">
      <w:bodyDiv w:val="1"/>
      <w:marLeft w:val="0"/>
      <w:marRight w:val="0"/>
      <w:marTop w:val="0"/>
      <w:marBottom w:val="0"/>
      <w:divBdr>
        <w:top w:val="none" w:sz="0" w:space="0" w:color="auto"/>
        <w:left w:val="none" w:sz="0" w:space="0" w:color="auto"/>
        <w:bottom w:val="none" w:sz="0" w:space="0" w:color="auto"/>
        <w:right w:val="none" w:sz="0" w:space="0" w:color="auto"/>
      </w:divBdr>
    </w:div>
    <w:div w:id="1157191061">
      <w:bodyDiv w:val="1"/>
      <w:marLeft w:val="0"/>
      <w:marRight w:val="0"/>
      <w:marTop w:val="0"/>
      <w:marBottom w:val="0"/>
      <w:divBdr>
        <w:top w:val="none" w:sz="0" w:space="0" w:color="auto"/>
        <w:left w:val="none" w:sz="0" w:space="0" w:color="auto"/>
        <w:bottom w:val="none" w:sz="0" w:space="0" w:color="auto"/>
        <w:right w:val="none" w:sz="0" w:space="0" w:color="auto"/>
      </w:divBdr>
    </w:div>
    <w:div w:id="1306473942">
      <w:bodyDiv w:val="1"/>
      <w:marLeft w:val="0"/>
      <w:marRight w:val="0"/>
      <w:marTop w:val="0"/>
      <w:marBottom w:val="0"/>
      <w:divBdr>
        <w:top w:val="none" w:sz="0" w:space="0" w:color="auto"/>
        <w:left w:val="none" w:sz="0" w:space="0" w:color="auto"/>
        <w:bottom w:val="none" w:sz="0" w:space="0" w:color="auto"/>
        <w:right w:val="none" w:sz="0" w:space="0" w:color="auto"/>
      </w:divBdr>
    </w:div>
    <w:div w:id="1379088474">
      <w:bodyDiv w:val="1"/>
      <w:marLeft w:val="0"/>
      <w:marRight w:val="0"/>
      <w:marTop w:val="0"/>
      <w:marBottom w:val="0"/>
      <w:divBdr>
        <w:top w:val="none" w:sz="0" w:space="0" w:color="auto"/>
        <w:left w:val="none" w:sz="0" w:space="0" w:color="auto"/>
        <w:bottom w:val="none" w:sz="0" w:space="0" w:color="auto"/>
        <w:right w:val="none" w:sz="0" w:space="0" w:color="auto"/>
      </w:divBdr>
    </w:div>
    <w:div w:id="1397168327">
      <w:bodyDiv w:val="1"/>
      <w:marLeft w:val="0"/>
      <w:marRight w:val="0"/>
      <w:marTop w:val="0"/>
      <w:marBottom w:val="0"/>
      <w:divBdr>
        <w:top w:val="none" w:sz="0" w:space="0" w:color="auto"/>
        <w:left w:val="none" w:sz="0" w:space="0" w:color="auto"/>
        <w:bottom w:val="none" w:sz="0" w:space="0" w:color="auto"/>
        <w:right w:val="none" w:sz="0" w:space="0" w:color="auto"/>
      </w:divBdr>
    </w:div>
    <w:div w:id="1399864012">
      <w:bodyDiv w:val="1"/>
      <w:marLeft w:val="0"/>
      <w:marRight w:val="0"/>
      <w:marTop w:val="0"/>
      <w:marBottom w:val="0"/>
      <w:divBdr>
        <w:top w:val="none" w:sz="0" w:space="0" w:color="auto"/>
        <w:left w:val="none" w:sz="0" w:space="0" w:color="auto"/>
        <w:bottom w:val="none" w:sz="0" w:space="0" w:color="auto"/>
        <w:right w:val="none" w:sz="0" w:space="0" w:color="auto"/>
      </w:divBdr>
    </w:div>
    <w:div w:id="1574463707">
      <w:bodyDiv w:val="1"/>
      <w:marLeft w:val="0"/>
      <w:marRight w:val="0"/>
      <w:marTop w:val="0"/>
      <w:marBottom w:val="0"/>
      <w:divBdr>
        <w:top w:val="none" w:sz="0" w:space="0" w:color="auto"/>
        <w:left w:val="none" w:sz="0" w:space="0" w:color="auto"/>
        <w:bottom w:val="none" w:sz="0" w:space="0" w:color="auto"/>
        <w:right w:val="none" w:sz="0" w:space="0" w:color="auto"/>
      </w:divBdr>
    </w:div>
    <w:div w:id="1605454194">
      <w:bodyDiv w:val="1"/>
      <w:marLeft w:val="0"/>
      <w:marRight w:val="0"/>
      <w:marTop w:val="0"/>
      <w:marBottom w:val="0"/>
      <w:divBdr>
        <w:top w:val="none" w:sz="0" w:space="0" w:color="auto"/>
        <w:left w:val="none" w:sz="0" w:space="0" w:color="auto"/>
        <w:bottom w:val="none" w:sz="0" w:space="0" w:color="auto"/>
        <w:right w:val="none" w:sz="0" w:space="0" w:color="auto"/>
      </w:divBdr>
    </w:div>
    <w:div w:id="1628046800">
      <w:bodyDiv w:val="1"/>
      <w:marLeft w:val="0"/>
      <w:marRight w:val="0"/>
      <w:marTop w:val="0"/>
      <w:marBottom w:val="0"/>
      <w:divBdr>
        <w:top w:val="none" w:sz="0" w:space="0" w:color="auto"/>
        <w:left w:val="none" w:sz="0" w:space="0" w:color="auto"/>
        <w:bottom w:val="none" w:sz="0" w:space="0" w:color="auto"/>
        <w:right w:val="none" w:sz="0" w:space="0" w:color="auto"/>
      </w:divBdr>
    </w:div>
    <w:div w:id="1645812341">
      <w:bodyDiv w:val="1"/>
      <w:marLeft w:val="0"/>
      <w:marRight w:val="0"/>
      <w:marTop w:val="0"/>
      <w:marBottom w:val="0"/>
      <w:divBdr>
        <w:top w:val="none" w:sz="0" w:space="0" w:color="auto"/>
        <w:left w:val="none" w:sz="0" w:space="0" w:color="auto"/>
        <w:bottom w:val="none" w:sz="0" w:space="0" w:color="auto"/>
        <w:right w:val="none" w:sz="0" w:space="0" w:color="auto"/>
      </w:divBdr>
    </w:div>
    <w:div w:id="1784423444">
      <w:bodyDiv w:val="1"/>
      <w:marLeft w:val="0"/>
      <w:marRight w:val="0"/>
      <w:marTop w:val="0"/>
      <w:marBottom w:val="0"/>
      <w:divBdr>
        <w:top w:val="none" w:sz="0" w:space="0" w:color="auto"/>
        <w:left w:val="none" w:sz="0" w:space="0" w:color="auto"/>
        <w:bottom w:val="none" w:sz="0" w:space="0" w:color="auto"/>
        <w:right w:val="none" w:sz="0" w:space="0" w:color="auto"/>
      </w:divBdr>
    </w:div>
    <w:div w:id="1790121017">
      <w:bodyDiv w:val="1"/>
      <w:marLeft w:val="0"/>
      <w:marRight w:val="0"/>
      <w:marTop w:val="0"/>
      <w:marBottom w:val="0"/>
      <w:divBdr>
        <w:top w:val="none" w:sz="0" w:space="0" w:color="auto"/>
        <w:left w:val="none" w:sz="0" w:space="0" w:color="auto"/>
        <w:bottom w:val="none" w:sz="0" w:space="0" w:color="auto"/>
        <w:right w:val="none" w:sz="0" w:space="0" w:color="auto"/>
      </w:divBdr>
    </w:div>
    <w:div w:id="1808861339">
      <w:bodyDiv w:val="1"/>
      <w:marLeft w:val="0"/>
      <w:marRight w:val="0"/>
      <w:marTop w:val="0"/>
      <w:marBottom w:val="0"/>
      <w:divBdr>
        <w:top w:val="none" w:sz="0" w:space="0" w:color="auto"/>
        <w:left w:val="none" w:sz="0" w:space="0" w:color="auto"/>
        <w:bottom w:val="none" w:sz="0" w:space="0" w:color="auto"/>
        <w:right w:val="none" w:sz="0" w:space="0" w:color="auto"/>
      </w:divBdr>
    </w:div>
    <w:div w:id="1846938471">
      <w:bodyDiv w:val="1"/>
      <w:marLeft w:val="0"/>
      <w:marRight w:val="0"/>
      <w:marTop w:val="0"/>
      <w:marBottom w:val="0"/>
      <w:divBdr>
        <w:top w:val="none" w:sz="0" w:space="0" w:color="auto"/>
        <w:left w:val="none" w:sz="0" w:space="0" w:color="auto"/>
        <w:bottom w:val="none" w:sz="0" w:space="0" w:color="auto"/>
        <w:right w:val="none" w:sz="0" w:space="0" w:color="auto"/>
      </w:divBdr>
    </w:div>
    <w:div w:id="1964070805">
      <w:bodyDiv w:val="1"/>
      <w:marLeft w:val="0"/>
      <w:marRight w:val="0"/>
      <w:marTop w:val="0"/>
      <w:marBottom w:val="0"/>
      <w:divBdr>
        <w:top w:val="none" w:sz="0" w:space="0" w:color="auto"/>
        <w:left w:val="none" w:sz="0" w:space="0" w:color="auto"/>
        <w:bottom w:val="none" w:sz="0" w:space="0" w:color="auto"/>
        <w:right w:val="none" w:sz="0" w:space="0" w:color="auto"/>
      </w:divBdr>
    </w:div>
    <w:div w:id="2005892464">
      <w:bodyDiv w:val="1"/>
      <w:marLeft w:val="0"/>
      <w:marRight w:val="0"/>
      <w:marTop w:val="0"/>
      <w:marBottom w:val="0"/>
      <w:divBdr>
        <w:top w:val="none" w:sz="0" w:space="0" w:color="auto"/>
        <w:left w:val="none" w:sz="0" w:space="0" w:color="auto"/>
        <w:bottom w:val="none" w:sz="0" w:space="0" w:color="auto"/>
        <w:right w:val="none" w:sz="0" w:space="0" w:color="auto"/>
      </w:divBdr>
    </w:div>
    <w:div w:id="2089577566">
      <w:bodyDiv w:val="1"/>
      <w:marLeft w:val="0"/>
      <w:marRight w:val="0"/>
      <w:marTop w:val="0"/>
      <w:marBottom w:val="0"/>
      <w:divBdr>
        <w:top w:val="none" w:sz="0" w:space="0" w:color="auto"/>
        <w:left w:val="none" w:sz="0" w:space="0" w:color="auto"/>
        <w:bottom w:val="none" w:sz="0" w:space="0" w:color="auto"/>
        <w:right w:val="none" w:sz="0" w:space="0" w:color="auto"/>
      </w:divBdr>
    </w:div>
    <w:div w:id="2099249499">
      <w:bodyDiv w:val="1"/>
      <w:marLeft w:val="0"/>
      <w:marRight w:val="0"/>
      <w:marTop w:val="0"/>
      <w:marBottom w:val="0"/>
      <w:divBdr>
        <w:top w:val="none" w:sz="0" w:space="0" w:color="auto"/>
        <w:left w:val="none" w:sz="0" w:space="0" w:color="auto"/>
        <w:bottom w:val="none" w:sz="0" w:space="0" w:color="auto"/>
        <w:right w:val="none" w:sz="0" w:space="0" w:color="auto"/>
      </w:divBdr>
    </w:div>
    <w:div w:id="2132550909">
      <w:bodyDiv w:val="1"/>
      <w:marLeft w:val="0"/>
      <w:marRight w:val="0"/>
      <w:marTop w:val="0"/>
      <w:marBottom w:val="0"/>
      <w:divBdr>
        <w:top w:val="none" w:sz="0" w:space="0" w:color="auto"/>
        <w:left w:val="none" w:sz="0" w:space="0" w:color="auto"/>
        <w:bottom w:val="none" w:sz="0" w:space="0" w:color="auto"/>
        <w:right w:val="none" w:sz="0" w:space="0" w:color="auto"/>
      </w:divBdr>
    </w:div>
    <w:div w:id="21445383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image" Target="media/image10.png"/><Relationship Id="rId39" Type="http://schemas.openxmlformats.org/officeDocument/2006/relationships/image" Target="media/image21.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eader" Target="header5.xml"/><Relationship Id="rId35" Type="http://schemas.openxmlformats.org/officeDocument/2006/relationships/image" Target="media/image1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8" Type="http://schemas.openxmlformats.org/officeDocument/2006/relationships/hyperlink" Target="https://www.who.int/initiatives/glass" TargetMode="External"/><Relationship Id="rId13" Type="http://schemas.openxmlformats.org/officeDocument/2006/relationships/hyperlink" Target="https://www.oecd-ilibrary.org/docserver/3fda0081-en.pdf?expires=1586440136&amp;id=id&amp;accname=guest&amp;checksum=EDDD4196D5257F2D6DD73BB8157AB7BE" TargetMode="External"/><Relationship Id="rId3" Type="http://schemas.openxmlformats.org/officeDocument/2006/relationships/hyperlink" Target="https://apps.who.int/gb/ebwha/pdf_files/WHA75/A75_19-en.pdf" TargetMode="External"/><Relationship Id="rId7" Type="http://schemas.openxmlformats.org/officeDocument/2006/relationships/hyperlink" Target="https://www.gov.uk/government/publications/fleming-fund-annual-review-2019/fleming-fund-annual-review-january-to-december-2019" TargetMode="External"/><Relationship Id="rId12" Type="http://schemas.openxmlformats.org/officeDocument/2006/relationships/hyperlink" Target="https://www.oecd-ilibrary.org/development/applying-evaluation-criteria-thoughtfully_543e84ed-en" TargetMode="External"/><Relationship Id="rId2" Type="http://schemas.openxmlformats.org/officeDocument/2006/relationships/hyperlink" Target="https://apps.who.int/iris/handle/10665/340079" TargetMode="External"/><Relationship Id="rId1" Type="http://schemas.openxmlformats.org/officeDocument/2006/relationships/hyperlink" Target="https://www.avma.org/onehealth" TargetMode="External"/><Relationship Id="rId6" Type="http://schemas.openxmlformats.org/officeDocument/2006/relationships/hyperlink" Target="https://cdn.who.int/media/docs/default-source/antimicrobial-resistance/iacg-amr-national-action-plans-110618.pdf?sfvrsn=53e4eb22_4" TargetMode="External"/><Relationship Id="rId11" Type="http://schemas.openxmlformats.org/officeDocument/2006/relationships/hyperlink" Target="https://twpcommunity.org/" TargetMode="External"/><Relationship Id="rId5" Type="http://schemas.openxmlformats.org/officeDocument/2006/relationships/hyperlink" Target="https://researchonline.lshtm.ac.uk/id/eprint/4574689/" TargetMode="External"/><Relationship Id="rId10" Type="http://schemas.openxmlformats.org/officeDocument/2006/relationships/hyperlink" Target="https://www.who.int/initiatives/glass/glass-routine-data-surveillance" TargetMode="External"/><Relationship Id="rId4" Type="http://schemas.openxmlformats.org/officeDocument/2006/relationships/hyperlink" Target="https://www.who.int/initiatives/tripartite-zoonosis-guide" TargetMode="External"/><Relationship Id="rId9" Type="http://schemas.openxmlformats.org/officeDocument/2006/relationships/hyperlink" Target="https://www.woah.org/en/what-we-do/global-initiatives/antimicrobial-resistance/" TargetMode="External"/><Relationship Id="rId14" Type="http://schemas.openxmlformats.org/officeDocument/2006/relationships/hyperlink" Target="https://assets.publishing.service.gov.uk/government/uploads/system/uploads/attachment_data/file/1115116/Programme-Operating-Framework-Nov22.odt" TargetMode="External"/></Relationships>
</file>

<file path=word/theme/theme1.xml><?xml version="1.0" encoding="utf-8"?>
<a:theme xmlns:a="http://schemas.openxmlformats.org/drawingml/2006/main" name="Office Theme">
  <a:themeElements>
    <a:clrScheme name="Itad">
      <a:dk1>
        <a:srgbClr val="3B3B3C"/>
      </a:dk1>
      <a:lt1>
        <a:sysClr val="window" lastClr="FFFFFF"/>
      </a:lt1>
      <a:dk2>
        <a:srgbClr val="588B46"/>
      </a:dk2>
      <a:lt2>
        <a:srgbClr val="E7E6E6"/>
      </a:lt2>
      <a:accent1>
        <a:srgbClr val="89803D"/>
      </a:accent1>
      <a:accent2>
        <a:srgbClr val="E37230"/>
      </a:accent2>
      <a:accent3>
        <a:srgbClr val="3FB84E"/>
      </a:accent3>
      <a:accent4>
        <a:srgbClr val="F1B249"/>
      </a:accent4>
      <a:accent5>
        <a:srgbClr val="F4F142"/>
      </a:accent5>
      <a:accent6>
        <a:srgbClr val="8CCA45"/>
      </a:accent6>
      <a:hlink>
        <a:srgbClr val="3B3B3C"/>
      </a:hlink>
      <a:folHlink>
        <a:srgbClr val="F3932D"/>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b:Source>
    <b:Tag>Wor214</b:Tag>
    <b:SourceType>InternetSite</b:SourceType>
    <b:Guid>{C3B532CD-15C6-DC4A-B7A2-C5E08AD0741A}</b:Guid>
    <b:Author>
      <b:Author>
        <b:Corporate>World Bannk</b:Corporate>
      </b:Author>
    </b:Author>
    <b:Title>Safeguarding Animal, Human and Ecosystem Health: One Health at the World Bank </b:Title>
    <b:URL>https://www.worldbank.org/en/topic/agriculture/brief/safeguarding-animal-human-and-ecosystem-health-one-health-at-the-world-bank</b:URL>
    <b:Year>2021</b:Year>
    <b:Month>June</b:Month>
    <b:Day>3</b:Day>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5724-7c91-4237-853c-255501370aa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E5D992F4F1BC4469E6B89EB86B8986A" ma:contentTypeVersion="8" ma:contentTypeDescription="Create a new document." ma:contentTypeScope="" ma:versionID="47d3eee47d6067f7f1c3c43eb0007236">
  <xsd:schema xmlns:xsd="http://www.w3.org/2001/XMLSchema" xmlns:xs="http://www.w3.org/2001/XMLSchema" xmlns:p="http://schemas.microsoft.com/office/2006/metadata/properties" xmlns:ns2="bdd75724-7c91-4237-853c-255501370aa0" xmlns:ns3="7aa07ef2-f4ec-4a8c-98d7-e2e24130d9f5" targetNamespace="http://schemas.microsoft.com/office/2006/metadata/properties" ma:root="true" ma:fieldsID="4afdbb87b07a28ba0bfb356767e59669" ns2:_="" ns3:_="">
    <xsd:import namespace="bdd75724-7c91-4237-853c-255501370aa0"/>
    <xsd:import namespace="7aa07ef2-f4ec-4a8c-98d7-e2e24130d9f5"/>
    <xsd:element name="properties">
      <xsd:complexType>
        <xsd:sequence>
          <xsd:element name="documentManagement">
            <xsd:complexType>
              <xsd:all>
                <xsd:element ref="ns2:lcf76f155ced4ddcb4097134ff3c332f" minOccurs="0"/>
                <xsd:element ref="ns3:SharedWithUsers" minOccurs="0"/>
                <xsd:element ref="ns3:SharedWithDetails"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5724-7c91-4237-853c-255501370aa0"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1caf2c84-180d-4652-98d8-3773f236d385" ma:termSetId="09814cd3-568e-fe90-9814-8d621ff8fb84" ma:anchorId="fba54fb3-c3e1-fe81-a776-ca4b69148c4d" ma:open="true" ma:isKeyword="false">
      <xsd:complexType>
        <xsd:sequence>
          <xsd:element ref="pc:Terms" minOccurs="0" maxOccurs="1"/>
        </xsd:sequence>
      </xsd:complexType>
    </xsd:element>
    <xsd:element name="MediaLengthInSeconds" ma:index="12" nillable="true" ma:displayName="MediaLengthInSeconds" ma:hidden="true" ma:internalName="MediaLengthInSeconds" ma:readOnly="true">
      <xsd:simpleType>
        <xsd:restriction base="dms:Unknown"/>
      </xsd:simpleType>
    </xsd:element>
    <xsd:element name="MediaServiceObjectDetectorVersions" ma:index="1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a07ef2-f4ec-4a8c-98d7-e2e24130d9f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7443F0-D4A5-4216-AC77-A688E85F0C1D}">
  <ds:schemaRefs>
    <ds:schemaRef ds:uri="http://schemas.microsoft.com/sharepoint/v3/contenttype/forms"/>
  </ds:schemaRefs>
</ds:datastoreItem>
</file>

<file path=customXml/itemProps2.xml><?xml version="1.0" encoding="utf-8"?>
<ds:datastoreItem xmlns:ds="http://schemas.openxmlformats.org/officeDocument/2006/customXml" ds:itemID="{C5B669CE-92D4-7247-B9CE-D2DFBFE8E41F}">
  <ds:schemaRefs>
    <ds:schemaRef ds:uri="http://schemas.openxmlformats.org/officeDocument/2006/bibliography"/>
  </ds:schemaRefs>
</ds:datastoreItem>
</file>

<file path=customXml/itemProps3.xml><?xml version="1.0" encoding="utf-8"?>
<ds:datastoreItem xmlns:ds="http://schemas.openxmlformats.org/officeDocument/2006/customXml" ds:itemID="{4F71E91D-DAF8-42A2-97C9-16008A93F058}">
  <ds:schemaRefs>
    <ds:schemaRef ds:uri="http://schemas.microsoft.com/office/2006/documentManagement/types"/>
    <ds:schemaRef ds:uri="http://schemas.microsoft.com/office/2006/metadata/properties"/>
    <ds:schemaRef ds:uri="http://purl.org/dc/elements/1.1/"/>
    <ds:schemaRef ds:uri="bdd75724-7c91-4237-853c-255501370aa0"/>
    <ds:schemaRef ds:uri="http://purl.org/dc/terms/"/>
    <ds:schemaRef ds:uri="http://purl.org/dc/dcmitype/"/>
    <ds:schemaRef ds:uri="http://schemas.microsoft.com/office/infopath/2007/PartnerControls"/>
    <ds:schemaRef ds:uri="http://schemas.openxmlformats.org/package/2006/metadata/core-properties"/>
    <ds:schemaRef ds:uri="7aa07ef2-f4ec-4a8c-98d7-e2e24130d9f5"/>
    <ds:schemaRef ds:uri="http://www.w3.org/XML/1998/namespace"/>
  </ds:schemaRefs>
</ds:datastoreItem>
</file>

<file path=customXml/itemProps4.xml><?xml version="1.0" encoding="utf-8"?>
<ds:datastoreItem xmlns:ds="http://schemas.openxmlformats.org/officeDocument/2006/customXml" ds:itemID="{9BE2EB4F-5EEB-4D1B-8A1E-4E123F9A85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5724-7c91-4237-853c-255501370aa0"/>
    <ds:schemaRef ds:uri="7aa07ef2-f4ec-4a8c-98d7-e2e24130d9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41657</Words>
  <Characters>237447</Characters>
  <Application>Microsoft Office Word</Application>
  <DocSecurity>0</DocSecurity>
  <Lines>1978</Lines>
  <Paragraphs>557</Paragraphs>
  <ScaleCrop>false</ScaleCrop>
  <Company/>
  <LinksUpToDate>false</LinksUpToDate>
  <CharactersWithSpaces>278547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dc:creator>
  <cp:keywords/>
  <dc:description/>
  <cp:lastModifiedBy>Kayuma, Mwaanga</cp:lastModifiedBy>
  <cp:revision>2</cp:revision>
  <dcterms:created xsi:type="dcterms:W3CDTF">2024-04-24T11:44:00Z</dcterms:created>
  <dcterms:modified xsi:type="dcterms:W3CDTF">2024-04-24T11:44:00Z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0x010100BE5D992F4F1BC4469E6B89EB86B8986A</vt:lpwstr>
  </property>
  <property fmtid="{D5CDD505-2E9C-101B-9397-08002B2CF9AE}" pid="3" name="MediaServiceImageTags">
    <vt:lpwstr/>
  </property>
  <property fmtid="{D5CDD505-2E9C-101B-9397-08002B2CF9AE}" pid="4" name="GrammarlyDocumentId">
    <vt:lpwstr>2b7850be6e2e9a0a6885a81179869877e7965d238fcf7cc1d824b896095061b7</vt:lpwstr>
  </property>
  <property fmtid="{D5CDD505-2E9C-101B-9397-08002B2CF9AE}" pid="5" name="TaxCatchAll">
    <vt:lpwstr/>
  </property>
</Properties>
</file>