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48C45" w14:textId="11F924E3" w:rsidR="000D35AC" w:rsidRDefault="000D35AC">
      <w:pPr>
        <w:rPr>
          <w:rFonts w:ascii="Arial" w:eastAsia="Arial" w:hAnsi="Arial" w:cs="Arial"/>
          <w:b/>
          <w:color w:val="FF0000"/>
        </w:rPr>
      </w:pPr>
      <w:r>
        <w:rPr>
          <w:rFonts w:ascii="Arial" w:eastAsia="Arial" w:hAnsi="Arial" w:cs="Arial"/>
          <w:b/>
          <w:noProof/>
          <w:color w:val="FF0000"/>
        </w:rPr>
        <w:drawing>
          <wp:inline distT="0" distB="0" distL="0" distR="0" wp14:anchorId="1E08CA85" wp14:editId="0D477FAF">
            <wp:extent cx="1465204" cy="444500"/>
            <wp:effectExtent l="0" t="0" r="1905" b="0"/>
            <wp:docPr id="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white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66849" cy="444999"/>
                    </a:xfrm>
                    <a:prstGeom prst="rect">
                      <a:avLst/>
                    </a:prstGeom>
                  </pic:spPr>
                </pic:pic>
              </a:graphicData>
            </a:graphic>
          </wp:inline>
        </w:drawing>
      </w:r>
    </w:p>
    <w:p w14:paraId="7152F442" w14:textId="1543E893" w:rsidR="000D35AC" w:rsidRPr="005F41E4" w:rsidRDefault="000C6EC1">
      <w:pPr>
        <w:rPr>
          <w:rFonts w:ascii="Arial" w:eastAsia="Arial" w:hAnsi="Arial" w:cs="Arial"/>
          <w:b/>
          <w:color w:val="FF0000"/>
        </w:rPr>
      </w:pPr>
      <w:r w:rsidRPr="005F41E4">
        <w:rPr>
          <w:rFonts w:ascii="Arial" w:eastAsia="Arial" w:hAnsi="Arial" w:cs="Arial"/>
          <w:b/>
        </w:rPr>
        <w:t xml:space="preserve">DHSC Response to Fleming Fund </w:t>
      </w:r>
      <w:r w:rsidR="00207373" w:rsidRPr="005F41E4">
        <w:rPr>
          <w:rFonts w:ascii="Arial" w:eastAsia="Arial" w:hAnsi="Arial" w:cs="Arial"/>
          <w:b/>
        </w:rPr>
        <w:t xml:space="preserve">Phase I </w:t>
      </w:r>
      <w:r w:rsidRPr="005F41E4">
        <w:rPr>
          <w:rFonts w:ascii="Arial" w:eastAsia="Arial" w:hAnsi="Arial" w:cs="Arial"/>
          <w:b/>
        </w:rPr>
        <w:t xml:space="preserve">Summative Evaluation </w:t>
      </w:r>
    </w:p>
    <w:p w14:paraId="59489946" w14:textId="40032337" w:rsidR="00B35607" w:rsidRDefault="00D34E3E" w:rsidP="00B35607">
      <w:pPr>
        <w:rPr>
          <w:rFonts w:ascii="Arial" w:eastAsia="Arial" w:hAnsi="Arial" w:cs="Arial"/>
        </w:rPr>
      </w:pPr>
      <w:r w:rsidRPr="7F317285">
        <w:rPr>
          <w:rFonts w:ascii="Arial" w:eastAsia="Arial" w:hAnsi="Arial" w:cs="Arial"/>
        </w:rPr>
        <w:t>In 2016 t</w:t>
      </w:r>
      <w:r w:rsidR="00C80643" w:rsidRPr="7F317285">
        <w:rPr>
          <w:rFonts w:ascii="Arial" w:eastAsia="Arial" w:hAnsi="Arial" w:cs="Arial"/>
        </w:rPr>
        <w:t xml:space="preserve">he </w:t>
      </w:r>
      <w:r w:rsidRPr="7F317285">
        <w:rPr>
          <w:rFonts w:ascii="Arial" w:eastAsia="Arial" w:hAnsi="Arial" w:cs="Arial"/>
        </w:rPr>
        <w:t>Dep</w:t>
      </w:r>
      <w:r w:rsidR="000C0010" w:rsidRPr="7F317285">
        <w:rPr>
          <w:rFonts w:ascii="Arial" w:eastAsia="Arial" w:hAnsi="Arial" w:cs="Arial"/>
        </w:rPr>
        <w:t>a</w:t>
      </w:r>
      <w:r w:rsidRPr="7F317285">
        <w:rPr>
          <w:rFonts w:ascii="Arial" w:eastAsia="Arial" w:hAnsi="Arial" w:cs="Arial"/>
        </w:rPr>
        <w:t xml:space="preserve">rtment of Health and Social Care </w:t>
      </w:r>
      <w:r w:rsidR="00C80643" w:rsidRPr="7F317285">
        <w:rPr>
          <w:rFonts w:ascii="Arial" w:eastAsia="Arial" w:hAnsi="Arial" w:cs="Arial"/>
        </w:rPr>
        <w:t>com</w:t>
      </w:r>
      <w:r w:rsidR="00F93247" w:rsidRPr="7F317285">
        <w:rPr>
          <w:rFonts w:ascii="Arial" w:eastAsia="Arial" w:hAnsi="Arial" w:cs="Arial"/>
        </w:rPr>
        <w:t>m</w:t>
      </w:r>
      <w:r w:rsidR="00C80643" w:rsidRPr="7F317285">
        <w:rPr>
          <w:rFonts w:ascii="Arial" w:eastAsia="Arial" w:hAnsi="Arial" w:cs="Arial"/>
        </w:rPr>
        <w:t>issioned Itad to undertake an independent evaluation of the Fleming Fund grants programme.</w:t>
      </w:r>
      <w:r w:rsidR="00F23F08" w:rsidRPr="7F317285">
        <w:rPr>
          <w:rFonts w:ascii="Arial" w:eastAsia="Arial" w:hAnsi="Arial" w:cs="Arial"/>
        </w:rPr>
        <w:t xml:space="preserve"> The focus of the evaluation </w:t>
      </w:r>
      <w:r w:rsidRPr="7F317285">
        <w:rPr>
          <w:rFonts w:ascii="Arial" w:eastAsia="Arial" w:hAnsi="Arial" w:cs="Arial"/>
        </w:rPr>
        <w:t xml:space="preserve">was </w:t>
      </w:r>
      <w:r w:rsidR="00F23F08" w:rsidRPr="7F317285">
        <w:rPr>
          <w:rFonts w:ascii="Arial" w:eastAsia="Arial" w:hAnsi="Arial" w:cs="Arial"/>
        </w:rPr>
        <w:t>on how far the outputs of the portfolio of C</w:t>
      </w:r>
      <w:r w:rsidRPr="7F317285">
        <w:rPr>
          <w:rFonts w:ascii="Arial" w:eastAsia="Arial" w:hAnsi="Arial" w:cs="Arial"/>
        </w:rPr>
        <w:t>ountry,</w:t>
      </w:r>
      <w:r w:rsidR="00F23F08" w:rsidRPr="7F317285">
        <w:rPr>
          <w:rFonts w:ascii="Arial" w:eastAsia="Arial" w:hAnsi="Arial" w:cs="Arial"/>
        </w:rPr>
        <w:t xml:space="preserve"> R</w:t>
      </w:r>
      <w:r w:rsidRPr="7F317285">
        <w:rPr>
          <w:rFonts w:ascii="Arial" w:eastAsia="Arial" w:hAnsi="Arial" w:cs="Arial"/>
        </w:rPr>
        <w:t>egional</w:t>
      </w:r>
      <w:r w:rsidR="005F35ED" w:rsidRPr="7F317285">
        <w:rPr>
          <w:rFonts w:ascii="Arial" w:eastAsia="Arial" w:hAnsi="Arial" w:cs="Arial"/>
        </w:rPr>
        <w:t xml:space="preserve"> and</w:t>
      </w:r>
      <w:r w:rsidR="00F23F08" w:rsidRPr="7F317285">
        <w:rPr>
          <w:rFonts w:ascii="Arial" w:eastAsia="Arial" w:hAnsi="Arial" w:cs="Arial"/>
        </w:rPr>
        <w:t xml:space="preserve"> Fellowships </w:t>
      </w:r>
      <w:r w:rsidR="005F35ED" w:rsidRPr="7F317285">
        <w:rPr>
          <w:rFonts w:ascii="Arial" w:eastAsia="Arial" w:hAnsi="Arial" w:cs="Arial"/>
        </w:rPr>
        <w:t xml:space="preserve">grant </w:t>
      </w:r>
      <w:r w:rsidR="00F23F08" w:rsidRPr="7F317285">
        <w:rPr>
          <w:rFonts w:ascii="Arial" w:eastAsia="Arial" w:hAnsi="Arial" w:cs="Arial"/>
        </w:rPr>
        <w:t>have contributed to the</w:t>
      </w:r>
      <w:r w:rsidR="005F35ED" w:rsidRPr="7F317285">
        <w:rPr>
          <w:rFonts w:ascii="Arial" w:eastAsia="Arial" w:hAnsi="Arial" w:cs="Arial"/>
        </w:rPr>
        <w:t xml:space="preserve"> expected</w:t>
      </w:r>
      <w:r w:rsidR="00F23F08" w:rsidRPr="7F317285">
        <w:rPr>
          <w:rFonts w:ascii="Arial" w:eastAsia="Arial" w:hAnsi="Arial" w:cs="Arial"/>
        </w:rPr>
        <w:t xml:space="preserve"> outcomes</w:t>
      </w:r>
      <w:r w:rsidR="005F35ED" w:rsidRPr="7F317285">
        <w:rPr>
          <w:rFonts w:ascii="Arial" w:eastAsia="Arial" w:hAnsi="Arial" w:cs="Arial"/>
        </w:rPr>
        <w:t xml:space="preserve">. </w:t>
      </w:r>
      <w:r w:rsidR="00B35607" w:rsidRPr="7F317285">
        <w:rPr>
          <w:rFonts w:ascii="Arial" w:eastAsia="Arial" w:hAnsi="Arial" w:cs="Arial"/>
        </w:rPr>
        <w:t xml:space="preserve">Within this broad purpose six Evaluation Questions (EQs) were set:  </w:t>
      </w:r>
    </w:p>
    <w:p w14:paraId="431AA89E" w14:textId="1D8FA2D0" w:rsidR="00B35607" w:rsidRDefault="00B35607" w:rsidP="00B35607">
      <w:pPr>
        <w:pStyle w:val="ListParagraph"/>
        <w:numPr>
          <w:ilvl w:val="0"/>
          <w:numId w:val="2"/>
        </w:numPr>
        <w:spacing w:after="0" w:line="240" w:lineRule="auto"/>
        <w:rPr>
          <w:rFonts w:ascii="Arial" w:eastAsia="Arial" w:hAnsi="Arial" w:cs="Arial"/>
        </w:rPr>
      </w:pPr>
      <w:r w:rsidRPr="7F317285">
        <w:rPr>
          <w:rFonts w:ascii="Arial" w:eastAsia="Arial" w:hAnsi="Arial" w:cs="Arial"/>
        </w:rPr>
        <w:t xml:space="preserve">What has been the increase in the quantity and/or quality of data on </w:t>
      </w:r>
      <w:r w:rsidR="00E012FF" w:rsidRPr="7F317285">
        <w:rPr>
          <w:rFonts w:ascii="Arial" w:eastAsia="Arial" w:hAnsi="Arial" w:cs="Arial"/>
        </w:rPr>
        <w:t>antimicrobial</w:t>
      </w:r>
      <w:r w:rsidRPr="7F317285">
        <w:rPr>
          <w:rFonts w:ascii="Arial" w:eastAsia="Arial" w:hAnsi="Arial" w:cs="Arial"/>
        </w:rPr>
        <w:t xml:space="preserve"> resistance (AMR) at country level and to what extent has the Fleming Fund contributed to this increase?  </w:t>
      </w:r>
    </w:p>
    <w:p w14:paraId="1A915ADE" w14:textId="000E6B85" w:rsidR="00B35607" w:rsidRDefault="00B35607" w:rsidP="00B35607">
      <w:pPr>
        <w:pStyle w:val="ListParagraph"/>
        <w:numPr>
          <w:ilvl w:val="0"/>
          <w:numId w:val="2"/>
        </w:numPr>
        <w:spacing w:after="0" w:line="240" w:lineRule="auto"/>
        <w:rPr>
          <w:rFonts w:ascii="Arial" w:eastAsia="Arial" w:hAnsi="Arial" w:cs="Arial"/>
        </w:rPr>
      </w:pPr>
      <w:r w:rsidRPr="7F317285">
        <w:rPr>
          <w:rFonts w:ascii="Arial" w:eastAsia="Arial" w:hAnsi="Arial" w:cs="Arial"/>
        </w:rPr>
        <w:t xml:space="preserve">To what extent have the Fleming Fund's investments been aligned and coherent with other relevant investments at country level?  </w:t>
      </w:r>
    </w:p>
    <w:p w14:paraId="2165456F" w14:textId="41B46991" w:rsidR="00B35607" w:rsidRDefault="00B35607" w:rsidP="00B35607">
      <w:pPr>
        <w:pStyle w:val="ListParagraph"/>
        <w:numPr>
          <w:ilvl w:val="0"/>
          <w:numId w:val="2"/>
        </w:numPr>
        <w:spacing w:after="0" w:line="240" w:lineRule="auto"/>
        <w:rPr>
          <w:rFonts w:ascii="Arial" w:eastAsia="Arial" w:hAnsi="Arial" w:cs="Arial"/>
        </w:rPr>
      </w:pPr>
      <w:r w:rsidRPr="7F317285">
        <w:rPr>
          <w:rFonts w:ascii="Arial" w:eastAsia="Arial" w:hAnsi="Arial" w:cs="Arial"/>
        </w:rPr>
        <w:t xml:space="preserve">How likely are the Fleming Fund's country level results to be sustained?  </w:t>
      </w:r>
    </w:p>
    <w:p w14:paraId="49CB36C7" w14:textId="1EA321D6" w:rsidR="00B35607" w:rsidRDefault="00B35607" w:rsidP="00B35607">
      <w:pPr>
        <w:pStyle w:val="ListParagraph"/>
        <w:numPr>
          <w:ilvl w:val="0"/>
          <w:numId w:val="2"/>
        </w:numPr>
        <w:spacing w:after="0" w:line="240" w:lineRule="auto"/>
        <w:rPr>
          <w:rFonts w:ascii="Arial" w:eastAsia="Arial" w:hAnsi="Arial" w:cs="Arial"/>
        </w:rPr>
      </w:pPr>
      <w:r w:rsidRPr="7F317285">
        <w:rPr>
          <w:rFonts w:ascii="Arial" w:eastAsia="Arial" w:hAnsi="Arial" w:cs="Arial"/>
        </w:rPr>
        <w:t>Has, or is it likely that, the increase in AMR data influenced: (a) changes in national policies/</w:t>
      </w:r>
      <w:r w:rsidR="00E012FF" w:rsidRPr="7F317285">
        <w:rPr>
          <w:rFonts w:ascii="Arial" w:eastAsia="Arial" w:hAnsi="Arial" w:cs="Arial"/>
        </w:rPr>
        <w:t>regulations?</w:t>
      </w:r>
      <w:r w:rsidRPr="7F317285">
        <w:rPr>
          <w:rFonts w:ascii="Arial" w:eastAsia="Arial" w:hAnsi="Arial" w:cs="Arial"/>
        </w:rPr>
        <w:t xml:space="preserve"> and/or (b) changes in practice and attitudes in country?  </w:t>
      </w:r>
    </w:p>
    <w:p w14:paraId="121839EC" w14:textId="6AA45A53" w:rsidR="00B35607" w:rsidRDefault="00B35607" w:rsidP="00B35607">
      <w:pPr>
        <w:pStyle w:val="ListParagraph"/>
        <w:numPr>
          <w:ilvl w:val="0"/>
          <w:numId w:val="2"/>
        </w:numPr>
        <w:spacing w:after="0" w:line="240" w:lineRule="auto"/>
        <w:rPr>
          <w:rFonts w:ascii="Arial" w:eastAsia="Arial" w:hAnsi="Arial" w:cs="Arial"/>
        </w:rPr>
      </w:pPr>
      <w:r w:rsidRPr="7F317285">
        <w:rPr>
          <w:rFonts w:ascii="Arial" w:eastAsia="Arial" w:hAnsi="Arial" w:cs="Arial"/>
        </w:rPr>
        <w:t xml:space="preserve">What has been the increase in quality data shared and reported internationally and has the Fleming Fund contributed to this?   </w:t>
      </w:r>
    </w:p>
    <w:p w14:paraId="171B2371" w14:textId="6A9B5231" w:rsidR="00C80643" w:rsidRDefault="00B35607" w:rsidP="5E8E6983">
      <w:pPr>
        <w:pStyle w:val="ListParagraph"/>
        <w:numPr>
          <w:ilvl w:val="0"/>
          <w:numId w:val="2"/>
        </w:numPr>
        <w:spacing w:after="0" w:line="240" w:lineRule="auto"/>
        <w:rPr>
          <w:rFonts w:ascii="Arial" w:eastAsia="Arial" w:hAnsi="Arial" w:cs="Arial"/>
        </w:rPr>
      </w:pPr>
      <w:r w:rsidRPr="7F317285">
        <w:rPr>
          <w:rFonts w:ascii="Arial" w:eastAsia="Arial" w:hAnsi="Arial" w:cs="Arial"/>
        </w:rPr>
        <w:t>Did the Fleming Fund's investments at country level offer value for money? </w:t>
      </w:r>
    </w:p>
    <w:p w14:paraId="76347542" w14:textId="4BB686ED" w:rsidR="5E8E6983" w:rsidRDefault="5E8E6983" w:rsidP="5E8E6983">
      <w:pPr>
        <w:spacing w:after="0" w:line="240" w:lineRule="auto"/>
        <w:rPr>
          <w:rFonts w:ascii="Arial" w:eastAsia="Arial" w:hAnsi="Arial" w:cs="Arial"/>
        </w:rPr>
      </w:pPr>
    </w:p>
    <w:p w14:paraId="0BCBD970" w14:textId="727D7E78" w:rsidR="00A86EF9" w:rsidRDefault="00A86EF9" w:rsidP="00A86EF9">
      <w:pPr>
        <w:rPr>
          <w:rFonts w:ascii="Arial" w:eastAsia="Arial" w:hAnsi="Arial" w:cs="Arial"/>
        </w:rPr>
      </w:pPr>
      <w:r w:rsidRPr="7F317285">
        <w:rPr>
          <w:rFonts w:ascii="Arial" w:eastAsia="Arial" w:hAnsi="Arial" w:cs="Arial"/>
        </w:rPr>
        <w:t xml:space="preserve">The purpose of the evaluation </w:t>
      </w:r>
      <w:r w:rsidR="039659D3" w:rsidRPr="7F317285">
        <w:rPr>
          <w:rFonts w:ascii="Arial" w:eastAsia="Arial" w:hAnsi="Arial" w:cs="Arial"/>
        </w:rPr>
        <w:t>wa</w:t>
      </w:r>
      <w:r w:rsidRPr="7F317285">
        <w:rPr>
          <w:rFonts w:ascii="Arial" w:eastAsia="Arial" w:hAnsi="Arial" w:cs="Arial"/>
        </w:rPr>
        <w:t>s both formative and summative</w:t>
      </w:r>
      <w:r w:rsidR="008F1C17">
        <w:rPr>
          <w:rStyle w:val="FootnoteReference"/>
          <w:rFonts w:ascii="Arial" w:eastAsia="Arial" w:hAnsi="Arial" w:cs="Arial"/>
        </w:rPr>
        <w:footnoteReference w:id="2"/>
      </w:r>
      <w:r w:rsidRPr="7F317285">
        <w:rPr>
          <w:rFonts w:ascii="Arial" w:eastAsia="Arial" w:hAnsi="Arial" w:cs="Arial"/>
        </w:rPr>
        <w:t>. In the period</w:t>
      </w:r>
      <w:r w:rsidR="00593051" w:rsidRPr="7F317285">
        <w:rPr>
          <w:rFonts w:ascii="Arial" w:eastAsia="Arial" w:hAnsi="Arial" w:cs="Arial"/>
        </w:rPr>
        <w:t xml:space="preserve"> </w:t>
      </w:r>
      <w:r w:rsidRPr="7F317285">
        <w:rPr>
          <w:rFonts w:ascii="Arial" w:eastAsia="Arial" w:hAnsi="Arial" w:cs="Arial"/>
        </w:rPr>
        <w:t>2016-2020, the evaluation focused on generating learning to enhance the quality</w:t>
      </w:r>
      <w:r w:rsidR="00593051" w:rsidRPr="7F317285">
        <w:rPr>
          <w:rFonts w:ascii="Arial" w:eastAsia="Arial" w:hAnsi="Arial" w:cs="Arial"/>
        </w:rPr>
        <w:t xml:space="preserve"> </w:t>
      </w:r>
      <w:r w:rsidRPr="7F317285">
        <w:rPr>
          <w:rFonts w:ascii="Arial" w:eastAsia="Arial" w:hAnsi="Arial" w:cs="Arial"/>
        </w:rPr>
        <w:t>of implementation. In 2021, the balance shifted to provide a summative judgment</w:t>
      </w:r>
      <w:r w:rsidR="00593051" w:rsidRPr="7F317285">
        <w:rPr>
          <w:rFonts w:ascii="Arial" w:eastAsia="Arial" w:hAnsi="Arial" w:cs="Arial"/>
        </w:rPr>
        <w:t xml:space="preserve"> </w:t>
      </w:r>
      <w:r w:rsidRPr="7F317285">
        <w:rPr>
          <w:rFonts w:ascii="Arial" w:eastAsia="Arial" w:hAnsi="Arial" w:cs="Arial"/>
        </w:rPr>
        <w:t>that answer</w:t>
      </w:r>
      <w:r w:rsidR="00593051" w:rsidRPr="7F317285">
        <w:rPr>
          <w:rFonts w:ascii="Arial" w:eastAsia="Arial" w:hAnsi="Arial" w:cs="Arial"/>
        </w:rPr>
        <w:t>ed</w:t>
      </w:r>
      <w:r w:rsidRPr="7F317285">
        <w:rPr>
          <w:rFonts w:ascii="Arial" w:eastAsia="Arial" w:hAnsi="Arial" w:cs="Arial"/>
        </w:rPr>
        <w:t xml:space="preserve"> the EQs</w:t>
      </w:r>
      <w:r w:rsidR="00593051" w:rsidRPr="7F317285">
        <w:rPr>
          <w:rFonts w:ascii="Arial" w:eastAsia="Arial" w:hAnsi="Arial" w:cs="Arial"/>
        </w:rPr>
        <w:t>.</w:t>
      </w:r>
    </w:p>
    <w:p w14:paraId="7286E023" w14:textId="04DC2CCD" w:rsidR="00B11120" w:rsidRDefault="00BA5BD7" w:rsidP="00A86EF9">
      <w:pPr>
        <w:rPr>
          <w:rFonts w:ascii="Arial" w:eastAsia="Arial" w:hAnsi="Arial" w:cs="Arial"/>
        </w:rPr>
      </w:pPr>
      <w:r w:rsidRPr="7F317285">
        <w:rPr>
          <w:rFonts w:ascii="Arial" w:eastAsia="Arial" w:hAnsi="Arial" w:cs="Arial"/>
        </w:rPr>
        <w:t>DHSC accept the</w:t>
      </w:r>
      <w:r w:rsidR="250EC8C3" w:rsidRPr="7F317285">
        <w:rPr>
          <w:rFonts w:ascii="Arial" w:eastAsia="Arial" w:hAnsi="Arial" w:cs="Arial"/>
        </w:rPr>
        <w:t xml:space="preserve"> full range of</w:t>
      </w:r>
      <w:r w:rsidRPr="7F317285">
        <w:rPr>
          <w:rFonts w:ascii="Arial" w:eastAsia="Arial" w:hAnsi="Arial" w:cs="Arial"/>
        </w:rPr>
        <w:t xml:space="preserve"> </w:t>
      </w:r>
      <w:r w:rsidR="00E877A1" w:rsidRPr="7F317285">
        <w:rPr>
          <w:rFonts w:ascii="Arial" w:eastAsia="Arial" w:hAnsi="Arial" w:cs="Arial"/>
        </w:rPr>
        <w:t>stra</w:t>
      </w:r>
      <w:r w:rsidR="0075281E" w:rsidRPr="7F317285">
        <w:rPr>
          <w:rFonts w:ascii="Arial" w:eastAsia="Arial" w:hAnsi="Arial" w:cs="Arial"/>
        </w:rPr>
        <w:t>t</w:t>
      </w:r>
      <w:r w:rsidR="00E877A1" w:rsidRPr="7F317285">
        <w:rPr>
          <w:rFonts w:ascii="Arial" w:eastAsia="Arial" w:hAnsi="Arial" w:cs="Arial"/>
        </w:rPr>
        <w:t>egic,</w:t>
      </w:r>
      <w:r w:rsidR="00D91B0D" w:rsidRPr="7F317285">
        <w:rPr>
          <w:rFonts w:ascii="Arial" w:eastAsia="Arial" w:hAnsi="Arial" w:cs="Arial"/>
        </w:rPr>
        <w:t xml:space="preserve"> </w:t>
      </w:r>
      <w:r w:rsidR="00E61391" w:rsidRPr="7F317285">
        <w:rPr>
          <w:rFonts w:ascii="Arial" w:eastAsia="Arial" w:hAnsi="Arial" w:cs="Arial"/>
        </w:rPr>
        <w:t>design</w:t>
      </w:r>
      <w:r w:rsidR="00E877A1" w:rsidRPr="7F317285">
        <w:rPr>
          <w:rFonts w:ascii="Arial" w:eastAsia="Arial" w:hAnsi="Arial" w:cs="Arial"/>
        </w:rPr>
        <w:t xml:space="preserve"> and implementation</w:t>
      </w:r>
      <w:r w:rsidR="008560AA" w:rsidRPr="7F317285">
        <w:rPr>
          <w:rFonts w:ascii="Arial" w:eastAsia="Arial" w:hAnsi="Arial" w:cs="Arial"/>
        </w:rPr>
        <w:t xml:space="preserve"> level</w:t>
      </w:r>
      <w:r w:rsidR="1F21D8BF" w:rsidRPr="7F317285">
        <w:rPr>
          <w:rFonts w:ascii="Arial" w:eastAsia="Arial" w:hAnsi="Arial" w:cs="Arial"/>
        </w:rPr>
        <w:t xml:space="preserve"> </w:t>
      </w:r>
      <w:r w:rsidR="00AC80D3" w:rsidRPr="7F317285">
        <w:rPr>
          <w:rFonts w:ascii="Arial" w:eastAsia="Arial" w:hAnsi="Arial" w:cs="Arial"/>
        </w:rPr>
        <w:t xml:space="preserve">findings. </w:t>
      </w:r>
      <w:r w:rsidR="3E383868" w:rsidRPr="7F317285">
        <w:rPr>
          <w:rFonts w:ascii="Arial" w:eastAsia="Arial" w:hAnsi="Arial" w:cs="Arial"/>
        </w:rPr>
        <w:t xml:space="preserve"> </w:t>
      </w:r>
      <w:r w:rsidR="7C1C6F9D" w:rsidRPr="7F317285">
        <w:rPr>
          <w:rFonts w:ascii="Arial" w:eastAsia="Arial" w:hAnsi="Arial" w:cs="Arial"/>
        </w:rPr>
        <w:t>T</w:t>
      </w:r>
      <w:r w:rsidR="00C37FA1" w:rsidRPr="7F317285">
        <w:rPr>
          <w:rFonts w:ascii="Arial" w:eastAsia="Arial" w:hAnsi="Arial" w:cs="Arial"/>
        </w:rPr>
        <w:t>h</w:t>
      </w:r>
      <w:r w:rsidR="25886F23" w:rsidRPr="7F317285">
        <w:rPr>
          <w:rFonts w:ascii="Arial" w:eastAsia="Arial" w:hAnsi="Arial" w:cs="Arial"/>
        </w:rPr>
        <w:t xml:space="preserve">e lessons from these </w:t>
      </w:r>
      <w:r w:rsidR="00C37FA1" w:rsidRPr="7F317285">
        <w:rPr>
          <w:rFonts w:ascii="Arial" w:eastAsia="Arial" w:hAnsi="Arial" w:cs="Arial"/>
        </w:rPr>
        <w:t xml:space="preserve">findings have </w:t>
      </w:r>
      <w:r w:rsidR="2D7BD9EA" w:rsidRPr="7F317285">
        <w:rPr>
          <w:rFonts w:ascii="Arial" w:eastAsia="Arial" w:hAnsi="Arial" w:cs="Arial"/>
        </w:rPr>
        <w:t>already</w:t>
      </w:r>
      <w:r w:rsidR="142159D4" w:rsidRPr="7F317285">
        <w:rPr>
          <w:rFonts w:ascii="Arial" w:eastAsia="Arial" w:hAnsi="Arial" w:cs="Arial"/>
        </w:rPr>
        <w:t xml:space="preserve"> been </w:t>
      </w:r>
      <w:r w:rsidR="00E012FF" w:rsidRPr="7F317285">
        <w:rPr>
          <w:rFonts w:ascii="Arial" w:eastAsia="Arial" w:hAnsi="Arial" w:cs="Arial"/>
        </w:rPr>
        <w:t>incorporated</w:t>
      </w:r>
      <w:r w:rsidR="142159D4" w:rsidRPr="7F317285">
        <w:rPr>
          <w:rFonts w:ascii="Arial" w:eastAsia="Arial" w:hAnsi="Arial" w:cs="Arial"/>
        </w:rPr>
        <w:t xml:space="preserve"> into the design of</w:t>
      </w:r>
      <w:r w:rsidR="0033208D" w:rsidRPr="7F317285">
        <w:rPr>
          <w:rFonts w:ascii="Arial" w:eastAsia="Arial" w:hAnsi="Arial" w:cs="Arial"/>
        </w:rPr>
        <w:t xml:space="preserve"> phase II of the </w:t>
      </w:r>
      <w:r w:rsidR="00E012FF" w:rsidRPr="7F317285">
        <w:rPr>
          <w:rFonts w:ascii="Arial" w:eastAsia="Arial" w:hAnsi="Arial" w:cs="Arial"/>
        </w:rPr>
        <w:t>programme.</w:t>
      </w:r>
    </w:p>
    <w:p w14:paraId="01150AF1" w14:textId="6C75AB22" w:rsidR="00B11120" w:rsidRDefault="00D91B0D" w:rsidP="00A86EF9">
      <w:pPr>
        <w:rPr>
          <w:rFonts w:ascii="Arial" w:eastAsia="Arial" w:hAnsi="Arial" w:cs="Arial"/>
        </w:rPr>
      </w:pPr>
      <w:r w:rsidRPr="7F317285">
        <w:rPr>
          <w:rFonts w:ascii="Arial" w:eastAsia="Arial" w:hAnsi="Arial" w:cs="Arial"/>
        </w:rPr>
        <w:t xml:space="preserve">DHSC </w:t>
      </w:r>
      <w:r w:rsidR="00B90DD6" w:rsidRPr="7F317285">
        <w:rPr>
          <w:rFonts w:ascii="Arial" w:eastAsia="Arial" w:hAnsi="Arial" w:cs="Arial"/>
        </w:rPr>
        <w:t xml:space="preserve">agree </w:t>
      </w:r>
      <w:r w:rsidR="00C73848" w:rsidRPr="7F317285">
        <w:rPr>
          <w:rFonts w:ascii="Arial" w:eastAsia="Arial" w:hAnsi="Arial" w:cs="Arial"/>
        </w:rPr>
        <w:t>the Fleming Fund has delivered significant laboratory capacity and enhance surveillance systems</w:t>
      </w:r>
      <w:r w:rsidR="000D35AC">
        <w:rPr>
          <w:rFonts w:ascii="Arial" w:eastAsia="Arial" w:hAnsi="Arial" w:cs="Arial"/>
        </w:rPr>
        <w:t xml:space="preserve"> outputs</w:t>
      </w:r>
      <w:r w:rsidR="00C73848" w:rsidRPr="7F317285">
        <w:rPr>
          <w:rFonts w:ascii="Arial" w:eastAsia="Arial" w:hAnsi="Arial" w:cs="Arial"/>
        </w:rPr>
        <w:t xml:space="preserve"> across the 23 </w:t>
      </w:r>
      <w:r w:rsidR="00C73848" w:rsidRPr="00F63859">
        <w:rPr>
          <w:rFonts w:ascii="Arial" w:eastAsia="Arial" w:hAnsi="Arial" w:cs="Arial"/>
        </w:rPr>
        <w:t xml:space="preserve">countries. These outputs have contributed to stronger laboratories and workforces to a varying degree across </w:t>
      </w:r>
      <w:r w:rsidR="00E012FF" w:rsidRPr="00F63859">
        <w:rPr>
          <w:rFonts w:ascii="Arial" w:eastAsia="Arial" w:hAnsi="Arial" w:cs="Arial"/>
        </w:rPr>
        <w:t>all</w:t>
      </w:r>
      <w:r w:rsidR="00C73848" w:rsidRPr="00F63859">
        <w:rPr>
          <w:rFonts w:ascii="Arial" w:eastAsia="Arial" w:hAnsi="Arial" w:cs="Arial"/>
        </w:rPr>
        <w:t xml:space="preserve"> our focus countries</w:t>
      </w:r>
      <w:r w:rsidR="00721FB2" w:rsidRPr="00F63859">
        <w:rPr>
          <w:rFonts w:ascii="Arial" w:eastAsia="Arial" w:hAnsi="Arial" w:cs="Arial"/>
        </w:rPr>
        <w:t>, predominately at the foundation level</w:t>
      </w:r>
      <w:r w:rsidR="00C73848" w:rsidRPr="00F63859">
        <w:rPr>
          <w:rFonts w:ascii="Arial" w:eastAsia="Arial" w:hAnsi="Arial" w:cs="Arial"/>
        </w:rPr>
        <w:t>.</w:t>
      </w:r>
      <w:r w:rsidR="00FF6DFC" w:rsidRPr="00F63859">
        <w:rPr>
          <w:rFonts w:ascii="Arial" w:eastAsia="Arial" w:hAnsi="Arial" w:cs="Arial"/>
        </w:rPr>
        <w:t xml:space="preserve"> </w:t>
      </w:r>
      <w:r w:rsidR="000C21C9" w:rsidRPr="00F63859">
        <w:rPr>
          <w:rFonts w:ascii="Arial" w:eastAsia="Arial" w:hAnsi="Arial" w:cs="Arial"/>
        </w:rPr>
        <w:t xml:space="preserve">Itad have judged that </w:t>
      </w:r>
      <w:r w:rsidR="00FF6DFC" w:rsidRPr="00F63859">
        <w:rPr>
          <w:rFonts w:ascii="Arial" w:eastAsia="Arial" w:hAnsi="Arial" w:cs="Arial"/>
        </w:rPr>
        <w:t xml:space="preserve">the Fleming Fund has made a vital or important contribution to most key drivers </w:t>
      </w:r>
      <w:r w:rsidR="007E500B" w:rsidRPr="00F63859">
        <w:rPr>
          <w:rFonts w:ascii="Arial" w:eastAsia="Arial" w:hAnsi="Arial" w:cs="Arial"/>
        </w:rPr>
        <w:t xml:space="preserve">for </w:t>
      </w:r>
      <w:r w:rsidR="00FF6DFC" w:rsidRPr="00F63859">
        <w:rPr>
          <w:rFonts w:ascii="Arial" w:eastAsia="Arial" w:hAnsi="Arial" w:cs="Arial"/>
        </w:rPr>
        <w:t xml:space="preserve">increased quantity and quality in both </w:t>
      </w:r>
      <w:r w:rsidR="000D35AC">
        <w:rPr>
          <w:rFonts w:ascii="Arial" w:eastAsia="Arial" w:hAnsi="Arial" w:cs="Arial"/>
        </w:rPr>
        <w:t>h</w:t>
      </w:r>
      <w:r w:rsidR="00DA1DB5" w:rsidRPr="00F63859">
        <w:rPr>
          <w:rFonts w:ascii="Arial" w:eastAsia="Arial" w:hAnsi="Arial" w:cs="Arial"/>
        </w:rPr>
        <w:t>uman</w:t>
      </w:r>
      <w:r w:rsidR="00FF6DFC" w:rsidRPr="00F63859">
        <w:rPr>
          <w:rFonts w:ascii="Arial" w:eastAsia="Arial" w:hAnsi="Arial" w:cs="Arial"/>
        </w:rPr>
        <w:t xml:space="preserve"> and </w:t>
      </w:r>
      <w:r w:rsidR="000D35AC">
        <w:rPr>
          <w:rFonts w:ascii="Arial" w:eastAsia="Arial" w:hAnsi="Arial" w:cs="Arial"/>
        </w:rPr>
        <w:t>a</w:t>
      </w:r>
      <w:r w:rsidR="00DA1DB5" w:rsidRPr="00F63859">
        <w:rPr>
          <w:rFonts w:ascii="Arial" w:eastAsia="Arial" w:hAnsi="Arial" w:cs="Arial"/>
        </w:rPr>
        <w:t>nimal health</w:t>
      </w:r>
      <w:r w:rsidR="00FF6DFC" w:rsidRPr="00F63859">
        <w:rPr>
          <w:rFonts w:ascii="Arial" w:eastAsia="Arial" w:hAnsi="Arial" w:cs="Arial"/>
        </w:rPr>
        <w:t xml:space="preserve"> AMR data, albeit to variable extents.</w:t>
      </w:r>
      <w:r w:rsidR="00993B0C" w:rsidRPr="00F63859">
        <w:rPr>
          <w:rFonts w:ascii="Arial" w:eastAsia="Arial" w:hAnsi="Arial" w:cs="Arial"/>
        </w:rPr>
        <w:t xml:space="preserve"> </w:t>
      </w:r>
      <w:r w:rsidR="000C21C9" w:rsidRPr="00F63859">
        <w:rPr>
          <w:rFonts w:ascii="Arial" w:eastAsia="Arial" w:hAnsi="Arial" w:cs="Arial"/>
        </w:rPr>
        <w:t>We welcome</w:t>
      </w:r>
      <w:r w:rsidR="40E866F7" w:rsidRPr="00F63859">
        <w:rPr>
          <w:rFonts w:ascii="Arial" w:eastAsia="Arial" w:hAnsi="Arial" w:cs="Arial"/>
        </w:rPr>
        <w:t xml:space="preserve"> Itad</w:t>
      </w:r>
      <w:r w:rsidR="000C21C9" w:rsidRPr="00F63859">
        <w:rPr>
          <w:rFonts w:ascii="Arial" w:eastAsia="Arial" w:hAnsi="Arial" w:cs="Arial"/>
        </w:rPr>
        <w:t>’s</w:t>
      </w:r>
      <w:r w:rsidR="40E866F7" w:rsidRPr="00F63859">
        <w:rPr>
          <w:rFonts w:ascii="Arial" w:eastAsia="Arial" w:hAnsi="Arial" w:cs="Arial"/>
        </w:rPr>
        <w:t xml:space="preserve"> acknowledg</w:t>
      </w:r>
      <w:r w:rsidR="000C21C9" w:rsidRPr="00F63859">
        <w:rPr>
          <w:rFonts w:ascii="Arial" w:eastAsia="Arial" w:hAnsi="Arial" w:cs="Arial"/>
        </w:rPr>
        <w:t>ement</w:t>
      </w:r>
      <w:r w:rsidR="40E866F7" w:rsidRPr="00F63859">
        <w:rPr>
          <w:rFonts w:ascii="Arial" w:eastAsia="Arial" w:hAnsi="Arial" w:cs="Arial"/>
        </w:rPr>
        <w:t xml:space="preserve"> </w:t>
      </w:r>
      <w:r w:rsidR="00FA0C3D" w:rsidRPr="00F63859">
        <w:rPr>
          <w:rFonts w:ascii="Arial" w:eastAsia="Arial" w:hAnsi="Arial" w:cs="Arial"/>
        </w:rPr>
        <w:t>that</w:t>
      </w:r>
      <w:r w:rsidR="00C73848" w:rsidRPr="00F63859">
        <w:rPr>
          <w:rFonts w:ascii="Arial" w:eastAsia="Arial" w:hAnsi="Arial" w:cs="Arial"/>
        </w:rPr>
        <w:t xml:space="preserve"> build</w:t>
      </w:r>
      <w:r w:rsidR="0B092AB7" w:rsidRPr="00F63859">
        <w:rPr>
          <w:rFonts w:ascii="Arial" w:eastAsia="Arial" w:hAnsi="Arial" w:cs="Arial"/>
        </w:rPr>
        <w:t>ing</w:t>
      </w:r>
      <w:r w:rsidR="00C73848" w:rsidRPr="00F63859">
        <w:rPr>
          <w:rFonts w:ascii="Arial" w:eastAsia="Arial" w:hAnsi="Arial" w:cs="Arial"/>
        </w:rPr>
        <w:t xml:space="preserve"> the foundations for AMR surveillance, is an incremental process</w:t>
      </w:r>
      <w:r w:rsidR="3A924DD0" w:rsidRPr="00F63859">
        <w:rPr>
          <w:rFonts w:ascii="Arial" w:eastAsia="Arial" w:hAnsi="Arial" w:cs="Arial"/>
        </w:rPr>
        <w:t xml:space="preserve"> that</w:t>
      </w:r>
      <w:r w:rsidR="00C73848" w:rsidRPr="00F63859">
        <w:rPr>
          <w:rFonts w:ascii="Arial" w:eastAsia="Arial" w:hAnsi="Arial" w:cs="Arial"/>
        </w:rPr>
        <w:t xml:space="preserve"> takes time.</w:t>
      </w:r>
      <w:r w:rsidR="007D334D" w:rsidRPr="00F63859">
        <w:rPr>
          <w:rFonts w:ascii="Arial" w:eastAsia="Arial" w:hAnsi="Arial" w:cs="Arial"/>
        </w:rPr>
        <w:t xml:space="preserve"> It is for this reason that</w:t>
      </w:r>
      <w:r w:rsidR="007D334D" w:rsidRPr="7F317285">
        <w:rPr>
          <w:rFonts w:ascii="Arial" w:eastAsia="Arial" w:hAnsi="Arial" w:cs="Arial"/>
        </w:rPr>
        <w:t xml:space="preserve"> phase II will</w:t>
      </w:r>
      <w:r w:rsidR="000D35AC">
        <w:rPr>
          <w:rFonts w:ascii="Arial" w:eastAsia="Arial" w:hAnsi="Arial" w:cs="Arial"/>
        </w:rPr>
        <w:t>, leverage data produced from systems established in phase I</w:t>
      </w:r>
      <w:r w:rsidR="007D334D" w:rsidRPr="7F317285">
        <w:rPr>
          <w:rFonts w:ascii="Arial" w:eastAsia="Arial" w:hAnsi="Arial" w:cs="Arial"/>
        </w:rPr>
        <w:t xml:space="preserve"> </w:t>
      </w:r>
      <w:r w:rsidR="000D35AC">
        <w:rPr>
          <w:rFonts w:ascii="Arial" w:eastAsia="Arial" w:hAnsi="Arial" w:cs="Arial"/>
        </w:rPr>
        <w:t>increasingly to deliver</w:t>
      </w:r>
      <w:r w:rsidR="00C73848" w:rsidRPr="7F317285">
        <w:rPr>
          <w:rFonts w:ascii="Arial" w:eastAsia="Arial" w:hAnsi="Arial" w:cs="Arial"/>
        </w:rPr>
        <w:t xml:space="preserve"> strategic outcomes, such as use of AMR data and analysis to drive or inform policy</w:t>
      </w:r>
      <w:r w:rsidR="002A6FC9" w:rsidRPr="7F317285">
        <w:rPr>
          <w:rFonts w:ascii="Arial" w:eastAsia="Arial" w:hAnsi="Arial" w:cs="Arial"/>
        </w:rPr>
        <w:t xml:space="preserve"> and/or practice</w:t>
      </w:r>
      <w:r w:rsidR="007D334D" w:rsidRPr="7F317285">
        <w:rPr>
          <w:rFonts w:ascii="Arial" w:eastAsia="Arial" w:hAnsi="Arial" w:cs="Arial"/>
        </w:rPr>
        <w:t>.</w:t>
      </w:r>
    </w:p>
    <w:p w14:paraId="1007A421" w14:textId="60E30E9E" w:rsidR="00B11120" w:rsidRDefault="00B11120">
      <w:pPr>
        <w:rPr>
          <w:rFonts w:ascii="Arial" w:eastAsia="Arial" w:hAnsi="Arial" w:cs="Arial"/>
        </w:rPr>
      </w:pPr>
      <w:r w:rsidRPr="7F317285">
        <w:rPr>
          <w:rFonts w:ascii="Arial" w:eastAsia="Arial" w:hAnsi="Arial" w:cs="Arial"/>
        </w:rPr>
        <w:t>DHSC are content that the evaluation was</w:t>
      </w:r>
      <w:r w:rsidR="071770F9" w:rsidRPr="7F317285">
        <w:rPr>
          <w:rFonts w:ascii="Arial" w:eastAsia="Arial" w:hAnsi="Arial" w:cs="Arial"/>
        </w:rPr>
        <w:t xml:space="preserve"> effectively</w:t>
      </w:r>
      <w:r w:rsidRPr="7F317285">
        <w:rPr>
          <w:rFonts w:ascii="Arial" w:eastAsia="Arial" w:hAnsi="Arial" w:cs="Arial"/>
        </w:rPr>
        <w:t xml:space="preserve"> conducted with </w:t>
      </w:r>
      <w:r w:rsidR="00E012FF" w:rsidRPr="7F317285">
        <w:rPr>
          <w:rFonts w:ascii="Arial" w:eastAsia="Arial" w:hAnsi="Arial" w:cs="Arial"/>
        </w:rPr>
        <w:t>robust</w:t>
      </w:r>
      <w:r w:rsidRPr="7F317285">
        <w:rPr>
          <w:rFonts w:ascii="Arial" w:eastAsia="Arial" w:hAnsi="Arial" w:cs="Arial"/>
        </w:rPr>
        <w:t xml:space="preserve"> methodological rigour. Itad successfully flex</w:t>
      </w:r>
      <w:r w:rsidR="05C0DB4F" w:rsidRPr="7F317285">
        <w:rPr>
          <w:rFonts w:ascii="Arial" w:eastAsia="Arial" w:hAnsi="Arial" w:cs="Arial"/>
        </w:rPr>
        <w:t>ed</w:t>
      </w:r>
      <w:r w:rsidRPr="7F317285">
        <w:rPr>
          <w:rFonts w:ascii="Arial" w:eastAsia="Arial" w:hAnsi="Arial" w:cs="Arial"/>
        </w:rPr>
        <w:t xml:space="preserve"> and adapt</w:t>
      </w:r>
      <w:r w:rsidR="23138196" w:rsidRPr="7F317285">
        <w:rPr>
          <w:rFonts w:ascii="Arial" w:eastAsia="Arial" w:hAnsi="Arial" w:cs="Arial"/>
        </w:rPr>
        <w:t>ed</w:t>
      </w:r>
      <w:r w:rsidRPr="7F317285">
        <w:rPr>
          <w:rFonts w:ascii="Arial" w:eastAsia="Arial" w:hAnsi="Arial" w:cs="Arial"/>
        </w:rPr>
        <w:t xml:space="preserve"> data collection methods during Covid-19 with minimal effect on the</w:t>
      </w:r>
      <w:r w:rsidR="2ED1D439" w:rsidRPr="7F317285">
        <w:rPr>
          <w:rFonts w:ascii="Arial" w:eastAsia="Arial" w:hAnsi="Arial" w:cs="Arial"/>
        </w:rPr>
        <w:t xml:space="preserve"> quality of</w:t>
      </w:r>
      <w:r w:rsidRPr="7F317285">
        <w:rPr>
          <w:rFonts w:ascii="Arial" w:eastAsia="Arial" w:hAnsi="Arial" w:cs="Arial"/>
        </w:rPr>
        <w:t xml:space="preserve"> evidence generated and </w:t>
      </w:r>
      <w:r w:rsidR="00C04416" w:rsidRPr="7F317285">
        <w:rPr>
          <w:rFonts w:ascii="Arial" w:eastAsia="Arial" w:hAnsi="Arial" w:cs="Arial"/>
        </w:rPr>
        <w:t xml:space="preserve">provided comprehensive responses to </w:t>
      </w:r>
      <w:r w:rsidR="00E012FF" w:rsidRPr="7F317285">
        <w:rPr>
          <w:rFonts w:ascii="Arial" w:eastAsia="Arial" w:hAnsi="Arial" w:cs="Arial"/>
        </w:rPr>
        <w:t>all</w:t>
      </w:r>
      <w:r w:rsidRPr="7F317285">
        <w:rPr>
          <w:rFonts w:ascii="Arial" w:eastAsia="Arial" w:hAnsi="Arial" w:cs="Arial"/>
        </w:rPr>
        <w:t xml:space="preserve"> the 6 EQs.  </w:t>
      </w:r>
    </w:p>
    <w:p w14:paraId="211F353A" w14:textId="693E1D7A" w:rsidR="5E8E6983" w:rsidRDefault="00EF584F" w:rsidP="5E8E6983">
      <w:pPr>
        <w:rPr>
          <w:rFonts w:ascii="Arial" w:eastAsia="Arial" w:hAnsi="Arial" w:cs="Arial"/>
        </w:rPr>
      </w:pPr>
      <w:r w:rsidRPr="7F317285">
        <w:rPr>
          <w:rFonts w:ascii="Arial" w:eastAsia="Arial" w:hAnsi="Arial" w:cs="Arial"/>
        </w:rPr>
        <w:t>DHSC welcome the evaluation recommendations</w:t>
      </w:r>
      <w:r w:rsidR="00A27495">
        <w:rPr>
          <w:rFonts w:ascii="Arial" w:eastAsia="Arial" w:hAnsi="Arial" w:cs="Arial"/>
        </w:rPr>
        <w:t xml:space="preserve"> and</w:t>
      </w:r>
      <w:r w:rsidR="005F41E4">
        <w:rPr>
          <w:rFonts w:ascii="Arial" w:eastAsia="Arial" w:hAnsi="Arial" w:cs="Arial"/>
        </w:rPr>
        <w:t xml:space="preserve"> </w:t>
      </w:r>
      <w:r w:rsidR="00E0322C" w:rsidRPr="7F317285">
        <w:rPr>
          <w:rFonts w:ascii="Arial" w:eastAsia="Arial" w:hAnsi="Arial" w:cs="Arial"/>
        </w:rPr>
        <w:t xml:space="preserve">will take forward those recommendations which are within the programme’s </w:t>
      </w:r>
      <w:r w:rsidR="0029037F" w:rsidRPr="7F317285">
        <w:rPr>
          <w:rFonts w:ascii="Arial" w:eastAsia="Arial" w:hAnsi="Arial" w:cs="Arial"/>
        </w:rPr>
        <w:t>scope for phase II</w:t>
      </w:r>
      <w:r w:rsidR="437FC6ED" w:rsidRPr="7F317285">
        <w:rPr>
          <w:rFonts w:ascii="Arial" w:eastAsia="Arial" w:hAnsi="Arial" w:cs="Arial"/>
        </w:rPr>
        <w:t>.</w:t>
      </w:r>
    </w:p>
    <w:p w14:paraId="02BF86B7" w14:textId="7D132722" w:rsidR="6C62716D" w:rsidRDefault="6C62716D" w:rsidP="6C62716D">
      <w:pPr>
        <w:rPr>
          <w:rFonts w:ascii="Arial" w:eastAsia="Arial" w:hAnsi="Arial" w:cs="Arial"/>
        </w:rPr>
      </w:pPr>
    </w:p>
    <w:p w14:paraId="3749A92A" w14:textId="0B721B46" w:rsidR="6C62716D" w:rsidRDefault="6C62716D" w:rsidP="6C62716D">
      <w:pPr>
        <w:rPr>
          <w:rFonts w:ascii="Arial" w:eastAsia="Arial" w:hAnsi="Arial" w:cs="Arial"/>
        </w:rPr>
      </w:pPr>
    </w:p>
    <w:p w14:paraId="3F93072B" w14:textId="6CB44DD3" w:rsidR="6C62716D" w:rsidRDefault="6C62716D" w:rsidP="6C62716D">
      <w:pPr>
        <w:rPr>
          <w:rFonts w:ascii="Arial" w:eastAsia="Arial" w:hAnsi="Arial" w:cs="Arial"/>
        </w:rPr>
      </w:pPr>
    </w:p>
    <w:p w14:paraId="255097C9" w14:textId="3D26228B" w:rsidR="6C62716D" w:rsidRDefault="6C62716D" w:rsidP="6C62716D">
      <w:pPr>
        <w:rPr>
          <w:rFonts w:ascii="Arial" w:eastAsia="Arial" w:hAnsi="Arial" w:cs="Arial"/>
        </w:rPr>
      </w:pPr>
    </w:p>
    <w:p w14:paraId="7B9AD634" w14:textId="624FADBE" w:rsidR="6C62716D" w:rsidRDefault="6C62716D" w:rsidP="6C62716D">
      <w:pPr>
        <w:rPr>
          <w:rFonts w:ascii="Arial" w:eastAsia="Arial" w:hAnsi="Arial" w:cs="Arial"/>
        </w:rPr>
      </w:pPr>
    </w:p>
    <w:p w14:paraId="359B410A" w14:textId="5F549727" w:rsidR="7F317285" w:rsidRDefault="7F317285" w:rsidP="7F317285">
      <w:pPr>
        <w:rPr>
          <w:rFonts w:ascii="Arial" w:eastAsia="Arial" w:hAnsi="Arial" w:cs="Arial"/>
        </w:rPr>
      </w:pPr>
    </w:p>
    <w:p w14:paraId="581E7747" w14:textId="4438DF35" w:rsidR="7F317285" w:rsidRDefault="7F317285" w:rsidP="7F317285">
      <w:pPr>
        <w:rPr>
          <w:rFonts w:ascii="Arial" w:eastAsia="Arial" w:hAnsi="Arial" w:cs="Arial"/>
        </w:rPr>
      </w:pPr>
    </w:p>
    <w:p w14:paraId="7248C784" w14:textId="152598A6" w:rsidR="7F317285" w:rsidRDefault="7F317285" w:rsidP="7F317285">
      <w:pPr>
        <w:rPr>
          <w:rFonts w:ascii="Arial" w:eastAsia="Arial" w:hAnsi="Arial" w:cs="Arial"/>
        </w:rPr>
      </w:pPr>
    </w:p>
    <w:p w14:paraId="1755C312" w14:textId="08FDD913" w:rsidR="7F317285" w:rsidRDefault="7F317285" w:rsidP="7F317285">
      <w:pPr>
        <w:rPr>
          <w:rFonts w:ascii="Arial" w:eastAsia="Arial" w:hAnsi="Arial" w:cs="Arial"/>
        </w:rPr>
      </w:pPr>
    </w:p>
    <w:p w14:paraId="71C75E18" w14:textId="71F55C37" w:rsidR="7F317285" w:rsidRDefault="7F317285" w:rsidP="7F317285">
      <w:pPr>
        <w:rPr>
          <w:rFonts w:ascii="Arial" w:eastAsia="Arial" w:hAnsi="Arial" w:cs="Arial"/>
        </w:rPr>
      </w:pPr>
    </w:p>
    <w:p w14:paraId="44A75927" w14:textId="17BD71C0" w:rsidR="6C62716D" w:rsidRDefault="6C62716D" w:rsidP="6C62716D">
      <w:pPr>
        <w:rPr>
          <w:rFonts w:ascii="Arial" w:eastAsia="Arial" w:hAnsi="Arial" w:cs="Arial"/>
        </w:rPr>
      </w:pPr>
    </w:p>
    <w:tbl>
      <w:tblPr>
        <w:tblStyle w:val="TableGrid"/>
        <w:tblW w:w="10333" w:type="dxa"/>
        <w:tblLook w:val="0480" w:firstRow="0" w:lastRow="0" w:firstColumn="1" w:lastColumn="0" w:noHBand="0" w:noVBand="1"/>
      </w:tblPr>
      <w:tblGrid>
        <w:gridCol w:w="2688"/>
        <w:gridCol w:w="1268"/>
        <w:gridCol w:w="6377"/>
      </w:tblGrid>
      <w:tr w:rsidR="00024429" w:rsidRPr="00024429" w14:paraId="48883C50" w14:textId="77777777" w:rsidTr="00024429">
        <w:trPr>
          <w:trHeight w:val="675"/>
        </w:trPr>
        <w:tc>
          <w:tcPr>
            <w:tcW w:w="2689" w:type="dxa"/>
            <w:shd w:val="clear" w:color="auto" w:fill="8EAADB" w:themeFill="accent1" w:themeFillTint="99"/>
          </w:tcPr>
          <w:p w14:paraId="3F4A04BE" w14:textId="77777777" w:rsidR="00842A32" w:rsidRPr="00024429" w:rsidRDefault="00842A32" w:rsidP="006213E0">
            <w:pPr>
              <w:rPr>
                <w:rFonts w:ascii="Arial" w:eastAsia="Arial" w:hAnsi="Arial" w:cs="Arial"/>
                <w:b/>
                <w:bCs/>
              </w:rPr>
            </w:pPr>
            <w:r w:rsidRPr="00024429">
              <w:rPr>
                <w:rFonts w:ascii="Arial" w:eastAsia="Arial" w:hAnsi="Arial" w:cs="Arial"/>
                <w:b/>
                <w:bCs/>
              </w:rPr>
              <w:t>Evaluation recommendation</w:t>
            </w:r>
          </w:p>
        </w:tc>
        <w:tc>
          <w:tcPr>
            <w:tcW w:w="1230" w:type="dxa"/>
            <w:shd w:val="clear" w:color="auto" w:fill="8EAADB" w:themeFill="accent1" w:themeFillTint="99"/>
          </w:tcPr>
          <w:p w14:paraId="15A4C37E" w14:textId="05AA7774" w:rsidR="00842A32" w:rsidRPr="00024429" w:rsidRDefault="00842A32" w:rsidP="006213E0">
            <w:pPr>
              <w:rPr>
                <w:rFonts w:ascii="Arial" w:eastAsia="Arial" w:hAnsi="Arial" w:cs="Arial"/>
                <w:b/>
                <w:bCs/>
              </w:rPr>
            </w:pPr>
            <w:r w:rsidRPr="00024429">
              <w:rPr>
                <w:rFonts w:ascii="Arial" w:eastAsia="Arial" w:hAnsi="Arial" w:cs="Arial"/>
                <w:b/>
                <w:bCs/>
              </w:rPr>
              <w:t>DHSC Respons</w:t>
            </w:r>
            <w:r w:rsidR="247823DC" w:rsidRPr="00024429">
              <w:rPr>
                <w:rFonts w:ascii="Arial" w:eastAsia="Arial" w:hAnsi="Arial" w:cs="Arial"/>
                <w:b/>
                <w:bCs/>
              </w:rPr>
              <w:t>e</w:t>
            </w:r>
          </w:p>
        </w:tc>
        <w:tc>
          <w:tcPr>
            <w:tcW w:w="6414" w:type="dxa"/>
            <w:shd w:val="clear" w:color="auto" w:fill="8EAADB" w:themeFill="accent1" w:themeFillTint="99"/>
          </w:tcPr>
          <w:p w14:paraId="6CEC83C6" w14:textId="77777777" w:rsidR="00842A32" w:rsidRPr="00024429" w:rsidRDefault="00842A32" w:rsidP="006213E0">
            <w:pPr>
              <w:rPr>
                <w:rFonts w:ascii="Arial" w:eastAsia="Arial" w:hAnsi="Arial" w:cs="Arial"/>
                <w:b/>
                <w:bCs/>
              </w:rPr>
            </w:pPr>
            <w:r w:rsidRPr="00024429">
              <w:rPr>
                <w:rFonts w:ascii="Arial" w:eastAsia="Arial" w:hAnsi="Arial" w:cs="Arial"/>
                <w:b/>
                <w:bCs/>
              </w:rPr>
              <w:t xml:space="preserve">Phase II plans </w:t>
            </w:r>
          </w:p>
        </w:tc>
      </w:tr>
      <w:tr w:rsidR="00024429" w:rsidRPr="00024429" w14:paraId="1B942AF1" w14:textId="77777777" w:rsidTr="00FC0372">
        <w:tc>
          <w:tcPr>
            <w:tcW w:w="2689" w:type="dxa"/>
            <w:shd w:val="clear" w:color="auto" w:fill="D9E2F3" w:themeFill="accent1" w:themeFillTint="33"/>
          </w:tcPr>
          <w:p w14:paraId="2D7EACCB" w14:textId="5A356571" w:rsidR="00842A32" w:rsidRPr="004D5BC9" w:rsidRDefault="00842A32" w:rsidP="004D5BC9">
            <w:pPr>
              <w:pStyle w:val="ListParagraph"/>
              <w:numPr>
                <w:ilvl w:val="0"/>
                <w:numId w:val="4"/>
              </w:numPr>
              <w:rPr>
                <w:rFonts w:ascii="Arial" w:eastAsia="Arial" w:hAnsi="Arial" w:cs="Arial"/>
                <w:lang w:eastAsia="en-GB"/>
              </w:rPr>
            </w:pPr>
            <w:r w:rsidRPr="004D5BC9">
              <w:rPr>
                <w:rFonts w:ascii="Arial" w:eastAsia="Arial" w:hAnsi="Arial" w:cs="Arial"/>
                <w:lang w:eastAsia="en-GB"/>
              </w:rPr>
              <w:t xml:space="preserve">DHSC and the </w:t>
            </w:r>
            <w:r w:rsidR="00E012FF" w:rsidRPr="004D5BC9">
              <w:rPr>
                <w:rFonts w:ascii="Arial" w:eastAsia="Arial" w:hAnsi="Arial" w:cs="Arial"/>
                <w:lang w:eastAsia="en-GB"/>
              </w:rPr>
              <w:t>Management</w:t>
            </w:r>
            <w:r w:rsidR="675982F9" w:rsidRPr="004D5BC9">
              <w:rPr>
                <w:rFonts w:ascii="Arial" w:eastAsia="Arial" w:hAnsi="Arial" w:cs="Arial"/>
                <w:lang w:eastAsia="en-GB"/>
              </w:rPr>
              <w:t xml:space="preserve"> Agent </w:t>
            </w:r>
            <w:r w:rsidRPr="004D5BC9">
              <w:rPr>
                <w:rFonts w:ascii="Arial" w:eastAsia="Arial" w:hAnsi="Arial" w:cs="Arial"/>
                <w:lang w:eastAsia="en-GB"/>
              </w:rPr>
              <w:t xml:space="preserve">should ensure that clear, ambitious, realistic goals for phase 2 are in place from the outset, with targets to track progress. These should be established at the country and portfolio levels, based on understanding the </w:t>
            </w:r>
            <w:proofErr w:type="gramStart"/>
            <w:r w:rsidRPr="004D5BC9">
              <w:rPr>
                <w:rFonts w:ascii="Arial" w:eastAsia="Arial" w:hAnsi="Arial" w:cs="Arial"/>
                <w:lang w:eastAsia="en-GB"/>
              </w:rPr>
              <w:t>current status</w:t>
            </w:r>
            <w:proofErr w:type="gramEnd"/>
            <w:r w:rsidRPr="004D5BC9">
              <w:rPr>
                <w:rFonts w:ascii="Arial" w:eastAsia="Arial" w:hAnsi="Arial" w:cs="Arial"/>
                <w:lang w:eastAsia="en-GB"/>
              </w:rPr>
              <w:t xml:space="preserve"> of AMR surveillance systems and their use as developed during phase 1.</w:t>
            </w:r>
          </w:p>
        </w:tc>
        <w:tc>
          <w:tcPr>
            <w:tcW w:w="1230" w:type="dxa"/>
          </w:tcPr>
          <w:p w14:paraId="6FB7B884" w14:textId="77777777" w:rsidR="00842A32" w:rsidRPr="00024429" w:rsidRDefault="00842A32" w:rsidP="00FC0372">
            <w:pPr>
              <w:rPr>
                <w:rFonts w:ascii="Arial" w:eastAsia="Arial" w:hAnsi="Arial" w:cs="Arial"/>
              </w:rPr>
            </w:pPr>
            <w:r w:rsidRPr="00024429">
              <w:rPr>
                <w:rFonts w:ascii="Arial" w:eastAsia="Arial" w:hAnsi="Arial" w:cs="Arial"/>
              </w:rPr>
              <w:t>Accept</w:t>
            </w:r>
          </w:p>
        </w:tc>
        <w:tc>
          <w:tcPr>
            <w:tcW w:w="6414" w:type="dxa"/>
          </w:tcPr>
          <w:p w14:paraId="3C1DE8A8" w14:textId="4F2AC63D" w:rsidR="00842A32" w:rsidRPr="00024429" w:rsidRDefault="598B24FC" w:rsidP="00FC0372">
            <w:pPr>
              <w:rPr>
                <w:rFonts w:ascii="Arial" w:eastAsia="Arial" w:hAnsi="Arial" w:cs="Arial"/>
              </w:rPr>
            </w:pPr>
            <w:r w:rsidRPr="00024429">
              <w:rPr>
                <w:rFonts w:ascii="Arial" w:eastAsia="Arial" w:hAnsi="Arial" w:cs="Arial"/>
                <w:b/>
              </w:rPr>
              <w:t>Country Investment Strategies (CIS)</w:t>
            </w:r>
            <w:r w:rsidRPr="00024429">
              <w:rPr>
                <w:rFonts w:ascii="Arial" w:eastAsia="Arial" w:hAnsi="Arial" w:cs="Arial"/>
              </w:rPr>
              <w:t xml:space="preserve"> will be developed for each country in phase II following stakeholder</w:t>
            </w:r>
            <w:r w:rsidR="00483711" w:rsidRPr="00024429">
              <w:rPr>
                <w:rFonts w:ascii="Arial" w:eastAsia="Arial" w:hAnsi="Arial" w:cs="Arial"/>
              </w:rPr>
              <w:t xml:space="preserve"> consultation and </w:t>
            </w:r>
            <w:r w:rsidRPr="00024429">
              <w:rPr>
                <w:rFonts w:ascii="Arial" w:eastAsia="Arial" w:hAnsi="Arial" w:cs="Arial"/>
              </w:rPr>
              <w:t>political</w:t>
            </w:r>
            <w:r w:rsidR="00E012FF" w:rsidRPr="00024429">
              <w:rPr>
                <w:rFonts w:ascii="Arial" w:eastAsia="Arial" w:hAnsi="Arial" w:cs="Arial"/>
              </w:rPr>
              <w:t xml:space="preserve"> </w:t>
            </w:r>
            <w:r w:rsidRPr="00024429">
              <w:rPr>
                <w:rFonts w:ascii="Arial" w:eastAsia="Arial" w:hAnsi="Arial" w:cs="Arial"/>
              </w:rPr>
              <w:t>economic analysis</w:t>
            </w:r>
            <w:r w:rsidR="64A34D5C" w:rsidRPr="00024429">
              <w:rPr>
                <w:rFonts w:ascii="Arial" w:eastAsia="Arial" w:hAnsi="Arial" w:cs="Arial"/>
              </w:rPr>
              <w:t xml:space="preserve"> (PEAs)</w:t>
            </w:r>
            <w:r w:rsidR="6D85B826" w:rsidRPr="00024429">
              <w:rPr>
                <w:rFonts w:ascii="Arial" w:eastAsia="Arial" w:hAnsi="Arial" w:cs="Arial"/>
              </w:rPr>
              <w:t xml:space="preserve">. </w:t>
            </w:r>
            <w:r w:rsidR="00483711" w:rsidRPr="00024429">
              <w:rPr>
                <w:rFonts w:ascii="Arial" w:eastAsia="Arial" w:hAnsi="Arial" w:cs="Arial"/>
              </w:rPr>
              <w:t>They</w:t>
            </w:r>
            <w:r w:rsidR="6D85B826" w:rsidRPr="00024429">
              <w:rPr>
                <w:rFonts w:ascii="Arial" w:eastAsia="Arial" w:hAnsi="Arial" w:cs="Arial"/>
              </w:rPr>
              <w:t xml:space="preserve"> will be</w:t>
            </w:r>
            <w:r w:rsidR="0C006A71" w:rsidRPr="00024429">
              <w:rPr>
                <w:rFonts w:ascii="Arial" w:eastAsia="Arial" w:hAnsi="Arial" w:cs="Arial"/>
              </w:rPr>
              <w:t xml:space="preserve"> a</w:t>
            </w:r>
            <w:r w:rsidRPr="00024429">
              <w:rPr>
                <w:rFonts w:ascii="Arial" w:eastAsia="Arial" w:hAnsi="Arial" w:cs="Arial"/>
              </w:rPr>
              <w:t xml:space="preserve">greed with national government </w:t>
            </w:r>
            <w:r w:rsidR="724DBFEB" w:rsidRPr="00024429">
              <w:rPr>
                <w:rFonts w:ascii="Arial" w:eastAsia="Arial" w:hAnsi="Arial" w:cs="Arial"/>
              </w:rPr>
              <w:t>co</w:t>
            </w:r>
            <w:r w:rsidRPr="00024429">
              <w:rPr>
                <w:rFonts w:ascii="Arial" w:eastAsia="Arial" w:hAnsi="Arial" w:cs="Arial"/>
              </w:rPr>
              <w:t xml:space="preserve">unterparts. </w:t>
            </w:r>
          </w:p>
          <w:p w14:paraId="0B6FAE05" w14:textId="15D8F61E" w:rsidR="00842A32" w:rsidRPr="00024429" w:rsidRDefault="00842A32" w:rsidP="00FC0372">
            <w:pPr>
              <w:rPr>
                <w:rFonts w:ascii="Arial" w:eastAsia="Arial" w:hAnsi="Arial" w:cs="Arial"/>
              </w:rPr>
            </w:pPr>
          </w:p>
          <w:p w14:paraId="762E98CF" w14:textId="20A2447D" w:rsidR="00842A32" w:rsidRPr="00024429" w:rsidRDefault="598B24FC" w:rsidP="00FC0372">
            <w:pPr>
              <w:rPr>
                <w:rFonts w:ascii="Arial" w:eastAsia="Arial" w:hAnsi="Arial" w:cs="Arial"/>
              </w:rPr>
            </w:pPr>
            <w:r w:rsidRPr="00024429">
              <w:rPr>
                <w:rFonts w:ascii="Arial" w:eastAsia="Arial" w:hAnsi="Arial" w:cs="Arial"/>
              </w:rPr>
              <w:t xml:space="preserve">The </w:t>
            </w:r>
            <w:r w:rsidR="336A89D7" w:rsidRPr="00024429">
              <w:rPr>
                <w:rFonts w:ascii="Arial" w:eastAsia="Arial" w:hAnsi="Arial" w:cs="Arial"/>
              </w:rPr>
              <w:t>CIS</w:t>
            </w:r>
            <w:r w:rsidRPr="00024429">
              <w:rPr>
                <w:rFonts w:ascii="Arial" w:eastAsia="Arial" w:hAnsi="Arial" w:cs="Arial"/>
              </w:rPr>
              <w:t xml:space="preserve"> will lay out the expectations for the portfolio-wide investment in the country, allowing improved alignment</w:t>
            </w:r>
            <w:r w:rsidR="00284E54" w:rsidRPr="00024429">
              <w:rPr>
                <w:rFonts w:ascii="Arial" w:eastAsia="Arial" w:hAnsi="Arial" w:cs="Arial"/>
              </w:rPr>
              <w:t xml:space="preserve"> and </w:t>
            </w:r>
            <w:r w:rsidRPr="00024429">
              <w:rPr>
                <w:rFonts w:ascii="Arial" w:eastAsia="Arial" w:hAnsi="Arial" w:cs="Arial"/>
              </w:rPr>
              <w:t>coordination</w:t>
            </w:r>
            <w:r w:rsidR="00284E54" w:rsidRPr="00024429">
              <w:rPr>
                <w:rFonts w:ascii="Arial" w:eastAsia="Arial" w:hAnsi="Arial" w:cs="Arial"/>
              </w:rPr>
              <w:t xml:space="preserve">. </w:t>
            </w:r>
          </w:p>
          <w:p w14:paraId="3D10EE66" w14:textId="79A21A73" w:rsidR="5E8E6983" w:rsidRPr="00024429" w:rsidRDefault="5E8E6983" w:rsidP="00FC0372">
            <w:pPr>
              <w:rPr>
                <w:rFonts w:ascii="Arial" w:eastAsia="Arial" w:hAnsi="Arial" w:cs="Arial"/>
              </w:rPr>
            </w:pPr>
          </w:p>
          <w:p w14:paraId="1D55D577" w14:textId="6CD48A54" w:rsidR="4CD82ABF" w:rsidRPr="00024429" w:rsidRDefault="4CD82ABF" w:rsidP="00FC0372">
            <w:pPr>
              <w:rPr>
                <w:rFonts w:ascii="Arial" w:eastAsia="Arial" w:hAnsi="Arial" w:cs="Arial"/>
              </w:rPr>
            </w:pPr>
            <w:r w:rsidRPr="00024429">
              <w:rPr>
                <w:rFonts w:ascii="Arial" w:eastAsia="Arial" w:hAnsi="Arial" w:cs="Arial"/>
              </w:rPr>
              <w:t>The CIS</w:t>
            </w:r>
            <w:r w:rsidR="06065929" w:rsidRPr="00024429">
              <w:rPr>
                <w:rFonts w:ascii="Arial" w:eastAsia="Arial" w:hAnsi="Arial" w:cs="Arial"/>
              </w:rPr>
              <w:t xml:space="preserve"> combined with </w:t>
            </w:r>
            <w:r w:rsidR="06065929" w:rsidRPr="00024429">
              <w:rPr>
                <w:rFonts w:ascii="Arial" w:eastAsia="Arial" w:hAnsi="Arial" w:cs="Arial"/>
                <w:b/>
                <w:bCs/>
              </w:rPr>
              <w:t>political and economic assessments</w:t>
            </w:r>
            <w:r w:rsidRPr="00024429">
              <w:rPr>
                <w:rFonts w:ascii="Arial" w:eastAsia="Arial" w:hAnsi="Arial" w:cs="Arial"/>
                <w:b/>
              </w:rPr>
              <w:t xml:space="preserve"> </w:t>
            </w:r>
            <w:r w:rsidRPr="00024429">
              <w:rPr>
                <w:rFonts w:ascii="Arial" w:eastAsia="Arial" w:hAnsi="Arial" w:cs="Arial"/>
              </w:rPr>
              <w:t xml:space="preserve">will enable </w:t>
            </w:r>
            <w:r w:rsidR="00E012FF" w:rsidRPr="00024429">
              <w:rPr>
                <w:rFonts w:ascii="Arial" w:eastAsia="Arial" w:hAnsi="Arial" w:cs="Arial"/>
              </w:rPr>
              <w:t>in-depth</w:t>
            </w:r>
            <w:r w:rsidRPr="00024429">
              <w:rPr>
                <w:rFonts w:ascii="Arial" w:eastAsia="Arial" w:hAnsi="Arial" w:cs="Arial"/>
              </w:rPr>
              <w:t xml:space="preserve"> understanding of the AMR </w:t>
            </w:r>
            <w:r w:rsidR="00E012FF" w:rsidRPr="00024429">
              <w:rPr>
                <w:rFonts w:ascii="Arial" w:eastAsia="Arial" w:hAnsi="Arial" w:cs="Arial"/>
              </w:rPr>
              <w:t>surveillance</w:t>
            </w:r>
            <w:r w:rsidRPr="00024429">
              <w:rPr>
                <w:rFonts w:ascii="Arial" w:eastAsia="Arial" w:hAnsi="Arial" w:cs="Arial"/>
              </w:rPr>
              <w:t xml:space="preserve"> system and landscape </w:t>
            </w:r>
            <w:r w:rsidR="0B7D0FF1" w:rsidRPr="00024429">
              <w:rPr>
                <w:rFonts w:ascii="Arial" w:eastAsia="Arial" w:hAnsi="Arial" w:cs="Arial"/>
              </w:rPr>
              <w:t xml:space="preserve">of donors/stakeholders to support greater alignment, </w:t>
            </w:r>
            <w:r w:rsidR="00F63859" w:rsidRPr="00024429">
              <w:rPr>
                <w:rFonts w:ascii="Arial" w:eastAsia="Arial" w:hAnsi="Arial" w:cs="Arial"/>
              </w:rPr>
              <w:t>coordination,</w:t>
            </w:r>
            <w:r w:rsidR="0B7D0FF1" w:rsidRPr="00024429">
              <w:rPr>
                <w:rFonts w:ascii="Arial" w:eastAsia="Arial" w:hAnsi="Arial" w:cs="Arial"/>
              </w:rPr>
              <w:t xml:space="preserve"> and sustainability of FF investments. </w:t>
            </w:r>
          </w:p>
          <w:p w14:paraId="4AF8C890" w14:textId="77777777" w:rsidR="00D9377C" w:rsidRPr="00024429" w:rsidRDefault="00D9377C" w:rsidP="00FC0372">
            <w:pPr>
              <w:rPr>
                <w:rFonts w:ascii="Arial" w:eastAsia="Arial" w:hAnsi="Arial" w:cs="Arial"/>
              </w:rPr>
            </w:pPr>
          </w:p>
          <w:p w14:paraId="04E58DF0" w14:textId="6D005D55" w:rsidR="00D9377C" w:rsidRPr="00024429" w:rsidRDefault="006E6E20" w:rsidP="00FC0372">
            <w:pPr>
              <w:rPr>
                <w:rFonts w:ascii="Arial" w:eastAsia="Arial" w:hAnsi="Arial" w:cs="Arial"/>
              </w:rPr>
            </w:pPr>
            <w:r w:rsidRPr="00024429">
              <w:rPr>
                <w:rFonts w:ascii="Arial" w:eastAsia="Arial" w:hAnsi="Arial" w:cs="Arial"/>
              </w:rPr>
              <w:t xml:space="preserve">Expectations will be </w:t>
            </w:r>
            <w:r w:rsidR="00B24A9F" w:rsidRPr="00024429">
              <w:rPr>
                <w:rFonts w:ascii="Arial" w:eastAsia="Arial" w:hAnsi="Arial" w:cs="Arial"/>
              </w:rPr>
              <w:t>set,</w:t>
            </w:r>
            <w:r w:rsidRPr="00024429">
              <w:rPr>
                <w:rFonts w:ascii="Arial" w:eastAsia="Arial" w:hAnsi="Arial" w:cs="Arial"/>
              </w:rPr>
              <w:t xml:space="preserve"> and p</w:t>
            </w:r>
            <w:r w:rsidR="00D9377C" w:rsidRPr="00024429">
              <w:rPr>
                <w:rFonts w:ascii="Arial" w:eastAsia="Arial" w:hAnsi="Arial" w:cs="Arial"/>
              </w:rPr>
              <w:t xml:space="preserve">rogress tracked via </w:t>
            </w:r>
            <w:r w:rsidR="00D9377C" w:rsidRPr="00024429">
              <w:rPr>
                <w:rFonts w:ascii="Arial" w:eastAsia="Arial" w:hAnsi="Arial" w:cs="Arial"/>
                <w:b/>
              </w:rPr>
              <w:t>a programme-wide results framework</w:t>
            </w:r>
            <w:r w:rsidR="0055534E" w:rsidRPr="00024429">
              <w:rPr>
                <w:rFonts w:ascii="Arial" w:eastAsia="Arial" w:hAnsi="Arial" w:cs="Arial"/>
                <w:b/>
              </w:rPr>
              <w:t xml:space="preserve">. </w:t>
            </w:r>
            <w:r w:rsidR="0055534E" w:rsidRPr="00024429">
              <w:rPr>
                <w:rFonts w:ascii="Arial" w:eastAsia="Arial" w:hAnsi="Arial" w:cs="Arial"/>
              </w:rPr>
              <w:t>T</w:t>
            </w:r>
            <w:r w:rsidR="00D9377C" w:rsidRPr="00024429">
              <w:rPr>
                <w:rFonts w:ascii="Arial" w:eastAsia="Arial" w:hAnsi="Arial" w:cs="Arial"/>
              </w:rPr>
              <w:t xml:space="preserve">he CIS will be clearly linked to the </w:t>
            </w:r>
            <w:r w:rsidR="00F63859" w:rsidRPr="00024429">
              <w:rPr>
                <w:rFonts w:ascii="Arial" w:eastAsia="Arial" w:hAnsi="Arial" w:cs="Arial"/>
              </w:rPr>
              <w:t>results framework and</w:t>
            </w:r>
            <w:r w:rsidR="6558CBC1" w:rsidRPr="00024429">
              <w:rPr>
                <w:rFonts w:ascii="Arial" w:eastAsia="Arial" w:hAnsi="Arial" w:cs="Arial"/>
              </w:rPr>
              <w:t xml:space="preserve"> include clear long terms targets</w:t>
            </w:r>
            <w:r w:rsidR="00D9377C" w:rsidRPr="00024429">
              <w:rPr>
                <w:rFonts w:ascii="Arial" w:eastAsia="Arial" w:hAnsi="Arial" w:cs="Arial"/>
              </w:rPr>
              <w:t xml:space="preserve">.   </w:t>
            </w:r>
          </w:p>
          <w:p w14:paraId="54922014" w14:textId="77777777" w:rsidR="00D9377C" w:rsidRPr="00024429" w:rsidRDefault="00D9377C" w:rsidP="00FC0372">
            <w:pPr>
              <w:rPr>
                <w:rFonts w:ascii="Arial" w:eastAsia="Arial" w:hAnsi="Arial" w:cs="Arial"/>
              </w:rPr>
            </w:pPr>
          </w:p>
          <w:p w14:paraId="1DCA69BC" w14:textId="7B8C63BC" w:rsidR="000D049A" w:rsidRPr="00024429" w:rsidRDefault="00DA73D3" w:rsidP="00FC0372">
            <w:pPr>
              <w:rPr>
                <w:rFonts w:ascii="Arial" w:eastAsia="Arial" w:hAnsi="Arial" w:cs="Arial"/>
              </w:rPr>
            </w:pPr>
            <w:r w:rsidRPr="00024429">
              <w:rPr>
                <w:rFonts w:ascii="Arial" w:eastAsia="Arial" w:hAnsi="Arial" w:cs="Arial"/>
                <w:b/>
              </w:rPr>
              <w:t>Global strategy on sustainability and exit planning</w:t>
            </w:r>
            <w:r w:rsidRPr="00024429">
              <w:rPr>
                <w:rFonts w:ascii="Arial" w:eastAsia="Arial" w:hAnsi="Arial" w:cs="Arial"/>
              </w:rPr>
              <w:t xml:space="preserve"> </w:t>
            </w:r>
            <w:r w:rsidR="00052522" w:rsidRPr="00024429">
              <w:rPr>
                <w:rFonts w:ascii="Arial" w:eastAsia="Arial" w:hAnsi="Arial" w:cs="Arial"/>
              </w:rPr>
              <w:t xml:space="preserve">is </w:t>
            </w:r>
            <w:r w:rsidR="00B96B01" w:rsidRPr="00024429">
              <w:rPr>
                <w:rFonts w:ascii="Arial" w:eastAsia="Arial" w:hAnsi="Arial" w:cs="Arial"/>
              </w:rPr>
              <w:t>i</w:t>
            </w:r>
            <w:r w:rsidR="001B43CB" w:rsidRPr="00024429">
              <w:rPr>
                <w:rFonts w:ascii="Arial" w:eastAsia="Arial" w:hAnsi="Arial" w:cs="Arial"/>
              </w:rPr>
              <w:t xml:space="preserve">n </w:t>
            </w:r>
            <w:r w:rsidR="00B96B01" w:rsidRPr="00024429">
              <w:rPr>
                <w:rFonts w:ascii="Arial" w:eastAsia="Arial" w:hAnsi="Arial" w:cs="Arial"/>
              </w:rPr>
              <w:t xml:space="preserve">development </w:t>
            </w:r>
            <w:r w:rsidR="001B43CB" w:rsidRPr="00024429">
              <w:rPr>
                <w:rFonts w:ascii="Arial" w:eastAsia="Arial" w:hAnsi="Arial" w:cs="Arial"/>
              </w:rPr>
              <w:t xml:space="preserve">in consultation </w:t>
            </w:r>
            <w:r w:rsidR="00B96B01" w:rsidRPr="00024429">
              <w:rPr>
                <w:rFonts w:ascii="Arial" w:eastAsia="Arial" w:hAnsi="Arial" w:cs="Arial"/>
              </w:rPr>
              <w:t xml:space="preserve">with delivery partners to </w:t>
            </w:r>
            <w:r w:rsidR="005C0A86" w:rsidRPr="00024429">
              <w:rPr>
                <w:rFonts w:ascii="Arial" w:eastAsia="Arial" w:hAnsi="Arial" w:cs="Arial"/>
              </w:rPr>
              <w:t>maximise</w:t>
            </w:r>
            <w:r w:rsidR="00525922" w:rsidRPr="00024429">
              <w:rPr>
                <w:rFonts w:ascii="Arial" w:eastAsia="Arial" w:hAnsi="Arial" w:cs="Arial"/>
              </w:rPr>
              <w:t xml:space="preserve"> sustainability of programme. </w:t>
            </w:r>
          </w:p>
          <w:p w14:paraId="019FE908" w14:textId="7B3D147F" w:rsidR="5E8E6983" w:rsidRPr="00024429" w:rsidRDefault="5E8E6983" w:rsidP="00FC0372">
            <w:pPr>
              <w:rPr>
                <w:rFonts w:ascii="Arial" w:eastAsia="Arial" w:hAnsi="Arial" w:cs="Arial"/>
              </w:rPr>
            </w:pPr>
          </w:p>
          <w:p w14:paraId="401DE2D0" w14:textId="44766553" w:rsidR="009C2497" w:rsidRPr="00024429" w:rsidRDefault="009C2497" w:rsidP="00FC0372">
            <w:pPr>
              <w:rPr>
                <w:rFonts w:ascii="Arial" w:eastAsia="Arial" w:hAnsi="Arial" w:cs="Arial"/>
              </w:rPr>
            </w:pPr>
            <w:r w:rsidRPr="00024429">
              <w:rPr>
                <w:rFonts w:ascii="Arial" w:eastAsia="Arial" w:hAnsi="Arial" w:cs="Arial"/>
              </w:rPr>
              <w:t xml:space="preserve">Greater emphasis on supporting the </w:t>
            </w:r>
            <w:r w:rsidRPr="00024429">
              <w:rPr>
                <w:rFonts w:ascii="Arial" w:eastAsia="Arial" w:hAnsi="Arial" w:cs="Arial"/>
                <w:b/>
              </w:rPr>
              <w:t xml:space="preserve">use of data </w:t>
            </w:r>
            <w:r w:rsidR="00A0101E" w:rsidRPr="00024429">
              <w:rPr>
                <w:rFonts w:ascii="Arial" w:eastAsia="Arial" w:hAnsi="Arial" w:cs="Arial"/>
                <w:b/>
              </w:rPr>
              <w:t xml:space="preserve">at both national and facility level </w:t>
            </w:r>
            <w:r w:rsidR="00433DB2" w:rsidRPr="00024429">
              <w:rPr>
                <w:rFonts w:ascii="Arial" w:eastAsia="Arial" w:hAnsi="Arial" w:cs="Arial"/>
              </w:rPr>
              <w:t xml:space="preserve">to better embed </w:t>
            </w:r>
            <w:r w:rsidR="001E7D33" w:rsidRPr="00024429">
              <w:rPr>
                <w:rFonts w:ascii="Arial" w:eastAsia="Arial" w:hAnsi="Arial" w:cs="Arial"/>
              </w:rPr>
              <w:t>Fleming</w:t>
            </w:r>
            <w:r w:rsidR="00B44715" w:rsidRPr="00024429">
              <w:rPr>
                <w:rFonts w:ascii="Arial" w:eastAsia="Arial" w:hAnsi="Arial" w:cs="Arial"/>
              </w:rPr>
              <w:t xml:space="preserve"> fund investments in AMR </w:t>
            </w:r>
            <w:r w:rsidR="001E7D33" w:rsidRPr="00024429">
              <w:rPr>
                <w:rFonts w:ascii="Arial" w:eastAsia="Arial" w:hAnsi="Arial" w:cs="Arial"/>
              </w:rPr>
              <w:t>surveillance</w:t>
            </w:r>
            <w:r w:rsidR="00B44715" w:rsidRPr="00024429">
              <w:rPr>
                <w:rFonts w:ascii="Arial" w:eastAsia="Arial" w:hAnsi="Arial" w:cs="Arial"/>
              </w:rPr>
              <w:t xml:space="preserve"> system</w:t>
            </w:r>
            <w:r w:rsidR="001E7D33" w:rsidRPr="00024429">
              <w:rPr>
                <w:rFonts w:ascii="Arial" w:eastAsia="Arial" w:hAnsi="Arial" w:cs="Arial"/>
              </w:rPr>
              <w:t>.</w:t>
            </w:r>
          </w:p>
          <w:p w14:paraId="098AEB48" w14:textId="77777777" w:rsidR="00B22604" w:rsidRPr="00024429" w:rsidRDefault="00B22604" w:rsidP="00FC0372">
            <w:pPr>
              <w:rPr>
                <w:rFonts w:ascii="Arial" w:eastAsia="Arial" w:hAnsi="Arial" w:cs="Arial"/>
              </w:rPr>
            </w:pPr>
          </w:p>
          <w:p w14:paraId="50EFAE7B" w14:textId="7D22D913" w:rsidR="00B22604" w:rsidRPr="00024429" w:rsidRDefault="00B24A9F" w:rsidP="00FC0372">
            <w:pPr>
              <w:rPr>
                <w:rFonts w:ascii="Arial" w:eastAsia="Arial" w:hAnsi="Arial" w:cs="Arial"/>
              </w:rPr>
            </w:pPr>
            <w:r w:rsidRPr="00024429">
              <w:rPr>
                <w:rFonts w:ascii="Arial" w:eastAsia="Arial" w:hAnsi="Arial" w:cs="Arial"/>
              </w:rPr>
              <w:t xml:space="preserve">Phase II </w:t>
            </w:r>
            <w:r w:rsidRPr="00024429">
              <w:rPr>
                <w:rFonts w:ascii="Arial" w:eastAsia="Arial" w:hAnsi="Arial" w:cs="Arial"/>
                <w:b/>
              </w:rPr>
              <w:t xml:space="preserve">builds on lessons from phase I. </w:t>
            </w:r>
            <w:r w:rsidRPr="00024429">
              <w:rPr>
                <w:rFonts w:ascii="Arial" w:eastAsia="Arial" w:hAnsi="Arial" w:cs="Arial"/>
              </w:rPr>
              <w:t>A</w:t>
            </w:r>
            <w:r w:rsidR="000227D7" w:rsidRPr="00024429">
              <w:rPr>
                <w:rFonts w:ascii="Arial" w:eastAsia="Arial" w:hAnsi="Arial" w:cs="Arial"/>
              </w:rPr>
              <w:t xml:space="preserve">ny new activity will be </w:t>
            </w:r>
            <w:r w:rsidR="31657B9A" w:rsidRPr="00024429">
              <w:rPr>
                <w:rFonts w:ascii="Arial" w:eastAsia="Arial" w:hAnsi="Arial" w:cs="Arial"/>
              </w:rPr>
              <w:t>aligned to an assessment on the</w:t>
            </w:r>
            <w:r w:rsidR="001244D7" w:rsidRPr="00024429">
              <w:rPr>
                <w:rFonts w:ascii="Arial" w:eastAsia="Arial" w:hAnsi="Arial" w:cs="Arial"/>
              </w:rPr>
              <w:t xml:space="preserve"> ab</w:t>
            </w:r>
            <w:r w:rsidR="0050742D" w:rsidRPr="00024429">
              <w:rPr>
                <w:rFonts w:ascii="Arial" w:eastAsia="Arial" w:hAnsi="Arial" w:cs="Arial"/>
              </w:rPr>
              <w:t xml:space="preserve">sorptive capacity </w:t>
            </w:r>
            <w:r w:rsidR="1F945B87" w:rsidRPr="00024429">
              <w:rPr>
                <w:rFonts w:ascii="Arial" w:eastAsia="Arial" w:hAnsi="Arial" w:cs="Arial"/>
              </w:rPr>
              <w:t>of target countries/systems - helping</w:t>
            </w:r>
            <w:r w:rsidR="0050742D" w:rsidRPr="00024429">
              <w:rPr>
                <w:rFonts w:ascii="Arial" w:eastAsia="Arial" w:hAnsi="Arial" w:cs="Arial"/>
              </w:rPr>
              <w:t xml:space="preserve"> </w:t>
            </w:r>
            <w:r w:rsidR="000227D7" w:rsidRPr="00024429">
              <w:rPr>
                <w:rFonts w:ascii="Arial" w:eastAsia="Arial" w:hAnsi="Arial" w:cs="Arial"/>
              </w:rPr>
              <w:t>to manage expectations/transactional costs</w:t>
            </w:r>
            <w:r w:rsidR="001E7D33" w:rsidRPr="00024429">
              <w:rPr>
                <w:rFonts w:ascii="Arial" w:eastAsia="Arial" w:hAnsi="Arial" w:cs="Arial"/>
              </w:rPr>
              <w:t>.</w:t>
            </w:r>
          </w:p>
          <w:p w14:paraId="74A93CF3" w14:textId="77777777" w:rsidR="00842A32" w:rsidRPr="00024429" w:rsidRDefault="00842A32" w:rsidP="00FC0372">
            <w:pPr>
              <w:rPr>
                <w:rFonts w:ascii="Arial" w:eastAsia="Arial" w:hAnsi="Arial" w:cs="Arial"/>
              </w:rPr>
            </w:pPr>
          </w:p>
        </w:tc>
      </w:tr>
      <w:tr w:rsidR="00024429" w:rsidRPr="00024429" w14:paraId="5961F560" w14:textId="77777777" w:rsidTr="00A41A8D">
        <w:tc>
          <w:tcPr>
            <w:tcW w:w="2689" w:type="dxa"/>
            <w:shd w:val="clear" w:color="auto" w:fill="D9E2F3" w:themeFill="accent1" w:themeFillTint="33"/>
          </w:tcPr>
          <w:p w14:paraId="1E403259" w14:textId="77777777" w:rsidR="00842A32" w:rsidRPr="004D5BC9" w:rsidRDefault="00842A32" w:rsidP="004D5BC9">
            <w:pPr>
              <w:pStyle w:val="ListParagraph"/>
              <w:numPr>
                <w:ilvl w:val="0"/>
                <w:numId w:val="4"/>
              </w:numPr>
              <w:rPr>
                <w:rFonts w:ascii="Arial" w:eastAsia="Arial" w:hAnsi="Arial" w:cs="Arial"/>
              </w:rPr>
            </w:pPr>
            <w:r w:rsidRPr="004D5BC9">
              <w:rPr>
                <w:rFonts w:ascii="Arial" w:eastAsia="Arial" w:hAnsi="Arial" w:cs="Arial"/>
              </w:rPr>
              <w:t xml:space="preserve">The DHSC and MA should ensure that systems and processes for establishing expectations and tracking progress are proportionate, timely, and sufficiently flexible to deal with uncertainty and the need for strategic adaptation. These must strike the right balance between strategic reflection and accountability and avoid focusing </w:t>
            </w:r>
            <w:r w:rsidRPr="004D5BC9">
              <w:rPr>
                <w:rFonts w:ascii="Arial" w:eastAsia="Arial" w:hAnsi="Arial" w:cs="Arial"/>
              </w:rPr>
              <w:lastRenderedPageBreak/>
              <w:t>too heavily on tracking the implementation of inputs and activities.</w:t>
            </w:r>
          </w:p>
        </w:tc>
        <w:tc>
          <w:tcPr>
            <w:tcW w:w="1230" w:type="dxa"/>
          </w:tcPr>
          <w:p w14:paraId="1FD84F29" w14:textId="77777777" w:rsidR="00842A32" w:rsidRPr="00024429" w:rsidRDefault="00842A32" w:rsidP="006213E0">
            <w:pPr>
              <w:rPr>
                <w:rFonts w:ascii="Arial" w:eastAsia="Arial" w:hAnsi="Arial" w:cs="Arial"/>
              </w:rPr>
            </w:pPr>
            <w:r w:rsidRPr="00024429">
              <w:rPr>
                <w:rFonts w:ascii="Arial" w:eastAsia="Arial" w:hAnsi="Arial" w:cs="Arial"/>
              </w:rPr>
              <w:lastRenderedPageBreak/>
              <w:t>Accept</w:t>
            </w:r>
          </w:p>
        </w:tc>
        <w:tc>
          <w:tcPr>
            <w:tcW w:w="6414" w:type="dxa"/>
          </w:tcPr>
          <w:p w14:paraId="48618EAB" w14:textId="49C5E341" w:rsidR="00842A32" w:rsidRPr="00024429" w:rsidRDefault="0C4D4CC7" w:rsidP="006213E0">
            <w:pPr>
              <w:rPr>
                <w:rFonts w:ascii="Arial" w:eastAsia="Arial" w:hAnsi="Arial" w:cs="Arial"/>
              </w:rPr>
            </w:pPr>
            <w:r w:rsidRPr="00024429">
              <w:rPr>
                <w:rFonts w:ascii="Arial" w:eastAsia="Arial" w:hAnsi="Arial" w:cs="Arial"/>
                <w:b/>
              </w:rPr>
              <w:t xml:space="preserve">A </w:t>
            </w:r>
            <w:r w:rsidR="00842A32" w:rsidRPr="00024429">
              <w:rPr>
                <w:rFonts w:ascii="Arial" w:eastAsia="Arial" w:hAnsi="Arial" w:cs="Arial"/>
                <w:b/>
              </w:rPr>
              <w:t xml:space="preserve">Programme wide results framework </w:t>
            </w:r>
            <w:r w:rsidR="00842A32" w:rsidRPr="00024429">
              <w:rPr>
                <w:rFonts w:ascii="Arial" w:eastAsia="Arial" w:hAnsi="Arial" w:cs="Arial"/>
              </w:rPr>
              <w:t xml:space="preserve">developed to </w:t>
            </w:r>
            <w:r w:rsidR="76A19C5C" w:rsidRPr="00024429">
              <w:rPr>
                <w:rFonts w:ascii="Arial" w:eastAsia="Arial" w:hAnsi="Arial" w:cs="Arial"/>
              </w:rPr>
              <w:t>(</w:t>
            </w:r>
            <w:proofErr w:type="spellStart"/>
            <w:r w:rsidR="0E881F77" w:rsidRPr="00024429">
              <w:rPr>
                <w:rFonts w:ascii="Arial" w:eastAsia="Arial" w:hAnsi="Arial" w:cs="Arial"/>
              </w:rPr>
              <w:t>i</w:t>
            </w:r>
            <w:proofErr w:type="spellEnd"/>
            <w:r w:rsidR="76A19C5C" w:rsidRPr="00024429">
              <w:rPr>
                <w:rFonts w:ascii="Arial" w:eastAsia="Arial" w:hAnsi="Arial" w:cs="Arial"/>
              </w:rPr>
              <w:t xml:space="preserve">) </w:t>
            </w:r>
            <w:r w:rsidR="00842A32" w:rsidRPr="00024429">
              <w:rPr>
                <w:rFonts w:ascii="Arial" w:eastAsia="Arial" w:hAnsi="Arial" w:cs="Arial"/>
              </w:rPr>
              <w:t xml:space="preserve">enable </w:t>
            </w:r>
            <w:r w:rsidR="7BD40D99" w:rsidRPr="00024429">
              <w:rPr>
                <w:rFonts w:ascii="Arial" w:eastAsia="Arial" w:hAnsi="Arial" w:cs="Arial"/>
              </w:rPr>
              <w:t xml:space="preserve">systematic and </w:t>
            </w:r>
            <w:r w:rsidR="00842A32" w:rsidRPr="00024429">
              <w:rPr>
                <w:rFonts w:ascii="Arial" w:eastAsia="Arial" w:hAnsi="Arial" w:cs="Arial"/>
              </w:rPr>
              <w:t>timely tracking of progress at all levels of the Th</w:t>
            </w:r>
            <w:r w:rsidR="001D592E" w:rsidRPr="00024429">
              <w:rPr>
                <w:rFonts w:ascii="Arial" w:eastAsia="Arial" w:hAnsi="Arial" w:cs="Arial"/>
              </w:rPr>
              <w:t>eo</w:t>
            </w:r>
            <w:r w:rsidR="00842A32" w:rsidRPr="00024429">
              <w:rPr>
                <w:rFonts w:ascii="Arial" w:eastAsia="Arial" w:hAnsi="Arial" w:cs="Arial"/>
              </w:rPr>
              <w:t xml:space="preserve">ry of Change - output, intermediate outcome, long </w:t>
            </w:r>
            <w:proofErr w:type="gramStart"/>
            <w:r w:rsidR="00842A32" w:rsidRPr="00024429">
              <w:rPr>
                <w:rFonts w:ascii="Arial" w:eastAsia="Arial" w:hAnsi="Arial" w:cs="Arial"/>
              </w:rPr>
              <w:t>term</w:t>
            </w:r>
            <w:proofErr w:type="gramEnd"/>
            <w:r w:rsidR="00842A32" w:rsidRPr="00024429">
              <w:rPr>
                <w:rFonts w:ascii="Arial" w:eastAsia="Arial" w:hAnsi="Arial" w:cs="Arial"/>
              </w:rPr>
              <w:t xml:space="preserve"> and impact level</w:t>
            </w:r>
            <w:r w:rsidR="0CE8A70D" w:rsidRPr="00024429">
              <w:rPr>
                <w:rFonts w:ascii="Arial" w:eastAsia="Arial" w:hAnsi="Arial" w:cs="Arial"/>
              </w:rPr>
              <w:t xml:space="preserve"> </w:t>
            </w:r>
            <w:r w:rsidR="00842A32" w:rsidRPr="00024429">
              <w:rPr>
                <w:rFonts w:ascii="Arial" w:eastAsia="Arial" w:hAnsi="Arial" w:cs="Arial"/>
              </w:rPr>
              <w:t xml:space="preserve">and </w:t>
            </w:r>
            <w:r w:rsidR="763C6B44" w:rsidRPr="00024429">
              <w:rPr>
                <w:rFonts w:ascii="Arial" w:eastAsia="Arial" w:hAnsi="Arial" w:cs="Arial"/>
              </w:rPr>
              <w:t xml:space="preserve">(ii) </w:t>
            </w:r>
            <w:r w:rsidR="0830EB55" w:rsidRPr="00024429">
              <w:rPr>
                <w:rFonts w:ascii="Arial" w:eastAsia="Arial" w:hAnsi="Arial" w:cs="Arial"/>
              </w:rPr>
              <w:t xml:space="preserve">to </w:t>
            </w:r>
            <w:r w:rsidR="00842A32" w:rsidRPr="00024429">
              <w:rPr>
                <w:rFonts w:ascii="Arial" w:eastAsia="Arial" w:hAnsi="Arial" w:cs="Arial"/>
              </w:rPr>
              <w:t>support flexible/adaptive management</w:t>
            </w:r>
            <w:r w:rsidR="1D318E06" w:rsidRPr="00024429">
              <w:rPr>
                <w:rFonts w:ascii="Arial" w:eastAsia="Arial" w:hAnsi="Arial" w:cs="Arial"/>
              </w:rPr>
              <w:t xml:space="preserve"> and managin</w:t>
            </w:r>
            <w:r w:rsidR="707D00A6" w:rsidRPr="00024429">
              <w:rPr>
                <w:rFonts w:ascii="Arial" w:eastAsia="Arial" w:hAnsi="Arial" w:cs="Arial"/>
              </w:rPr>
              <w:t>g</w:t>
            </w:r>
            <w:r w:rsidR="1D318E06" w:rsidRPr="00024429">
              <w:rPr>
                <w:rFonts w:ascii="Arial" w:eastAsia="Arial" w:hAnsi="Arial" w:cs="Arial"/>
              </w:rPr>
              <w:t xml:space="preserve"> for effectiveness.</w:t>
            </w:r>
          </w:p>
          <w:p w14:paraId="61AB077E" w14:textId="77777777" w:rsidR="00842A32" w:rsidRPr="00024429" w:rsidRDefault="00842A32" w:rsidP="006213E0">
            <w:pPr>
              <w:rPr>
                <w:rFonts w:ascii="Arial" w:eastAsia="Arial" w:hAnsi="Arial" w:cs="Arial"/>
              </w:rPr>
            </w:pPr>
          </w:p>
          <w:p w14:paraId="1ABBB953" w14:textId="7C3190E4" w:rsidR="00842A32" w:rsidRPr="00024429" w:rsidRDefault="00404BF4" w:rsidP="006213E0">
            <w:pPr>
              <w:rPr>
                <w:rFonts w:ascii="Arial" w:eastAsia="Arial" w:hAnsi="Arial" w:cs="Arial"/>
              </w:rPr>
            </w:pPr>
            <w:r w:rsidRPr="00024429">
              <w:rPr>
                <w:rFonts w:ascii="Arial" w:eastAsia="Arial" w:hAnsi="Arial" w:cs="Arial"/>
              </w:rPr>
              <w:t xml:space="preserve">DHSC will </w:t>
            </w:r>
            <w:r w:rsidR="00842A32" w:rsidRPr="00024429">
              <w:rPr>
                <w:rFonts w:ascii="Arial" w:eastAsia="Arial" w:hAnsi="Arial" w:cs="Arial"/>
              </w:rPr>
              <w:t xml:space="preserve">conduct </w:t>
            </w:r>
            <w:r w:rsidRPr="00024429">
              <w:rPr>
                <w:rFonts w:ascii="Arial" w:eastAsia="Arial" w:hAnsi="Arial" w:cs="Arial"/>
              </w:rPr>
              <w:t xml:space="preserve">a </w:t>
            </w:r>
            <w:r w:rsidR="00842A32" w:rsidRPr="00024429">
              <w:rPr>
                <w:rFonts w:ascii="Arial" w:eastAsia="Arial" w:hAnsi="Arial" w:cs="Arial"/>
              </w:rPr>
              <w:t xml:space="preserve">review of </w:t>
            </w:r>
            <w:r w:rsidR="00E012FF" w:rsidRPr="00024429">
              <w:rPr>
                <w:rFonts w:ascii="Arial" w:eastAsia="Arial" w:hAnsi="Arial" w:cs="Arial"/>
                <w:b/>
              </w:rPr>
              <w:t>adaptive</w:t>
            </w:r>
            <w:r w:rsidR="00842A32" w:rsidRPr="00024429">
              <w:rPr>
                <w:rFonts w:ascii="Arial" w:eastAsia="Arial" w:hAnsi="Arial" w:cs="Arial"/>
                <w:b/>
              </w:rPr>
              <w:t xml:space="preserve"> management</w:t>
            </w:r>
            <w:r w:rsidR="00842A32" w:rsidRPr="00024429">
              <w:rPr>
                <w:rFonts w:ascii="Arial" w:eastAsia="Arial" w:hAnsi="Arial" w:cs="Arial"/>
              </w:rPr>
              <w:t xml:space="preserve"> approach </w:t>
            </w:r>
            <w:r w:rsidR="3546818E" w:rsidRPr="00024429">
              <w:rPr>
                <w:rFonts w:ascii="Arial" w:eastAsia="Arial" w:hAnsi="Arial" w:cs="Arial"/>
              </w:rPr>
              <w:t>to</w:t>
            </w:r>
            <w:r w:rsidR="00842A32" w:rsidRPr="00024429">
              <w:rPr>
                <w:rFonts w:ascii="Arial" w:eastAsia="Arial" w:hAnsi="Arial" w:cs="Arial"/>
              </w:rPr>
              <w:t xml:space="preserve"> identify </w:t>
            </w:r>
            <w:r w:rsidR="138DE166" w:rsidRPr="00024429">
              <w:rPr>
                <w:rFonts w:ascii="Arial" w:eastAsia="Arial" w:hAnsi="Arial" w:cs="Arial"/>
              </w:rPr>
              <w:t xml:space="preserve">suitable </w:t>
            </w:r>
            <w:r w:rsidR="00E012FF" w:rsidRPr="00024429">
              <w:rPr>
                <w:rFonts w:ascii="Arial" w:eastAsia="Arial" w:hAnsi="Arial" w:cs="Arial"/>
              </w:rPr>
              <w:t>processes</w:t>
            </w:r>
            <w:r w:rsidR="138DE166" w:rsidRPr="00024429">
              <w:rPr>
                <w:rFonts w:ascii="Arial" w:eastAsia="Arial" w:hAnsi="Arial" w:cs="Arial"/>
              </w:rPr>
              <w:t xml:space="preserve"> for workstreams where there are higher levels of uncertainty.</w:t>
            </w:r>
            <w:r w:rsidRPr="00024429">
              <w:rPr>
                <w:rFonts w:ascii="Arial" w:eastAsia="Arial" w:hAnsi="Arial" w:cs="Arial"/>
              </w:rPr>
              <w:t xml:space="preserve"> DHSC will develop clear guidance on adaptive management approach, mechanisms and processes for Phase 2 and disseminate across all partners by December 2023. Review guidance annually to ensure relevant and up to date</w:t>
            </w:r>
            <w:r w:rsidR="61771EB7" w:rsidRPr="00024429">
              <w:rPr>
                <w:rFonts w:ascii="Arial" w:eastAsia="Arial" w:hAnsi="Arial" w:cs="Arial"/>
              </w:rPr>
              <w:t xml:space="preserve">. </w:t>
            </w:r>
          </w:p>
          <w:p w14:paraId="16CC7ADE" w14:textId="2038A7AB" w:rsidR="00842A32" w:rsidRPr="00024429" w:rsidRDefault="00842A32" w:rsidP="6C62716D">
            <w:pPr>
              <w:rPr>
                <w:rFonts w:ascii="Arial" w:eastAsia="Arial" w:hAnsi="Arial" w:cs="Arial"/>
              </w:rPr>
            </w:pPr>
          </w:p>
          <w:p w14:paraId="3C6C262F" w14:textId="420C66D2" w:rsidR="00842A32" w:rsidRPr="00024429" w:rsidRDefault="00CADCF8" w:rsidP="7F317285">
            <w:pPr>
              <w:rPr>
                <w:rFonts w:ascii="Arial" w:eastAsia="Arial" w:hAnsi="Arial" w:cs="Arial"/>
              </w:rPr>
            </w:pPr>
            <w:r w:rsidRPr="00024429">
              <w:rPr>
                <w:rFonts w:ascii="Arial" w:eastAsia="Arial" w:hAnsi="Arial" w:cs="Arial"/>
              </w:rPr>
              <w:t xml:space="preserve">DHSC will ask the </w:t>
            </w:r>
            <w:r w:rsidR="61771EB7" w:rsidRPr="00024429">
              <w:rPr>
                <w:rFonts w:ascii="Arial" w:eastAsia="Arial" w:hAnsi="Arial" w:cs="Arial"/>
              </w:rPr>
              <w:t xml:space="preserve">Management Agent </w:t>
            </w:r>
            <w:r w:rsidR="6B9FBF5F" w:rsidRPr="00024429">
              <w:rPr>
                <w:rFonts w:ascii="Arial" w:eastAsia="Arial" w:hAnsi="Arial" w:cs="Arial"/>
              </w:rPr>
              <w:t>to</w:t>
            </w:r>
            <w:r w:rsidR="61771EB7" w:rsidRPr="00024429">
              <w:rPr>
                <w:rFonts w:ascii="Arial" w:eastAsia="Arial" w:hAnsi="Arial" w:cs="Arial"/>
              </w:rPr>
              <w:t xml:space="preserve"> consider </w:t>
            </w:r>
            <w:r w:rsidR="434DBDEF" w:rsidRPr="00024429">
              <w:rPr>
                <w:rFonts w:ascii="Arial" w:eastAsia="Arial" w:hAnsi="Arial" w:cs="Arial"/>
              </w:rPr>
              <w:t xml:space="preserve">opportunities to </w:t>
            </w:r>
            <w:r w:rsidR="434DBDEF" w:rsidRPr="00024429">
              <w:rPr>
                <w:rFonts w:ascii="Arial" w:eastAsia="Arial" w:hAnsi="Arial" w:cs="Arial"/>
                <w:b/>
              </w:rPr>
              <w:t>increase workplan flexibility</w:t>
            </w:r>
            <w:r w:rsidR="434DBDEF" w:rsidRPr="00024429">
              <w:rPr>
                <w:rFonts w:ascii="Arial" w:eastAsia="Arial" w:hAnsi="Arial" w:cs="Arial"/>
              </w:rPr>
              <w:t xml:space="preserve"> guided around the delivery of outcomes rather than outputs.</w:t>
            </w:r>
          </w:p>
          <w:p w14:paraId="313BB75A" w14:textId="0B9988CD" w:rsidR="00842A32" w:rsidRPr="00024429" w:rsidRDefault="00842A32" w:rsidP="7F317285">
            <w:pPr>
              <w:rPr>
                <w:rFonts w:ascii="Arial" w:eastAsia="Arial" w:hAnsi="Arial" w:cs="Arial"/>
              </w:rPr>
            </w:pPr>
          </w:p>
          <w:p w14:paraId="44127B08" w14:textId="759318A1" w:rsidR="00842A32" w:rsidRPr="00024429" w:rsidRDefault="3B187951" w:rsidP="6C62716D">
            <w:pPr>
              <w:rPr>
                <w:rFonts w:ascii="Arial" w:eastAsia="Arial" w:hAnsi="Arial" w:cs="Arial"/>
              </w:rPr>
            </w:pPr>
            <w:r w:rsidRPr="00024429">
              <w:rPr>
                <w:rFonts w:ascii="Arial" w:eastAsia="Arial" w:hAnsi="Arial" w:cs="Arial"/>
              </w:rPr>
              <w:lastRenderedPageBreak/>
              <w:t>DHSC will hold a</w:t>
            </w:r>
            <w:r w:rsidRPr="00024429">
              <w:rPr>
                <w:rFonts w:ascii="Arial" w:eastAsia="Arial" w:hAnsi="Arial" w:cs="Arial"/>
                <w:b/>
                <w:bCs/>
              </w:rPr>
              <w:t xml:space="preserve"> learning summit</w:t>
            </w:r>
            <w:r w:rsidRPr="00024429">
              <w:rPr>
                <w:rFonts w:ascii="Arial" w:eastAsia="Arial" w:hAnsi="Arial" w:cs="Arial"/>
              </w:rPr>
              <w:t xml:space="preserve"> with grantees in 202</w:t>
            </w:r>
            <w:r w:rsidR="7C73941F" w:rsidRPr="00024429">
              <w:rPr>
                <w:rFonts w:ascii="Arial" w:eastAsia="Arial" w:hAnsi="Arial" w:cs="Arial"/>
              </w:rPr>
              <w:t>4</w:t>
            </w:r>
            <w:r w:rsidRPr="00024429">
              <w:rPr>
                <w:rFonts w:ascii="Arial" w:eastAsia="Arial" w:hAnsi="Arial" w:cs="Arial"/>
              </w:rPr>
              <w:t xml:space="preserve"> </w:t>
            </w:r>
            <w:r w:rsidR="00F63859" w:rsidRPr="00024429">
              <w:rPr>
                <w:rFonts w:ascii="Arial" w:eastAsia="Arial" w:hAnsi="Arial" w:cs="Arial"/>
              </w:rPr>
              <w:t>to disseminate</w:t>
            </w:r>
            <w:r w:rsidRPr="00024429">
              <w:rPr>
                <w:rFonts w:ascii="Arial" w:eastAsia="Arial" w:hAnsi="Arial" w:cs="Arial"/>
              </w:rPr>
              <w:t xml:space="preserve"> practices and approaches</w:t>
            </w:r>
            <w:r w:rsidR="03B6E9E5" w:rsidRPr="00024429">
              <w:rPr>
                <w:rFonts w:ascii="Arial" w:eastAsia="Arial" w:hAnsi="Arial" w:cs="Arial"/>
              </w:rPr>
              <w:t xml:space="preserve"> that </w:t>
            </w:r>
            <w:r w:rsidR="2CBF3CCA" w:rsidRPr="00024429">
              <w:rPr>
                <w:rFonts w:ascii="Arial" w:eastAsia="Arial" w:hAnsi="Arial" w:cs="Arial"/>
              </w:rPr>
              <w:t xml:space="preserve">support adaption. </w:t>
            </w:r>
          </w:p>
          <w:p w14:paraId="608E695E" w14:textId="77777777" w:rsidR="004F040E" w:rsidRPr="00024429" w:rsidRDefault="004F040E" w:rsidP="6C62716D">
            <w:pPr>
              <w:rPr>
                <w:rFonts w:ascii="Arial" w:eastAsia="Arial" w:hAnsi="Arial" w:cs="Arial"/>
              </w:rPr>
            </w:pPr>
          </w:p>
          <w:p w14:paraId="794B50A6" w14:textId="1406B65A" w:rsidR="004F040E" w:rsidRPr="00024429" w:rsidRDefault="004F040E" w:rsidP="6C62716D">
            <w:pPr>
              <w:rPr>
                <w:rFonts w:ascii="Arial" w:eastAsia="Arial" w:hAnsi="Arial" w:cs="Arial"/>
              </w:rPr>
            </w:pPr>
          </w:p>
        </w:tc>
      </w:tr>
      <w:tr w:rsidR="00024429" w:rsidRPr="00024429" w14:paraId="459BEEFB" w14:textId="77777777" w:rsidTr="00A41A8D">
        <w:trPr>
          <w:trHeight w:val="10197"/>
        </w:trPr>
        <w:tc>
          <w:tcPr>
            <w:tcW w:w="2689" w:type="dxa"/>
            <w:shd w:val="clear" w:color="auto" w:fill="D9E2F3" w:themeFill="accent1" w:themeFillTint="33"/>
          </w:tcPr>
          <w:p w14:paraId="7B3F2936" w14:textId="77777777" w:rsidR="004D5BC9" w:rsidRDefault="00842A32" w:rsidP="004D5BC9">
            <w:pPr>
              <w:pStyle w:val="ListParagraph"/>
              <w:numPr>
                <w:ilvl w:val="0"/>
                <w:numId w:val="4"/>
              </w:numPr>
              <w:rPr>
                <w:rFonts w:ascii="Arial" w:eastAsia="Arial" w:hAnsi="Arial" w:cs="Arial"/>
              </w:rPr>
            </w:pPr>
            <w:r w:rsidRPr="004D5BC9">
              <w:rPr>
                <w:rFonts w:ascii="Arial" w:eastAsia="Arial" w:hAnsi="Arial" w:cs="Arial"/>
              </w:rPr>
              <w:lastRenderedPageBreak/>
              <w:t xml:space="preserve">The process of establishing goals at the country level should be focused on understanding the priorities and needs of key decision makers on AMR, recognising inter alia </w:t>
            </w:r>
            <w:proofErr w:type="gramStart"/>
            <w:r w:rsidRPr="004D5BC9">
              <w:rPr>
                <w:rFonts w:ascii="Arial" w:eastAsia="Arial" w:hAnsi="Arial" w:cs="Arial"/>
              </w:rPr>
              <w:t>that</w:t>
            </w:r>
            <w:proofErr w:type="gramEnd"/>
          </w:p>
          <w:p w14:paraId="4D293FD6" w14:textId="4D135F63" w:rsidR="00842A32" w:rsidRPr="004D5BC9" w:rsidRDefault="00842A32" w:rsidP="009F3459">
            <w:pPr>
              <w:pStyle w:val="ListParagraph"/>
              <w:numPr>
                <w:ilvl w:val="1"/>
                <w:numId w:val="4"/>
              </w:numPr>
              <w:rPr>
                <w:rFonts w:ascii="Arial" w:eastAsia="Arial" w:hAnsi="Arial" w:cs="Arial"/>
              </w:rPr>
            </w:pPr>
            <w:r w:rsidRPr="004D5BC9">
              <w:rPr>
                <w:rFonts w:ascii="Arial" w:eastAsia="Arial" w:hAnsi="Arial" w:cs="Arial"/>
              </w:rPr>
              <w:t>AMR action will take place through multiple policy processes and that differentiation between HH and AH is of fundamental importance; and</w:t>
            </w:r>
          </w:p>
          <w:p w14:paraId="4282DB52" w14:textId="52BDD93B" w:rsidR="00842A32" w:rsidRPr="00024429" w:rsidRDefault="00842A32" w:rsidP="004D5BC9">
            <w:pPr>
              <w:pStyle w:val="ListParagraph"/>
              <w:numPr>
                <w:ilvl w:val="1"/>
                <w:numId w:val="4"/>
              </w:numPr>
              <w:rPr>
                <w:rFonts w:ascii="Arial" w:eastAsia="Arial" w:hAnsi="Arial" w:cs="Arial"/>
              </w:rPr>
            </w:pPr>
            <w:r w:rsidRPr="00024429">
              <w:rPr>
                <w:rFonts w:ascii="Arial" w:eastAsia="Arial" w:hAnsi="Arial" w:cs="Arial"/>
              </w:rPr>
              <w:t>achieving higher-level goals requires action by other actors and therefore effective collaboration with key stakeholder groups.</w:t>
            </w:r>
          </w:p>
        </w:tc>
        <w:tc>
          <w:tcPr>
            <w:tcW w:w="1230" w:type="dxa"/>
          </w:tcPr>
          <w:p w14:paraId="3124A5D1" w14:textId="17C2C4B3" w:rsidR="00842A32" w:rsidRPr="00024429" w:rsidRDefault="008C5311" w:rsidP="006213E0">
            <w:pPr>
              <w:rPr>
                <w:rFonts w:ascii="Arial" w:eastAsia="Arial" w:hAnsi="Arial" w:cs="Arial"/>
              </w:rPr>
            </w:pPr>
            <w:r>
              <w:rPr>
                <w:rFonts w:ascii="Arial" w:eastAsia="Arial" w:hAnsi="Arial" w:cs="Arial"/>
              </w:rPr>
              <w:t>Accept</w:t>
            </w:r>
          </w:p>
        </w:tc>
        <w:tc>
          <w:tcPr>
            <w:tcW w:w="6414" w:type="dxa"/>
          </w:tcPr>
          <w:p w14:paraId="3119B4DE" w14:textId="0926385C" w:rsidR="00842A32" w:rsidRPr="00024429" w:rsidRDefault="61FACA21" w:rsidP="006213E0">
            <w:pPr>
              <w:rPr>
                <w:rFonts w:ascii="Arial" w:eastAsia="Arial" w:hAnsi="Arial" w:cs="Arial"/>
              </w:rPr>
            </w:pPr>
            <w:r w:rsidRPr="00024429">
              <w:rPr>
                <w:rFonts w:ascii="Arial" w:eastAsia="Arial" w:hAnsi="Arial" w:cs="Arial"/>
              </w:rPr>
              <w:t>Phase II will</w:t>
            </w:r>
            <w:r w:rsidR="40D94D19" w:rsidRPr="00024429">
              <w:rPr>
                <w:rFonts w:ascii="Arial" w:eastAsia="Arial" w:hAnsi="Arial" w:cs="Arial"/>
              </w:rPr>
              <w:t xml:space="preserve"> engage more politically</w:t>
            </w:r>
            <w:r w:rsidRPr="00024429">
              <w:rPr>
                <w:rFonts w:ascii="Arial" w:eastAsia="Arial" w:hAnsi="Arial" w:cs="Arial"/>
              </w:rPr>
              <w:t xml:space="preserve"> hav</w:t>
            </w:r>
            <w:r w:rsidR="620B0CA2" w:rsidRPr="00024429">
              <w:rPr>
                <w:rFonts w:ascii="Arial" w:eastAsia="Arial" w:hAnsi="Arial" w:cs="Arial"/>
              </w:rPr>
              <w:t>ing</w:t>
            </w:r>
            <w:r w:rsidRPr="00024429">
              <w:rPr>
                <w:rFonts w:ascii="Arial" w:eastAsia="Arial" w:hAnsi="Arial" w:cs="Arial"/>
              </w:rPr>
              <w:t xml:space="preserve"> a greater emphasis on </w:t>
            </w:r>
            <w:r w:rsidR="553DDFDA" w:rsidRPr="00024429">
              <w:rPr>
                <w:rFonts w:ascii="Arial" w:eastAsia="Arial" w:hAnsi="Arial" w:cs="Arial"/>
              </w:rPr>
              <w:t>promoting the u</w:t>
            </w:r>
            <w:r w:rsidR="341EB651" w:rsidRPr="00024429">
              <w:rPr>
                <w:rFonts w:ascii="Arial" w:eastAsia="Arial" w:hAnsi="Arial" w:cs="Arial"/>
              </w:rPr>
              <w:t>se</w:t>
            </w:r>
            <w:r w:rsidR="553DDFDA" w:rsidRPr="00024429">
              <w:rPr>
                <w:rFonts w:ascii="Arial" w:eastAsia="Arial" w:hAnsi="Arial" w:cs="Arial"/>
              </w:rPr>
              <w:t xml:space="preserve"> of AMR data</w:t>
            </w:r>
            <w:r w:rsidR="71FDF79B" w:rsidRPr="00024429">
              <w:rPr>
                <w:rFonts w:ascii="Arial" w:eastAsia="Arial" w:hAnsi="Arial" w:cs="Arial"/>
              </w:rPr>
              <w:t xml:space="preserve"> by</w:t>
            </w:r>
            <w:r w:rsidR="553DDFDA" w:rsidRPr="00024429">
              <w:rPr>
                <w:rFonts w:ascii="Arial" w:eastAsia="Arial" w:hAnsi="Arial" w:cs="Arial"/>
              </w:rPr>
              <w:t xml:space="preserve"> both policy makers and </w:t>
            </w:r>
            <w:r w:rsidR="5ED0A4E3" w:rsidRPr="00024429">
              <w:rPr>
                <w:rFonts w:ascii="Arial" w:eastAsia="Arial" w:hAnsi="Arial" w:cs="Arial"/>
              </w:rPr>
              <w:t xml:space="preserve">practitioners </w:t>
            </w:r>
            <w:r w:rsidR="00E012FF" w:rsidRPr="00024429">
              <w:rPr>
                <w:rFonts w:ascii="Arial" w:eastAsia="Arial" w:hAnsi="Arial" w:cs="Arial"/>
              </w:rPr>
              <w:t>e.g.,</w:t>
            </w:r>
            <w:r w:rsidR="553DDFDA" w:rsidRPr="00024429">
              <w:rPr>
                <w:rFonts w:ascii="Arial" w:eastAsia="Arial" w:hAnsi="Arial" w:cs="Arial"/>
              </w:rPr>
              <w:t xml:space="preserve"> providing support for additional costing and</w:t>
            </w:r>
          </w:p>
          <w:p w14:paraId="5B983CDC" w14:textId="7C4B0BEE" w:rsidR="00842A32" w:rsidRPr="00024429" w:rsidRDefault="553DDFDA" w:rsidP="5E8E6983">
            <w:pPr>
              <w:rPr>
                <w:rFonts w:ascii="Arial" w:eastAsia="Arial" w:hAnsi="Arial" w:cs="Arial"/>
              </w:rPr>
            </w:pPr>
            <w:r w:rsidRPr="00024429">
              <w:rPr>
                <w:rFonts w:ascii="Arial" w:eastAsia="Arial" w:hAnsi="Arial" w:cs="Arial"/>
              </w:rPr>
              <w:t>implementation of the NAPs, influencing governments to establish a policy framework that</w:t>
            </w:r>
            <w:r w:rsidR="4B1647CC" w:rsidRPr="00024429">
              <w:rPr>
                <w:rFonts w:ascii="Arial" w:eastAsia="Arial" w:hAnsi="Arial" w:cs="Arial"/>
              </w:rPr>
              <w:t xml:space="preserve"> </w:t>
            </w:r>
            <w:r w:rsidRPr="00024429">
              <w:rPr>
                <w:rFonts w:ascii="Arial" w:eastAsia="Arial" w:hAnsi="Arial" w:cs="Arial"/>
              </w:rPr>
              <w:t>encourages action based on the generated data</w:t>
            </w:r>
            <w:r w:rsidR="7D44FE71" w:rsidRPr="00024429">
              <w:rPr>
                <w:rFonts w:ascii="Arial" w:eastAsia="Arial" w:hAnsi="Arial" w:cs="Arial"/>
              </w:rPr>
              <w:t>, supporting practitioners to ensure the effective application of the data.</w:t>
            </w:r>
          </w:p>
          <w:p w14:paraId="02D8493A" w14:textId="78D16C20" w:rsidR="6C62716D" w:rsidRPr="00024429" w:rsidRDefault="6C62716D" w:rsidP="6C62716D">
            <w:pPr>
              <w:rPr>
                <w:rFonts w:ascii="Arial" w:eastAsia="Arial" w:hAnsi="Arial" w:cs="Arial"/>
              </w:rPr>
            </w:pPr>
          </w:p>
          <w:p w14:paraId="664C9BAF" w14:textId="45B663C6" w:rsidR="7E4F5069" w:rsidRPr="00024429" w:rsidRDefault="7E4F5069" w:rsidP="6C62716D">
            <w:pPr>
              <w:rPr>
                <w:rFonts w:ascii="Arial" w:eastAsia="Arial" w:hAnsi="Arial" w:cs="Arial"/>
              </w:rPr>
            </w:pPr>
            <w:r w:rsidRPr="00024429">
              <w:rPr>
                <w:rFonts w:ascii="Arial" w:eastAsia="Arial" w:hAnsi="Arial" w:cs="Arial"/>
              </w:rPr>
              <w:t>DHSC will develop the</w:t>
            </w:r>
            <w:r w:rsidRPr="00024429">
              <w:rPr>
                <w:rFonts w:ascii="Arial" w:eastAsia="Arial" w:hAnsi="Arial" w:cs="Arial"/>
                <w:b/>
              </w:rPr>
              <w:t xml:space="preserve"> Phase II economic strategic shift</w:t>
            </w:r>
            <w:r w:rsidRPr="00024429">
              <w:rPr>
                <w:rFonts w:ascii="Arial" w:eastAsia="Arial" w:hAnsi="Arial" w:cs="Arial"/>
              </w:rPr>
              <w:t xml:space="preserve"> to support discussions on AMR </w:t>
            </w:r>
            <w:r w:rsidR="00E012FF" w:rsidRPr="00024429">
              <w:rPr>
                <w:rFonts w:ascii="Arial" w:eastAsia="Arial" w:hAnsi="Arial" w:cs="Arial"/>
              </w:rPr>
              <w:t>resources</w:t>
            </w:r>
            <w:r w:rsidRPr="00024429">
              <w:rPr>
                <w:rFonts w:ascii="Arial" w:eastAsia="Arial" w:hAnsi="Arial" w:cs="Arial"/>
              </w:rPr>
              <w:t xml:space="preserve">, </w:t>
            </w:r>
            <w:r w:rsidR="00570889" w:rsidRPr="00024429">
              <w:rPr>
                <w:rFonts w:ascii="Arial" w:eastAsia="Arial" w:hAnsi="Arial" w:cs="Arial"/>
              </w:rPr>
              <w:t>investments,</w:t>
            </w:r>
            <w:r w:rsidRPr="00024429">
              <w:rPr>
                <w:rFonts w:ascii="Arial" w:eastAsia="Arial" w:hAnsi="Arial" w:cs="Arial"/>
              </w:rPr>
              <w:t xml:space="preserve"> and finances with key donors. </w:t>
            </w:r>
          </w:p>
          <w:p w14:paraId="1E0E7706" w14:textId="7707A188" w:rsidR="6C62716D" w:rsidRPr="00024429" w:rsidRDefault="6C62716D" w:rsidP="6C62716D">
            <w:pPr>
              <w:rPr>
                <w:rFonts w:ascii="Arial" w:eastAsia="Arial" w:hAnsi="Arial" w:cs="Arial"/>
              </w:rPr>
            </w:pPr>
          </w:p>
          <w:p w14:paraId="0C7C8C4E" w14:textId="56FFE129" w:rsidR="0FFDAD8E" w:rsidRPr="00024429" w:rsidRDefault="0FFDAD8E" w:rsidP="6C62716D">
            <w:pPr>
              <w:rPr>
                <w:rFonts w:ascii="Arial" w:eastAsia="Arial" w:hAnsi="Arial" w:cs="Arial"/>
              </w:rPr>
            </w:pPr>
            <w:r w:rsidRPr="00024429">
              <w:rPr>
                <w:rFonts w:ascii="Arial" w:eastAsia="Arial" w:hAnsi="Arial" w:cs="Arial"/>
              </w:rPr>
              <w:t>DHS</w:t>
            </w:r>
            <w:r w:rsidR="00AB1869" w:rsidRPr="00024429">
              <w:rPr>
                <w:rFonts w:ascii="Arial" w:eastAsia="Arial" w:hAnsi="Arial" w:cs="Arial"/>
              </w:rPr>
              <w:t>C</w:t>
            </w:r>
            <w:r w:rsidRPr="00024429">
              <w:rPr>
                <w:rFonts w:ascii="Arial" w:eastAsia="Arial" w:hAnsi="Arial" w:cs="Arial"/>
              </w:rPr>
              <w:t xml:space="preserve"> will </w:t>
            </w:r>
            <w:r w:rsidR="00F02A41" w:rsidRPr="00024429">
              <w:rPr>
                <w:rFonts w:ascii="Arial" w:eastAsia="Arial" w:hAnsi="Arial" w:cs="Arial"/>
              </w:rPr>
              <w:t>refresh</w:t>
            </w:r>
            <w:r w:rsidR="75B6B68A" w:rsidRPr="00024429">
              <w:rPr>
                <w:rFonts w:ascii="Arial" w:eastAsia="Arial" w:hAnsi="Arial" w:cs="Arial"/>
              </w:rPr>
              <w:t xml:space="preserve"> the </w:t>
            </w:r>
            <w:r w:rsidR="00F02A41" w:rsidRPr="00024429">
              <w:rPr>
                <w:rFonts w:ascii="Arial" w:eastAsia="Arial" w:hAnsi="Arial" w:cs="Arial"/>
                <w:b/>
              </w:rPr>
              <w:t xml:space="preserve">FF </w:t>
            </w:r>
            <w:r w:rsidR="000A5B14" w:rsidRPr="00024429">
              <w:rPr>
                <w:rFonts w:ascii="Arial" w:eastAsia="Arial" w:hAnsi="Arial" w:cs="Arial"/>
                <w:b/>
              </w:rPr>
              <w:t xml:space="preserve">stakeholder </w:t>
            </w:r>
            <w:r w:rsidRPr="00024429">
              <w:rPr>
                <w:rFonts w:ascii="Arial" w:eastAsia="Arial" w:hAnsi="Arial" w:cs="Arial"/>
                <w:b/>
              </w:rPr>
              <w:t xml:space="preserve">engagement strategy </w:t>
            </w:r>
            <w:r w:rsidR="00581258" w:rsidRPr="00024429">
              <w:rPr>
                <w:rFonts w:ascii="Arial" w:eastAsia="Arial" w:hAnsi="Arial" w:cs="Arial"/>
                <w:b/>
              </w:rPr>
              <w:t>and align with global strat</w:t>
            </w:r>
            <w:r w:rsidR="00A35DBE" w:rsidRPr="00024429">
              <w:rPr>
                <w:rFonts w:ascii="Arial" w:eastAsia="Arial" w:hAnsi="Arial" w:cs="Arial"/>
                <w:b/>
              </w:rPr>
              <w:t>egy on sustainability and exit planning</w:t>
            </w:r>
            <w:r w:rsidR="00A35DBE" w:rsidRPr="00024429">
              <w:rPr>
                <w:rFonts w:ascii="Arial" w:eastAsia="Arial" w:hAnsi="Arial" w:cs="Arial"/>
              </w:rPr>
              <w:t xml:space="preserve"> </w:t>
            </w:r>
            <w:r w:rsidRPr="00024429">
              <w:rPr>
                <w:rFonts w:ascii="Arial" w:eastAsia="Arial" w:hAnsi="Arial" w:cs="Arial"/>
              </w:rPr>
              <w:t xml:space="preserve">to </w:t>
            </w:r>
            <w:r w:rsidR="2350FBC6" w:rsidRPr="00024429">
              <w:rPr>
                <w:rFonts w:ascii="Arial" w:eastAsia="Arial" w:hAnsi="Arial" w:cs="Arial"/>
              </w:rPr>
              <w:t xml:space="preserve">increase </w:t>
            </w:r>
            <w:r w:rsidR="00A35DBE" w:rsidRPr="00024429">
              <w:rPr>
                <w:rFonts w:ascii="Arial" w:eastAsia="Arial" w:hAnsi="Arial" w:cs="Arial"/>
              </w:rPr>
              <w:t xml:space="preserve">to increase </w:t>
            </w:r>
            <w:r w:rsidR="00E012FF" w:rsidRPr="00024429">
              <w:rPr>
                <w:rFonts w:ascii="Arial" w:eastAsia="Arial" w:hAnsi="Arial" w:cs="Arial"/>
              </w:rPr>
              <w:t>engagement</w:t>
            </w:r>
            <w:r w:rsidRPr="00024429">
              <w:rPr>
                <w:rFonts w:ascii="Arial" w:eastAsia="Arial" w:hAnsi="Arial" w:cs="Arial"/>
              </w:rPr>
              <w:t xml:space="preserve"> with </w:t>
            </w:r>
            <w:r w:rsidR="06E0E18D" w:rsidRPr="00024429">
              <w:rPr>
                <w:rFonts w:ascii="Arial" w:eastAsia="Arial" w:hAnsi="Arial" w:cs="Arial"/>
              </w:rPr>
              <w:t xml:space="preserve">priority </w:t>
            </w:r>
            <w:r w:rsidRPr="00024429">
              <w:rPr>
                <w:rFonts w:ascii="Arial" w:eastAsia="Arial" w:hAnsi="Arial" w:cs="Arial"/>
              </w:rPr>
              <w:t>stakeholders</w:t>
            </w:r>
            <w:r w:rsidR="000A5B14" w:rsidRPr="00024429">
              <w:rPr>
                <w:rFonts w:ascii="Arial" w:eastAsia="Arial" w:hAnsi="Arial" w:cs="Arial"/>
              </w:rPr>
              <w:t xml:space="preserve">, </w:t>
            </w:r>
            <w:r w:rsidR="00581258" w:rsidRPr="00024429">
              <w:rPr>
                <w:rFonts w:ascii="Arial" w:eastAsia="Arial" w:hAnsi="Arial" w:cs="Arial"/>
              </w:rPr>
              <w:t xml:space="preserve">leverage key opportunities and enhance sustainability. </w:t>
            </w:r>
          </w:p>
          <w:p w14:paraId="34F5458D" w14:textId="5635FC1D" w:rsidR="6C62716D" w:rsidRPr="00024429" w:rsidRDefault="6C62716D" w:rsidP="6C62716D">
            <w:pPr>
              <w:rPr>
                <w:rFonts w:ascii="Arial" w:eastAsia="Arial" w:hAnsi="Arial" w:cs="Arial"/>
              </w:rPr>
            </w:pPr>
          </w:p>
          <w:p w14:paraId="06245C2F" w14:textId="36965490" w:rsidR="0FAD906C" w:rsidRPr="00024429" w:rsidRDefault="0FAD906C" w:rsidP="6C62716D">
            <w:pPr>
              <w:rPr>
                <w:rFonts w:ascii="Arial" w:eastAsia="Arial" w:hAnsi="Arial" w:cs="Arial"/>
              </w:rPr>
            </w:pPr>
            <w:r w:rsidRPr="00024429">
              <w:rPr>
                <w:rFonts w:ascii="Arial" w:eastAsia="Arial" w:hAnsi="Arial" w:cs="Arial"/>
              </w:rPr>
              <w:t xml:space="preserve">The Fleming Fund will look to inform and </w:t>
            </w:r>
            <w:r w:rsidRPr="00024429">
              <w:rPr>
                <w:rFonts w:ascii="Arial" w:eastAsia="Arial" w:hAnsi="Arial" w:cs="Arial"/>
                <w:b/>
              </w:rPr>
              <w:t>influence global policy dialogue</w:t>
            </w:r>
            <w:r w:rsidRPr="00024429">
              <w:rPr>
                <w:rFonts w:ascii="Arial" w:eastAsia="Arial" w:hAnsi="Arial" w:cs="Arial"/>
              </w:rPr>
              <w:t xml:space="preserve"> on AMR, including at the UN HLM, G7, G20 and other key fora. </w:t>
            </w:r>
          </w:p>
          <w:p w14:paraId="6CA585A7" w14:textId="060D85DA" w:rsidR="00842A32" w:rsidRPr="00024429" w:rsidRDefault="00842A32" w:rsidP="006213E0">
            <w:pPr>
              <w:rPr>
                <w:rFonts w:ascii="Arial" w:eastAsia="Arial" w:hAnsi="Arial" w:cs="Arial"/>
              </w:rPr>
            </w:pPr>
          </w:p>
          <w:p w14:paraId="383637F8" w14:textId="2845DBEB" w:rsidR="00842A32" w:rsidRPr="00024429" w:rsidRDefault="00842A32" w:rsidP="006213E0">
            <w:pPr>
              <w:rPr>
                <w:rFonts w:ascii="Arial" w:eastAsia="Arial" w:hAnsi="Arial" w:cs="Arial"/>
              </w:rPr>
            </w:pPr>
            <w:r w:rsidRPr="00024429">
              <w:rPr>
                <w:rFonts w:ascii="Arial" w:eastAsia="Arial" w:hAnsi="Arial" w:cs="Arial"/>
                <w:b/>
              </w:rPr>
              <w:t>Goals at country level will be determined as part of country investment strategy process.</w:t>
            </w:r>
            <w:r w:rsidRPr="00024429">
              <w:rPr>
                <w:rFonts w:ascii="Arial" w:eastAsia="Arial" w:hAnsi="Arial" w:cs="Arial"/>
              </w:rPr>
              <w:t xml:space="preserve"> This process will entail consultation with key stakeholders, alignment with NAP and government priorities, comprehensive country context analysis of the AMR </w:t>
            </w:r>
            <w:r w:rsidR="00E012FF" w:rsidRPr="00024429">
              <w:rPr>
                <w:rFonts w:ascii="Arial" w:eastAsia="Arial" w:hAnsi="Arial" w:cs="Arial"/>
              </w:rPr>
              <w:t>surveillance</w:t>
            </w:r>
            <w:r w:rsidRPr="00024429">
              <w:rPr>
                <w:rFonts w:ascii="Arial" w:eastAsia="Arial" w:hAnsi="Arial" w:cs="Arial"/>
              </w:rPr>
              <w:t xml:space="preserve"> landscape (</w:t>
            </w:r>
            <w:r w:rsidR="00E012FF" w:rsidRPr="00024429">
              <w:rPr>
                <w:rFonts w:ascii="Arial" w:eastAsia="Arial" w:hAnsi="Arial" w:cs="Arial"/>
              </w:rPr>
              <w:t>e.g.,</w:t>
            </w:r>
            <w:r w:rsidRPr="00024429">
              <w:rPr>
                <w:rFonts w:ascii="Arial" w:eastAsia="Arial" w:hAnsi="Arial" w:cs="Arial"/>
              </w:rPr>
              <w:t xml:space="preserve"> PEA, CSA), understanding of donor community to support alignment and coordination.</w:t>
            </w:r>
          </w:p>
          <w:p w14:paraId="7716EFFE" w14:textId="6D0297B9" w:rsidR="00842A32" w:rsidRPr="00024429" w:rsidRDefault="00842A32" w:rsidP="5E8E6983">
            <w:pPr>
              <w:rPr>
                <w:rFonts w:ascii="Arial" w:eastAsia="Arial" w:hAnsi="Arial" w:cs="Arial"/>
              </w:rPr>
            </w:pPr>
          </w:p>
          <w:p w14:paraId="65FA1246" w14:textId="2600C79E" w:rsidR="00842A32" w:rsidRPr="00024429" w:rsidRDefault="00A14F9B" w:rsidP="5E8E6983">
            <w:pPr>
              <w:rPr>
                <w:rFonts w:ascii="Arial" w:eastAsia="Arial" w:hAnsi="Arial" w:cs="Arial"/>
              </w:rPr>
            </w:pPr>
            <w:r w:rsidRPr="00024429">
              <w:rPr>
                <w:rFonts w:ascii="Arial" w:eastAsia="Arial" w:hAnsi="Arial" w:cs="Arial"/>
              </w:rPr>
              <w:t>However</w:t>
            </w:r>
            <w:r w:rsidR="00C7672E" w:rsidRPr="00024429">
              <w:rPr>
                <w:rFonts w:ascii="Arial" w:eastAsia="Arial" w:hAnsi="Arial" w:cs="Arial"/>
              </w:rPr>
              <w:t>,</w:t>
            </w:r>
            <w:r w:rsidRPr="00024429">
              <w:rPr>
                <w:rFonts w:ascii="Arial" w:eastAsia="Arial" w:hAnsi="Arial" w:cs="Arial"/>
              </w:rPr>
              <w:t xml:space="preserve"> </w:t>
            </w:r>
            <w:r w:rsidR="59164234" w:rsidRPr="00024429">
              <w:rPr>
                <w:rFonts w:ascii="Arial" w:eastAsia="Arial" w:hAnsi="Arial" w:cs="Arial"/>
                <w:b/>
              </w:rPr>
              <w:t xml:space="preserve">FF </w:t>
            </w:r>
            <w:r w:rsidR="310F8CCB" w:rsidRPr="00024429">
              <w:rPr>
                <w:rFonts w:ascii="Arial" w:eastAsia="Arial" w:hAnsi="Arial" w:cs="Arial"/>
                <w:b/>
                <w:bCs/>
              </w:rPr>
              <w:t xml:space="preserve">recognises that it </w:t>
            </w:r>
            <w:r w:rsidR="59164234" w:rsidRPr="00024429">
              <w:rPr>
                <w:rFonts w:ascii="Arial" w:eastAsia="Arial" w:hAnsi="Arial" w:cs="Arial"/>
                <w:b/>
              </w:rPr>
              <w:t xml:space="preserve">has limited </w:t>
            </w:r>
            <w:r w:rsidR="78D13DFD" w:rsidRPr="00024429">
              <w:rPr>
                <w:rFonts w:ascii="Arial" w:eastAsia="Arial" w:hAnsi="Arial" w:cs="Arial"/>
                <w:b/>
                <w:bCs/>
              </w:rPr>
              <w:t>locus</w:t>
            </w:r>
            <w:r w:rsidR="59164234" w:rsidRPr="00024429">
              <w:rPr>
                <w:rFonts w:ascii="Arial" w:eastAsia="Arial" w:hAnsi="Arial" w:cs="Arial"/>
                <w:b/>
              </w:rPr>
              <w:t xml:space="preserve"> to engage </w:t>
            </w:r>
            <w:r w:rsidR="00F857B7" w:rsidRPr="00024429">
              <w:rPr>
                <w:rFonts w:ascii="Arial" w:eastAsia="Arial" w:hAnsi="Arial" w:cs="Arial"/>
                <w:b/>
              </w:rPr>
              <w:t>and influence</w:t>
            </w:r>
            <w:r w:rsidR="00C7672E" w:rsidRPr="00024429">
              <w:rPr>
                <w:rFonts w:ascii="Arial" w:eastAsia="Arial" w:hAnsi="Arial" w:cs="Arial"/>
                <w:b/>
              </w:rPr>
              <w:t xml:space="preserve"> directly</w:t>
            </w:r>
            <w:r w:rsidR="59164234" w:rsidRPr="00024429">
              <w:rPr>
                <w:rFonts w:ascii="Arial" w:eastAsia="Arial" w:hAnsi="Arial" w:cs="Arial"/>
                <w:b/>
              </w:rPr>
              <w:t xml:space="preserve"> other donors</w:t>
            </w:r>
            <w:r w:rsidR="1411F6FD" w:rsidRPr="00024429">
              <w:rPr>
                <w:rFonts w:ascii="Arial" w:eastAsia="Arial" w:hAnsi="Arial" w:cs="Arial"/>
                <w:b/>
              </w:rPr>
              <w:t>/</w:t>
            </w:r>
            <w:r w:rsidR="59164234" w:rsidRPr="00024429">
              <w:rPr>
                <w:rFonts w:ascii="Arial" w:eastAsia="Arial" w:hAnsi="Arial" w:cs="Arial"/>
                <w:b/>
              </w:rPr>
              <w:t xml:space="preserve"> decision makers</w:t>
            </w:r>
            <w:r w:rsidR="2BA2B863" w:rsidRPr="00024429">
              <w:rPr>
                <w:rFonts w:ascii="Arial" w:eastAsia="Arial" w:hAnsi="Arial" w:cs="Arial"/>
                <w:b/>
              </w:rPr>
              <w:t xml:space="preserve"> linked to </w:t>
            </w:r>
            <w:r w:rsidR="009859F4" w:rsidRPr="00024429">
              <w:rPr>
                <w:rFonts w:ascii="Arial" w:eastAsia="Arial" w:hAnsi="Arial" w:cs="Arial"/>
                <w:b/>
              </w:rPr>
              <w:t>non-AMR</w:t>
            </w:r>
            <w:r w:rsidR="2BA2B863" w:rsidRPr="00024429">
              <w:rPr>
                <w:rFonts w:ascii="Arial" w:eastAsia="Arial" w:hAnsi="Arial" w:cs="Arial"/>
                <w:b/>
              </w:rPr>
              <w:t xml:space="preserve"> specific interventions </w:t>
            </w:r>
            <w:r w:rsidR="23645A76" w:rsidRPr="00024429">
              <w:rPr>
                <w:rFonts w:ascii="Arial" w:eastAsia="Arial" w:hAnsi="Arial" w:cs="Arial"/>
                <w:b/>
              </w:rPr>
              <w:t xml:space="preserve">/ AMR relevant policy agendas </w:t>
            </w:r>
            <w:r w:rsidR="00E012FF" w:rsidRPr="00024429">
              <w:rPr>
                <w:rFonts w:ascii="Arial" w:eastAsia="Arial" w:hAnsi="Arial" w:cs="Arial"/>
              </w:rPr>
              <w:t>(</w:t>
            </w:r>
            <w:r w:rsidR="00F63859" w:rsidRPr="00024429">
              <w:rPr>
                <w:rFonts w:ascii="Arial" w:eastAsia="Arial" w:hAnsi="Arial" w:cs="Arial"/>
              </w:rPr>
              <w:t>e.g.,</w:t>
            </w:r>
            <w:r w:rsidR="23645A76" w:rsidRPr="00024429">
              <w:rPr>
                <w:rFonts w:ascii="Arial" w:eastAsia="Arial" w:hAnsi="Arial" w:cs="Arial"/>
              </w:rPr>
              <w:t xml:space="preserve"> IPC, AMS, </w:t>
            </w:r>
            <w:r w:rsidR="00F63859" w:rsidRPr="00024429">
              <w:rPr>
                <w:rFonts w:ascii="Arial" w:eastAsia="Arial" w:hAnsi="Arial" w:cs="Arial"/>
              </w:rPr>
              <w:t>Lab,</w:t>
            </w:r>
            <w:r w:rsidR="23645A76" w:rsidRPr="00024429">
              <w:rPr>
                <w:rFonts w:ascii="Arial" w:eastAsia="Arial" w:hAnsi="Arial" w:cs="Arial"/>
              </w:rPr>
              <w:t xml:space="preserve"> or broader health systems strengthening</w:t>
            </w:r>
            <w:r w:rsidR="4C5045CA" w:rsidRPr="00024429">
              <w:rPr>
                <w:rFonts w:ascii="Arial" w:eastAsia="Arial" w:hAnsi="Arial" w:cs="Arial"/>
              </w:rPr>
              <w:t>)</w:t>
            </w:r>
            <w:r w:rsidR="0BAE0412" w:rsidRPr="00024429">
              <w:rPr>
                <w:rFonts w:ascii="Arial" w:eastAsia="Arial" w:hAnsi="Arial" w:cs="Arial"/>
              </w:rPr>
              <w:t>.</w:t>
            </w:r>
            <w:r w:rsidR="4C5045CA" w:rsidRPr="00024429">
              <w:rPr>
                <w:rFonts w:ascii="Arial" w:eastAsia="Arial" w:hAnsi="Arial" w:cs="Arial"/>
              </w:rPr>
              <w:t xml:space="preserve"> </w:t>
            </w:r>
            <w:r w:rsidR="6D7B3E23" w:rsidRPr="00024429">
              <w:rPr>
                <w:rFonts w:ascii="Arial" w:eastAsia="Arial" w:hAnsi="Arial" w:cs="Arial"/>
              </w:rPr>
              <w:t xml:space="preserve">This reinforces the importance of a </w:t>
            </w:r>
            <w:r w:rsidR="000D35AC">
              <w:rPr>
                <w:rFonts w:ascii="Arial" w:eastAsia="Arial" w:hAnsi="Arial" w:cs="Arial"/>
              </w:rPr>
              <w:t>robust</w:t>
            </w:r>
            <w:r w:rsidR="6D7B3E23" w:rsidRPr="00024429">
              <w:rPr>
                <w:rFonts w:ascii="Arial" w:eastAsia="Arial" w:hAnsi="Arial" w:cs="Arial"/>
              </w:rPr>
              <w:t xml:space="preserve"> process of stakeholder engagement that </w:t>
            </w:r>
            <w:r w:rsidR="303473F9" w:rsidRPr="00024429">
              <w:rPr>
                <w:rFonts w:ascii="Arial" w:eastAsia="Arial" w:hAnsi="Arial" w:cs="Arial"/>
              </w:rPr>
              <w:t>targets</w:t>
            </w:r>
            <w:r w:rsidR="1CAAFA0A" w:rsidRPr="00024429">
              <w:rPr>
                <w:rFonts w:ascii="Arial" w:eastAsia="Arial" w:hAnsi="Arial" w:cs="Arial"/>
              </w:rPr>
              <w:t xml:space="preserve"> </w:t>
            </w:r>
            <w:r w:rsidR="6D7B3E23" w:rsidRPr="00024429">
              <w:rPr>
                <w:rFonts w:ascii="Arial" w:eastAsia="Arial" w:hAnsi="Arial" w:cs="Arial"/>
                <w:u w:val="single"/>
              </w:rPr>
              <w:t>intermediate agencie</w:t>
            </w:r>
            <w:r w:rsidR="6D7B3E23" w:rsidRPr="00024429">
              <w:rPr>
                <w:rFonts w:ascii="Arial" w:eastAsia="Arial" w:hAnsi="Arial" w:cs="Arial"/>
              </w:rPr>
              <w:t>s that can influ</w:t>
            </w:r>
            <w:r w:rsidR="484CECA7" w:rsidRPr="00024429">
              <w:rPr>
                <w:rFonts w:ascii="Arial" w:eastAsia="Arial" w:hAnsi="Arial" w:cs="Arial"/>
              </w:rPr>
              <w:t xml:space="preserve">ence policy and </w:t>
            </w:r>
            <w:r w:rsidR="003E06B0" w:rsidRPr="00024429">
              <w:rPr>
                <w:rFonts w:ascii="Arial" w:eastAsia="Arial" w:hAnsi="Arial" w:cs="Arial"/>
              </w:rPr>
              <w:t>i</w:t>
            </w:r>
            <w:r w:rsidR="000653B5" w:rsidRPr="00024429">
              <w:rPr>
                <w:rFonts w:ascii="Arial" w:eastAsia="Arial" w:hAnsi="Arial" w:cs="Arial"/>
              </w:rPr>
              <w:t>nvestment</w:t>
            </w:r>
            <w:r w:rsidR="484CECA7" w:rsidRPr="00024429">
              <w:rPr>
                <w:rFonts w:ascii="Arial" w:eastAsia="Arial" w:hAnsi="Arial" w:cs="Arial"/>
              </w:rPr>
              <w:t xml:space="preserve">. </w:t>
            </w:r>
          </w:p>
        </w:tc>
      </w:tr>
      <w:tr w:rsidR="00024429" w:rsidRPr="00024429" w14:paraId="01A02AFC" w14:textId="77777777" w:rsidTr="00A41A8D">
        <w:tc>
          <w:tcPr>
            <w:tcW w:w="2689" w:type="dxa"/>
            <w:shd w:val="clear" w:color="auto" w:fill="D9E2F3" w:themeFill="accent1" w:themeFillTint="33"/>
          </w:tcPr>
          <w:p w14:paraId="190E0A9E" w14:textId="77777777" w:rsidR="00842A32" w:rsidRPr="004D5BC9" w:rsidRDefault="00842A32" w:rsidP="004D5BC9">
            <w:pPr>
              <w:pStyle w:val="ListParagraph"/>
              <w:numPr>
                <w:ilvl w:val="0"/>
                <w:numId w:val="4"/>
              </w:numPr>
              <w:rPr>
                <w:rFonts w:ascii="Arial" w:eastAsia="Arial" w:hAnsi="Arial" w:cs="Arial"/>
              </w:rPr>
            </w:pPr>
            <w:r w:rsidRPr="004D5BC9">
              <w:rPr>
                <w:rFonts w:ascii="Arial" w:eastAsia="Arial" w:hAnsi="Arial" w:cs="Arial"/>
              </w:rPr>
              <w:t xml:space="preserve">The Fleming Fund should make adaptations to or emphasise specific aspects of its technical approach for phase 2, that are supported by experience from phase 1. These should include focusing on AMU and other data sources, identifying informal approaches to One Health multisector </w:t>
            </w:r>
            <w:r w:rsidRPr="004D5BC9">
              <w:rPr>
                <w:rFonts w:ascii="Arial" w:eastAsia="Arial" w:hAnsi="Arial" w:cs="Arial"/>
              </w:rPr>
              <w:lastRenderedPageBreak/>
              <w:t>collaboration, and maximising the prospects for sustaining laboratory functions.</w:t>
            </w:r>
          </w:p>
          <w:p w14:paraId="5E0A11AA" w14:textId="77777777" w:rsidR="00D71CC7" w:rsidRDefault="00D71CC7" w:rsidP="006213E0">
            <w:pPr>
              <w:rPr>
                <w:rFonts w:ascii="Arial" w:eastAsia="Arial" w:hAnsi="Arial" w:cs="Arial"/>
              </w:rPr>
            </w:pPr>
          </w:p>
          <w:p w14:paraId="0A2BEE13" w14:textId="4ABA0978" w:rsidR="00D71CC7" w:rsidRPr="00024429" w:rsidRDefault="00D71CC7" w:rsidP="006213E0">
            <w:pPr>
              <w:rPr>
                <w:rFonts w:ascii="Arial" w:eastAsia="Arial" w:hAnsi="Arial" w:cs="Arial"/>
              </w:rPr>
            </w:pPr>
          </w:p>
        </w:tc>
        <w:tc>
          <w:tcPr>
            <w:tcW w:w="1230" w:type="dxa"/>
          </w:tcPr>
          <w:p w14:paraId="52590F0A" w14:textId="4DA287F0" w:rsidR="00842A32" w:rsidRPr="00024429" w:rsidRDefault="00DB3276" w:rsidP="006213E0">
            <w:pPr>
              <w:rPr>
                <w:rFonts w:ascii="Arial" w:eastAsia="Arial" w:hAnsi="Arial" w:cs="Arial"/>
              </w:rPr>
            </w:pPr>
            <w:r>
              <w:rPr>
                <w:rFonts w:ascii="Arial" w:eastAsia="Arial" w:hAnsi="Arial" w:cs="Arial"/>
              </w:rPr>
              <w:lastRenderedPageBreak/>
              <w:t>Partially accept</w:t>
            </w:r>
          </w:p>
        </w:tc>
        <w:tc>
          <w:tcPr>
            <w:tcW w:w="6414" w:type="dxa"/>
            <w:shd w:val="clear" w:color="auto" w:fill="auto"/>
          </w:tcPr>
          <w:p w14:paraId="46A35C06" w14:textId="4DA269DF" w:rsidR="00404BF4" w:rsidRPr="00024429" w:rsidRDefault="00404BF4" w:rsidP="006213E0">
            <w:pPr>
              <w:rPr>
                <w:rFonts w:ascii="Arial" w:eastAsia="Arial" w:hAnsi="Arial" w:cs="Arial"/>
              </w:rPr>
            </w:pPr>
            <w:r w:rsidRPr="00024429">
              <w:rPr>
                <w:rFonts w:ascii="Arial" w:eastAsia="Arial" w:hAnsi="Arial" w:cs="Arial"/>
              </w:rPr>
              <w:t xml:space="preserve">DHSC will </w:t>
            </w:r>
            <w:r w:rsidR="009824FF" w:rsidRPr="00024429">
              <w:rPr>
                <w:rFonts w:ascii="Arial" w:eastAsia="Arial" w:hAnsi="Arial" w:cs="Arial"/>
              </w:rPr>
              <w:t xml:space="preserve">continue to define its technical approach </w:t>
            </w:r>
            <w:r w:rsidR="004E1DC6" w:rsidRPr="00024429">
              <w:rPr>
                <w:rFonts w:ascii="Arial" w:eastAsia="Arial" w:hAnsi="Arial" w:cs="Arial"/>
              </w:rPr>
              <w:t xml:space="preserve">and </w:t>
            </w:r>
            <w:r w:rsidR="00A50085" w:rsidRPr="00024429">
              <w:rPr>
                <w:rFonts w:ascii="Arial" w:eastAsia="Arial" w:hAnsi="Arial" w:cs="Arial"/>
              </w:rPr>
              <w:t xml:space="preserve">build on </w:t>
            </w:r>
            <w:r w:rsidRPr="00024429">
              <w:rPr>
                <w:rFonts w:ascii="Arial" w:eastAsia="Arial" w:hAnsi="Arial" w:cs="Arial"/>
                <w:b/>
              </w:rPr>
              <w:t>lessons from Phase</w:t>
            </w:r>
            <w:r w:rsidRPr="00024429">
              <w:rPr>
                <w:rFonts w:ascii="Arial" w:eastAsia="Arial" w:hAnsi="Arial" w:cs="Arial"/>
              </w:rPr>
              <w:t xml:space="preserve"> </w:t>
            </w:r>
            <w:r w:rsidRPr="00024429">
              <w:rPr>
                <w:rFonts w:ascii="Arial" w:eastAsia="Arial" w:hAnsi="Arial" w:cs="Arial"/>
                <w:b/>
              </w:rPr>
              <w:t>1</w:t>
            </w:r>
            <w:r w:rsidRPr="00024429">
              <w:rPr>
                <w:rFonts w:ascii="Arial" w:eastAsia="Arial" w:hAnsi="Arial" w:cs="Arial"/>
              </w:rPr>
              <w:t xml:space="preserve"> </w:t>
            </w:r>
            <w:r w:rsidR="002A30FD" w:rsidRPr="00024429">
              <w:rPr>
                <w:rFonts w:ascii="Arial" w:eastAsia="Arial" w:hAnsi="Arial" w:cs="Arial"/>
              </w:rPr>
              <w:t>in phase II</w:t>
            </w:r>
            <w:r w:rsidR="009875E4">
              <w:rPr>
                <w:rFonts w:ascii="Arial" w:eastAsia="Arial" w:hAnsi="Arial" w:cs="Arial"/>
              </w:rPr>
              <w:t xml:space="preserve">. This will be </w:t>
            </w:r>
            <w:r w:rsidR="000D35AC">
              <w:rPr>
                <w:rFonts w:ascii="Arial" w:eastAsia="Arial" w:hAnsi="Arial" w:cs="Arial"/>
              </w:rPr>
              <w:t>developed</w:t>
            </w:r>
            <w:r w:rsidR="009875E4">
              <w:rPr>
                <w:rFonts w:ascii="Arial" w:eastAsia="Arial" w:hAnsi="Arial" w:cs="Arial"/>
              </w:rPr>
              <w:t xml:space="preserve"> through strategic shift workshops.</w:t>
            </w:r>
          </w:p>
          <w:p w14:paraId="68758AAE" w14:textId="77777777" w:rsidR="00842A32" w:rsidRPr="00024429" w:rsidRDefault="00842A32" w:rsidP="006213E0">
            <w:pPr>
              <w:rPr>
                <w:rFonts w:ascii="Arial" w:eastAsia="Arial" w:hAnsi="Arial" w:cs="Arial"/>
              </w:rPr>
            </w:pPr>
          </w:p>
          <w:p w14:paraId="7A01DBDD" w14:textId="62B361D4" w:rsidR="00842A32" w:rsidRPr="00024429" w:rsidRDefault="00842A32" w:rsidP="006213E0">
            <w:pPr>
              <w:rPr>
                <w:rFonts w:ascii="Arial" w:eastAsia="Arial" w:hAnsi="Arial" w:cs="Arial"/>
              </w:rPr>
            </w:pPr>
            <w:r w:rsidRPr="00024429">
              <w:rPr>
                <w:rFonts w:ascii="Arial" w:eastAsia="Arial" w:hAnsi="Arial" w:cs="Arial"/>
              </w:rPr>
              <w:t xml:space="preserve">A </w:t>
            </w:r>
            <w:r w:rsidR="646754FD" w:rsidRPr="00024429">
              <w:rPr>
                <w:rFonts w:ascii="Arial" w:eastAsia="Arial" w:hAnsi="Arial" w:cs="Arial"/>
                <w:b/>
              </w:rPr>
              <w:t>g</w:t>
            </w:r>
            <w:r w:rsidRPr="00024429">
              <w:rPr>
                <w:rFonts w:ascii="Arial" w:eastAsia="Arial" w:hAnsi="Arial" w:cs="Arial"/>
                <w:b/>
              </w:rPr>
              <w:t>lobal strategy for sustainability and exit planning in phase II</w:t>
            </w:r>
            <w:r w:rsidRPr="00024429">
              <w:rPr>
                <w:rFonts w:ascii="Arial" w:eastAsia="Arial" w:hAnsi="Arial" w:cs="Arial"/>
              </w:rPr>
              <w:t xml:space="preserve"> is underd</w:t>
            </w:r>
            <w:r w:rsidR="00404BF4" w:rsidRPr="00024429">
              <w:rPr>
                <w:rFonts w:ascii="Arial" w:eastAsia="Arial" w:hAnsi="Arial" w:cs="Arial"/>
              </w:rPr>
              <w:t>e</w:t>
            </w:r>
            <w:r w:rsidRPr="00024429">
              <w:rPr>
                <w:rFonts w:ascii="Arial" w:eastAsia="Arial" w:hAnsi="Arial" w:cs="Arial"/>
              </w:rPr>
              <w:t>velopment to set expectations across FF portfolio and ensure investment</w:t>
            </w:r>
            <w:r w:rsidR="00C13808" w:rsidRPr="00024429">
              <w:rPr>
                <w:rFonts w:ascii="Arial" w:eastAsia="Arial" w:hAnsi="Arial" w:cs="Arial"/>
              </w:rPr>
              <w:t>s are sustain</w:t>
            </w:r>
            <w:r w:rsidR="005976D7" w:rsidRPr="00024429">
              <w:rPr>
                <w:rFonts w:ascii="Arial" w:eastAsia="Arial" w:hAnsi="Arial" w:cs="Arial"/>
              </w:rPr>
              <w:t>ed.</w:t>
            </w:r>
          </w:p>
          <w:p w14:paraId="7965876D" w14:textId="22431123" w:rsidR="00842A32" w:rsidRPr="00024429" w:rsidRDefault="00842A32" w:rsidP="5E8E6983">
            <w:pPr>
              <w:rPr>
                <w:rFonts w:ascii="Arial" w:eastAsia="Arial" w:hAnsi="Arial" w:cs="Arial"/>
              </w:rPr>
            </w:pPr>
          </w:p>
          <w:p w14:paraId="4511FF89" w14:textId="77777777" w:rsidR="00842A32" w:rsidRDefault="4F0DA4F2" w:rsidP="5E8E6983">
            <w:pPr>
              <w:rPr>
                <w:rFonts w:ascii="Arial" w:eastAsia="Arial" w:hAnsi="Arial" w:cs="Arial"/>
              </w:rPr>
            </w:pPr>
            <w:r w:rsidRPr="00024429">
              <w:rPr>
                <w:rFonts w:ascii="Arial" w:eastAsia="Arial" w:hAnsi="Arial" w:cs="Arial"/>
              </w:rPr>
              <w:t xml:space="preserve">Phase II </w:t>
            </w:r>
            <w:r w:rsidR="19FB84CA" w:rsidRPr="00024429">
              <w:rPr>
                <w:rFonts w:ascii="Arial" w:eastAsia="Arial" w:hAnsi="Arial" w:cs="Arial"/>
              </w:rPr>
              <w:t>will</w:t>
            </w:r>
            <w:r w:rsidRPr="00024429">
              <w:rPr>
                <w:rFonts w:ascii="Arial" w:eastAsia="Arial" w:hAnsi="Arial" w:cs="Arial"/>
              </w:rPr>
              <w:t xml:space="preserve"> </w:t>
            </w:r>
            <w:r w:rsidRPr="00024429">
              <w:rPr>
                <w:rFonts w:ascii="Arial" w:eastAsia="Arial" w:hAnsi="Arial" w:cs="Arial"/>
                <w:b/>
              </w:rPr>
              <w:t>build the</w:t>
            </w:r>
            <w:r w:rsidR="794DF762" w:rsidRPr="00024429">
              <w:rPr>
                <w:rFonts w:ascii="Arial" w:eastAsia="Arial" w:hAnsi="Arial" w:cs="Arial"/>
                <w:b/>
              </w:rPr>
              <w:t xml:space="preserve"> evidence base</w:t>
            </w:r>
            <w:r w:rsidRPr="00024429">
              <w:rPr>
                <w:rFonts w:ascii="Arial" w:eastAsia="Arial" w:hAnsi="Arial" w:cs="Arial"/>
                <w:b/>
              </w:rPr>
              <w:t xml:space="preserve"> for investing in AMR</w:t>
            </w:r>
            <w:r w:rsidR="1606AA8C" w:rsidRPr="00024429">
              <w:rPr>
                <w:rFonts w:ascii="Arial" w:eastAsia="Arial" w:hAnsi="Arial" w:cs="Arial"/>
              </w:rPr>
              <w:t xml:space="preserve"> to demonstrate the ec</w:t>
            </w:r>
            <w:r w:rsidR="5F07005F" w:rsidRPr="00024429">
              <w:rPr>
                <w:rFonts w:ascii="Arial" w:eastAsia="Arial" w:hAnsi="Arial" w:cs="Arial"/>
              </w:rPr>
              <w:t>o</w:t>
            </w:r>
            <w:r w:rsidR="1606AA8C" w:rsidRPr="00024429">
              <w:rPr>
                <w:rFonts w:ascii="Arial" w:eastAsia="Arial" w:hAnsi="Arial" w:cs="Arial"/>
              </w:rPr>
              <w:t>nomic advantage in</w:t>
            </w:r>
            <w:r w:rsidR="03856880" w:rsidRPr="00024429">
              <w:rPr>
                <w:rFonts w:ascii="Arial" w:eastAsia="Arial" w:hAnsi="Arial" w:cs="Arial"/>
              </w:rPr>
              <w:t xml:space="preserve"> </w:t>
            </w:r>
            <w:r w:rsidR="1606AA8C" w:rsidRPr="00024429">
              <w:rPr>
                <w:rFonts w:ascii="Arial" w:eastAsia="Arial" w:hAnsi="Arial" w:cs="Arial"/>
              </w:rPr>
              <w:t>both human and animal health</w:t>
            </w:r>
            <w:r w:rsidR="2B799851" w:rsidRPr="00024429">
              <w:rPr>
                <w:rFonts w:ascii="Arial" w:eastAsia="Arial" w:hAnsi="Arial" w:cs="Arial"/>
              </w:rPr>
              <w:t xml:space="preserve"> and imperative to </w:t>
            </w:r>
            <w:r w:rsidR="7697C1C5" w:rsidRPr="00024429">
              <w:rPr>
                <w:rFonts w:ascii="Arial" w:eastAsia="Arial" w:hAnsi="Arial" w:cs="Arial"/>
              </w:rPr>
              <w:t xml:space="preserve">sustain </w:t>
            </w:r>
            <w:r w:rsidR="2B799851" w:rsidRPr="00024429">
              <w:rPr>
                <w:rFonts w:ascii="Arial" w:eastAsia="Arial" w:hAnsi="Arial" w:cs="Arial"/>
              </w:rPr>
              <w:t>invest</w:t>
            </w:r>
            <w:r w:rsidR="7CFE5829" w:rsidRPr="00024429">
              <w:rPr>
                <w:rFonts w:ascii="Arial" w:eastAsia="Arial" w:hAnsi="Arial" w:cs="Arial"/>
              </w:rPr>
              <w:t xml:space="preserve">ment in </w:t>
            </w:r>
            <w:r w:rsidR="2B799851" w:rsidRPr="00024429">
              <w:rPr>
                <w:rFonts w:ascii="Arial" w:eastAsia="Arial" w:hAnsi="Arial" w:cs="Arial"/>
              </w:rPr>
              <w:t>AMR to partner governments</w:t>
            </w:r>
            <w:r w:rsidR="4B0E0B66" w:rsidRPr="00024429">
              <w:rPr>
                <w:rFonts w:ascii="Arial" w:eastAsia="Arial" w:hAnsi="Arial" w:cs="Arial"/>
              </w:rPr>
              <w:t>.</w:t>
            </w:r>
          </w:p>
          <w:p w14:paraId="26A3BBCA" w14:textId="77777777" w:rsidR="00F6515C" w:rsidRDefault="00F6515C" w:rsidP="5E8E6983">
            <w:pPr>
              <w:rPr>
                <w:rFonts w:ascii="Arial" w:eastAsia="Arial" w:hAnsi="Arial" w:cs="Arial"/>
              </w:rPr>
            </w:pPr>
          </w:p>
          <w:p w14:paraId="7A263881" w14:textId="305C3C2D" w:rsidR="00F6515C" w:rsidRPr="00024429" w:rsidRDefault="00F6515C" w:rsidP="00F6515C">
            <w:pPr>
              <w:rPr>
                <w:rFonts w:ascii="Arial" w:eastAsia="Arial" w:hAnsi="Arial" w:cs="Arial"/>
              </w:rPr>
            </w:pPr>
            <w:r>
              <w:rPr>
                <w:rFonts w:ascii="Arial" w:eastAsia="Arial" w:hAnsi="Arial" w:cs="Arial"/>
              </w:rPr>
              <w:t xml:space="preserve">However, </w:t>
            </w:r>
            <w:r w:rsidR="009875E4">
              <w:rPr>
                <w:rFonts w:ascii="Arial" w:eastAsia="Arial" w:hAnsi="Arial" w:cs="Arial"/>
              </w:rPr>
              <w:t xml:space="preserve">DHSC can only partially accept this recommendation at this stage as </w:t>
            </w:r>
            <w:r>
              <w:rPr>
                <w:rFonts w:ascii="Arial" w:eastAsia="Arial" w:hAnsi="Arial" w:cs="Arial"/>
              </w:rPr>
              <w:t xml:space="preserve">further consultation with partners is needed </w:t>
            </w:r>
            <w:r>
              <w:rPr>
                <w:rFonts w:ascii="Arial" w:eastAsia="Arial" w:hAnsi="Arial" w:cs="Arial"/>
              </w:rPr>
              <w:lastRenderedPageBreak/>
              <w:t xml:space="preserve">over next 6 months </w:t>
            </w:r>
            <w:r w:rsidR="009875E4">
              <w:rPr>
                <w:rFonts w:ascii="Arial" w:eastAsia="Arial" w:hAnsi="Arial" w:cs="Arial"/>
              </w:rPr>
              <w:t xml:space="preserve">for Fleming Fund to </w:t>
            </w:r>
            <w:r w:rsidR="00EB33AA">
              <w:rPr>
                <w:rFonts w:ascii="Arial" w:eastAsia="Arial" w:hAnsi="Arial" w:cs="Arial"/>
              </w:rPr>
              <w:t>confirm approach to One Health across the programme</w:t>
            </w:r>
            <w:r w:rsidR="008C5311">
              <w:rPr>
                <w:rFonts w:ascii="Arial" w:eastAsia="Arial" w:hAnsi="Arial" w:cs="Arial"/>
              </w:rPr>
              <w:t>.</w:t>
            </w:r>
          </w:p>
          <w:p w14:paraId="0056163F" w14:textId="2FCEABDB" w:rsidR="00F6515C" w:rsidRPr="00024429" w:rsidRDefault="00F6515C" w:rsidP="5E8E6983">
            <w:pPr>
              <w:rPr>
                <w:rFonts w:ascii="Arial" w:eastAsia="Arial" w:hAnsi="Arial" w:cs="Arial"/>
              </w:rPr>
            </w:pPr>
          </w:p>
        </w:tc>
      </w:tr>
      <w:tr w:rsidR="00024429" w:rsidRPr="00024429" w14:paraId="4F4D3B73" w14:textId="77777777" w:rsidTr="00A41A8D">
        <w:tc>
          <w:tcPr>
            <w:tcW w:w="2689" w:type="dxa"/>
            <w:shd w:val="clear" w:color="auto" w:fill="D9E2F3" w:themeFill="accent1" w:themeFillTint="33"/>
          </w:tcPr>
          <w:p w14:paraId="789DAC95" w14:textId="77777777" w:rsidR="00842A32" w:rsidRPr="004D5BC9" w:rsidRDefault="00842A32" w:rsidP="004D5BC9">
            <w:pPr>
              <w:pStyle w:val="ListParagraph"/>
              <w:numPr>
                <w:ilvl w:val="0"/>
                <w:numId w:val="4"/>
              </w:numPr>
              <w:rPr>
                <w:rFonts w:ascii="Arial" w:eastAsia="Arial" w:hAnsi="Arial" w:cs="Arial"/>
              </w:rPr>
            </w:pPr>
            <w:r w:rsidRPr="004D5BC9">
              <w:rPr>
                <w:rFonts w:ascii="Arial" w:eastAsia="Arial" w:hAnsi="Arial" w:cs="Arial"/>
              </w:rPr>
              <w:lastRenderedPageBreak/>
              <w:t>The Fleming Fund should place greater emphasis on internal and external coherence and coordination from the outset of phase 2, including strengthening AMRCCs and NAPs to play this role and their linkages to institutional homes.</w:t>
            </w:r>
          </w:p>
        </w:tc>
        <w:tc>
          <w:tcPr>
            <w:tcW w:w="1230" w:type="dxa"/>
          </w:tcPr>
          <w:p w14:paraId="53F2D0B1" w14:textId="7584B4B4" w:rsidR="00842A32" w:rsidRPr="00024429" w:rsidRDefault="005F11A0" w:rsidP="006213E0">
            <w:pPr>
              <w:rPr>
                <w:rFonts w:ascii="Arial" w:eastAsia="Arial" w:hAnsi="Arial" w:cs="Arial"/>
              </w:rPr>
            </w:pPr>
            <w:r w:rsidRPr="00024429">
              <w:rPr>
                <w:rFonts w:ascii="Arial" w:eastAsia="Arial" w:hAnsi="Arial" w:cs="Arial"/>
              </w:rPr>
              <w:t>Accept</w:t>
            </w:r>
          </w:p>
        </w:tc>
        <w:tc>
          <w:tcPr>
            <w:tcW w:w="6414" w:type="dxa"/>
            <w:shd w:val="clear" w:color="auto" w:fill="auto"/>
          </w:tcPr>
          <w:p w14:paraId="684816C8" w14:textId="77777777" w:rsidR="009A4ACD" w:rsidRPr="00024429" w:rsidRDefault="009A4ACD" w:rsidP="006213E0">
            <w:pPr>
              <w:rPr>
                <w:rFonts w:ascii="Arial" w:eastAsia="Arial" w:hAnsi="Arial" w:cs="Arial"/>
              </w:rPr>
            </w:pPr>
          </w:p>
          <w:p w14:paraId="798AE820" w14:textId="58B46914" w:rsidR="005F11A0" w:rsidRPr="00024429" w:rsidRDefault="005F11A0" w:rsidP="001D592E">
            <w:pPr>
              <w:rPr>
                <w:rFonts w:ascii="Arial" w:eastAsia="Arial" w:hAnsi="Arial" w:cs="Arial"/>
              </w:rPr>
            </w:pPr>
            <w:r w:rsidRPr="00024429">
              <w:rPr>
                <w:rFonts w:ascii="Arial" w:eastAsia="Arial" w:hAnsi="Arial" w:cs="Arial"/>
              </w:rPr>
              <w:t xml:space="preserve">Through </w:t>
            </w:r>
            <w:r w:rsidR="00842A32" w:rsidRPr="00024429">
              <w:rPr>
                <w:rFonts w:ascii="Arial" w:eastAsia="Arial" w:hAnsi="Arial" w:cs="Arial"/>
              </w:rPr>
              <w:t>Country Investment Strategy</w:t>
            </w:r>
            <w:r w:rsidRPr="00024429">
              <w:rPr>
                <w:rFonts w:ascii="Arial" w:eastAsia="Arial" w:hAnsi="Arial" w:cs="Arial"/>
              </w:rPr>
              <w:t xml:space="preserve">, FF will place greater emphasis on coherence and coordination. The </w:t>
            </w:r>
            <w:r w:rsidRPr="00024429">
              <w:rPr>
                <w:rFonts w:ascii="Arial" w:eastAsia="Arial" w:hAnsi="Arial" w:cs="Arial"/>
                <w:b/>
              </w:rPr>
              <w:t xml:space="preserve">CIS </w:t>
            </w:r>
            <w:r w:rsidR="00842A32" w:rsidRPr="00024429">
              <w:rPr>
                <w:rFonts w:ascii="Arial" w:eastAsia="Arial" w:hAnsi="Arial" w:cs="Arial"/>
                <w:b/>
              </w:rPr>
              <w:t>will combine three major grant streams under a single Investment Strategy to allow a greater degree of coherence</w:t>
            </w:r>
            <w:r w:rsidR="00842A32" w:rsidRPr="00024429">
              <w:rPr>
                <w:rFonts w:ascii="Arial" w:eastAsia="Arial" w:hAnsi="Arial" w:cs="Arial"/>
              </w:rPr>
              <w:t xml:space="preserve"> to the Fleming Fund’s approach in each country and allow grantees to have a common vision for what should be achieved. </w:t>
            </w:r>
          </w:p>
          <w:p w14:paraId="282EBCFD" w14:textId="77777777" w:rsidR="005F11A0" w:rsidRPr="00024429" w:rsidRDefault="005F11A0" w:rsidP="001D592E">
            <w:pPr>
              <w:rPr>
                <w:rFonts w:ascii="Arial" w:eastAsia="Arial" w:hAnsi="Arial" w:cs="Arial"/>
              </w:rPr>
            </w:pPr>
          </w:p>
          <w:p w14:paraId="3C46A8CA" w14:textId="307D3A12" w:rsidR="001D592E" w:rsidRPr="00024429" w:rsidRDefault="001D592E" w:rsidP="001D592E">
            <w:pPr>
              <w:rPr>
                <w:rFonts w:ascii="Arial" w:eastAsia="Arial" w:hAnsi="Arial" w:cs="Arial"/>
              </w:rPr>
            </w:pPr>
            <w:r w:rsidRPr="00024429">
              <w:rPr>
                <w:rFonts w:ascii="Arial" w:eastAsia="Arial" w:hAnsi="Arial" w:cs="Arial"/>
              </w:rPr>
              <w:t xml:space="preserve">DHSC will support </w:t>
            </w:r>
            <w:r w:rsidRPr="00024429">
              <w:rPr>
                <w:rFonts w:ascii="Arial" w:eastAsia="Arial" w:hAnsi="Arial" w:cs="Arial"/>
                <w:b/>
              </w:rPr>
              <w:t xml:space="preserve">greater </w:t>
            </w:r>
            <w:r w:rsidR="0067253F" w:rsidRPr="00024429">
              <w:rPr>
                <w:rFonts w:ascii="Arial" w:eastAsia="Arial" w:hAnsi="Arial" w:cs="Arial"/>
                <w:b/>
              </w:rPr>
              <w:t>synergy</w:t>
            </w:r>
            <w:r w:rsidRPr="00024429">
              <w:rPr>
                <w:rFonts w:ascii="Arial" w:eastAsia="Arial" w:hAnsi="Arial" w:cs="Arial"/>
                <w:b/>
              </w:rPr>
              <w:t xml:space="preserve"> with all Fleming Fund partners</w:t>
            </w:r>
            <w:r w:rsidR="0067253F" w:rsidRPr="00024429">
              <w:rPr>
                <w:rFonts w:ascii="Arial" w:eastAsia="Arial" w:hAnsi="Arial" w:cs="Arial"/>
                <w:b/>
              </w:rPr>
              <w:t xml:space="preserve"> and CIS,</w:t>
            </w:r>
            <w:r w:rsidR="0067253F" w:rsidRPr="00024429">
              <w:rPr>
                <w:rFonts w:ascii="Arial" w:eastAsia="Arial" w:hAnsi="Arial" w:cs="Arial"/>
              </w:rPr>
              <w:t xml:space="preserve"> through</w:t>
            </w:r>
            <w:r w:rsidRPr="00024429">
              <w:rPr>
                <w:rFonts w:ascii="Arial" w:eastAsia="Arial" w:hAnsi="Arial" w:cs="Arial"/>
              </w:rPr>
              <w:t xml:space="preserve"> collaborative workshops/engagements over the course of the year</w:t>
            </w:r>
            <w:r w:rsidR="0067253F" w:rsidRPr="00024429">
              <w:rPr>
                <w:rFonts w:ascii="Arial" w:eastAsia="Arial" w:hAnsi="Arial" w:cs="Arial"/>
              </w:rPr>
              <w:t xml:space="preserve"> and </w:t>
            </w:r>
            <w:r w:rsidR="003D6E23" w:rsidRPr="00024429">
              <w:rPr>
                <w:rFonts w:ascii="Arial" w:eastAsia="Arial" w:hAnsi="Arial" w:cs="Arial"/>
              </w:rPr>
              <w:t>identifying opportunities</w:t>
            </w:r>
            <w:r w:rsidRPr="00024429">
              <w:rPr>
                <w:rFonts w:ascii="Arial" w:eastAsia="Arial" w:hAnsi="Arial" w:cs="Arial"/>
              </w:rPr>
              <w:t xml:space="preserve"> through quarterly/biannual reporting.</w:t>
            </w:r>
          </w:p>
          <w:p w14:paraId="6E05EDDA" w14:textId="7DC6160F" w:rsidR="001D592E" w:rsidRPr="00024429" w:rsidRDefault="001D592E" w:rsidP="006213E0">
            <w:pPr>
              <w:rPr>
                <w:rFonts w:ascii="Arial" w:eastAsia="Arial" w:hAnsi="Arial" w:cs="Arial"/>
              </w:rPr>
            </w:pPr>
          </w:p>
          <w:p w14:paraId="253CFF94" w14:textId="2F7BCED8" w:rsidR="00842A32" w:rsidRPr="00024429" w:rsidRDefault="001D592E" w:rsidP="006213E0">
            <w:pPr>
              <w:rPr>
                <w:rFonts w:ascii="Arial" w:eastAsia="Arial" w:hAnsi="Arial" w:cs="Arial"/>
              </w:rPr>
            </w:pPr>
            <w:r w:rsidRPr="00024429">
              <w:rPr>
                <w:rFonts w:ascii="Arial" w:eastAsia="Arial" w:hAnsi="Arial" w:cs="Arial"/>
              </w:rPr>
              <w:t>CIS</w:t>
            </w:r>
            <w:r w:rsidR="00842A32" w:rsidRPr="00024429">
              <w:rPr>
                <w:rFonts w:ascii="Arial" w:eastAsia="Arial" w:hAnsi="Arial" w:cs="Arial"/>
              </w:rPr>
              <w:t xml:space="preserve"> will also identify key stakeholders in the donor community to avoid</w:t>
            </w:r>
            <w:r w:rsidR="6C05986C" w:rsidRPr="00024429">
              <w:rPr>
                <w:rFonts w:ascii="Arial" w:eastAsia="Arial" w:hAnsi="Arial" w:cs="Arial"/>
              </w:rPr>
              <w:t xml:space="preserve"> </w:t>
            </w:r>
            <w:r w:rsidR="00E012FF" w:rsidRPr="00024429">
              <w:rPr>
                <w:rFonts w:ascii="Arial" w:eastAsia="Arial" w:hAnsi="Arial" w:cs="Arial"/>
              </w:rPr>
              <w:t>duplication</w:t>
            </w:r>
            <w:r w:rsidR="00842A32" w:rsidRPr="00024429">
              <w:rPr>
                <w:rFonts w:ascii="Arial" w:eastAsia="Arial" w:hAnsi="Arial" w:cs="Arial"/>
              </w:rPr>
              <w:t xml:space="preserve"> and promote coordination. </w:t>
            </w:r>
          </w:p>
          <w:p w14:paraId="6DDB8703" w14:textId="19D77EE5" w:rsidR="00404BF4" w:rsidRPr="00024429" w:rsidRDefault="00404BF4" w:rsidP="006213E0">
            <w:pPr>
              <w:rPr>
                <w:rFonts w:ascii="Arial" w:eastAsia="Arial" w:hAnsi="Arial" w:cs="Arial"/>
              </w:rPr>
            </w:pPr>
          </w:p>
          <w:p w14:paraId="2B7CE29E" w14:textId="309EF489" w:rsidR="00842A32" w:rsidRPr="00024429" w:rsidRDefault="00842A32" w:rsidP="006213E0">
            <w:pPr>
              <w:rPr>
                <w:rFonts w:ascii="Arial" w:eastAsia="Arial" w:hAnsi="Arial" w:cs="Arial"/>
              </w:rPr>
            </w:pPr>
            <w:r w:rsidRPr="00024429">
              <w:rPr>
                <w:rFonts w:ascii="Arial" w:eastAsia="Arial" w:hAnsi="Arial" w:cs="Arial"/>
              </w:rPr>
              <w:t xml:space="preserve">CIS will seek to </w:t>
            </w:r>
            <w:r w:rsidRPr="00024429">
              <w:rPr>
                <w:rFonts w:ascii="Arial" w:eastAsia="Arial" w:hAnsi="Arial" w:cs="Arial"/>
                <w:b/>
              </w:rPr>
              <w:t>align phase II plans with NAP, and will identify where support with NAP development and AMRCC is relevant and feasible</w:t>
            </w:r>
            <w:r w:rsidRPr="00024429">
              <w:rPr>
                <w:rFonts w:ascii="Arial" w:eastAsia="Arial" w:hAnsi="Arial" w:cs="Arial"/>
              </w:rPr>
              <w:t xml:space="preserve"> e.g. This may involve the grantee carrying out sensitisation or capacity building among key stakeholders or groups such as AMRCC technical working groups. </w:t>
            </w:r>
          </w:p>
          <w:p w14:paraId="710E9612" w14:textId="77777777" w:rsidR="00842A32" w:rsidRPr="00024429" w:rsidRDefault="00842A32" w:rsidP="006213E0">
            <w:pPr>
              <w:rPr>
                <w:rFonts w:ascii="Arial" w:eastAsia="Arial" w:hAnsi="Arial" w:cs="Arial"/>
              </w:rPr>
            </w:pPr>
          </w:p>
          <w:p w14:paraId="57A0261A" w14:textId="41BEE6CA" w:rsidR="00842A32" w:rsidRPr="00024429" w:rsidRDefault="00842A32" w:rsidP="006213E0">
            <w:pPr>
              <w:rPr>
                <w:rFonts w:ascii="Arial" w:eastAsia="Arial" w:hAnsi="Arial" w:cs="Arial"/>
              </w:rPr>
            </w:pPr>
            <w:r w:rsidRPr="00024429">
              <w:rPr>
                <w:rFonts w:ascii="Arial" w:eastAsia="Arial" w:hAnsi="Arial" w:cs="Arial"/>
              </w:rPr>
              <w:t>WHO</w:t>
            </w:r>
            <w:r w:rsidR="00715A8E" w:rsidRPr="00024429">
              <w:rPr>
                <w:rFonts w:ascii="Arial" w:eastAsia="Arial" w:hAnsi="Arial" w:cs="Arial"/>
              </w:rPr>
              <w:t xml:space="preserve"> and WOAH</w:t>
            </w:r>
            <w:r w:rsidRPr="00024429">
              <w:rPr>
                <w:rFonts w:ascii="Arial" w:eastAsia="Arial" w:hAnsi="Arial" w:cs="Arial"/>
              </w:rPr>
              <w:t xml:space="preserve"> will </w:t>
            </w:r>
            <w:r w:rsidR="009A4ACD" w:rsidRPr="00024429">
              <w:rPr>
                <w:rFonts w:ascii="Arial" w:eastAsia="Arial" w:hAnsi="Arial" w:cs="Arial"/>
              </w:rPr>
              <w:t xml:space="preserve">also </w:t>
            </w:r>
            <w:r w:rsidRPr="00024429">
              <w:rPr>
                <w:rFonts w:ascii="Arial" w:eastAsia="Arial" w:hAnsi="Arial" w:cs="Arial"/>
              </w:rPr>
              <w:t>provide support to accele</w:t>
            </w:r>
            <w:r w:rsidR="009A4ACD" w:rsidRPr="00024429">
              <w:rPr>
                <w:rFonts w:ascii="Arial" w:eastAsia="Arial" w:hAnsi="Arial" w:cs="Arial"/>
              </w:rPr>
              <w:t>r</w:t>
            </w:r>
            <w:r w:rsidRPr="00024429">
              <w:rPr>
                <w:rFonts w:ascii="Arial" w:eastAsia="Arial" w:hAnsi="Arial" w:cs="Arial"/>
              </w:rPr>
              <w:t>ate and sustain imp</w:t>
            </w:r>
            <w:r w:rsidR="4B580B05" w:rsidRPr="00024429">
              <w:rPr>
                <w:rFonts w:ascii="Arial" w:eastAsia="Arial" w:hAnsi="Arial" w:cs="Arial"/>
              </w:rPr>
              <w:t>le</w:t>
            </w:r>
            <w:r w:rsidRPr="00024429">
              <w:rPr>
                <w:rFonts w:ascii="Arial" w:eastAsia="Arial" w:hAnsi="Arial" w:cs="Arial"/>
              </w:rPr>
              <w:t>mentat</w:t>
            </w:r>
            <w:r w:rsidR="7DC17D6F" w:rsidRPr="00024429">
              <w:rPr>
                <w:rFonts w:ascii="Arial" w:eastAsia="Arial" w:hAnsi="Arial" w:cs="Arial"/>
              </w:rPr>
              <w:t>i</w:t>
            </w:r>
            <w:r w:rsidRPr="00024429">
              <w:rPr>
                <w:rFonts w:ascii="Arial" w:eastAsia="Arial" w:hAnsi="Arial" w:cs="Arial"/>
              </w:rPr>
              <w:t xml:space="preserve">on </w:t>
            </w:r>
            <w:r w:rsidR="43C3E855" w:rsidRPr="00024429">
              <w:rPr>
                <w:rFonts w:ascii="Arial" w:eastAsia="Arial" w:hAnsi="Arial" w:cs="Arial"/>
              </w:rPr>
              <w:t>o</w:t>
            </w:r>
            <w:r w:rsidRPr="00024429">
              <w:rPr>
                <w:rFonts w:ascii="Arial" w:eastAsia="Arial" w:hAnsi="Arial" w:cs="Arial"/>
              </w:rPr>
              <w:t>f</w:t>
            </w:r>
            <w:r w:rsidRPr="00024429">
              <w:rPr>
                <w:rFonts w:ascii="Arial" w:eastAsia="Arial" w:hAnsi="Arial" w:cs="Arial"/>
                <w:b/>
              </w:rPr>
              <w:t xml:space="preserve"> </w:t>
            </w:r>
            <w:r w:rsidR="00930713" w:rsidRPr="00024429">
              <w:rPr>
                <w:rFonts w:ascii="Arial" w:eastAsia="Arial" w:hAnsi="Arial" w:cs="Arial"/>
                <w:b/>
              </w:rPr>
              <w:t>evidence-based</w:t>
            </w:r>
            <w:r w:rsidRPr="00024429">
              <w:rPr>
                <w:rFonts w:ascii="Arial" w:eastAsia="Arial" w:hAnsi="Arial" w:cs="Arial"/>
                <w:b/>
              </w:rPr>
              <w:t xml:space="preserve"> NAPS</w:t>
            </w:r>
            <w:r w:rsidRPr="00024429">
              <w:rPr>
                <w:rFonts w:ascii="Arial" w:eastAsia="Arial" w:hAnsi="Arial" w:cs="Arial"/>
              </w:rPr>
              <w:t xml:space="preserve"> </w:t>
            </w:r>
            <w:r w:rsidR="00AD39EB" w:rsidRPr="00024429">
              <w:rPr>
                <w:rFonts w:ascii="Arial" w:eastAsia="Arial" w:hAnsi="Arial" w:cs="Arial"/>
              </w:rPr>
              <w:t>e.g.,</w:t>
            </w:r>
            <w:r w:rsidRPr="00024429">
              <w:rPr>
                <w:rFonts w:ascii="Arial" w:eastAsia="Arial" w:hAnsi="Arial" w:cs="Arial"/>
              </w:rPr>
              <w:t xml:space="preserve"> developing a costed NAP operation plan. </w:t>
            </w:r>
          </w:p>
          <w:p w14:paraId="35E28D23" w14:textId="77777777" w:rsidR="00842A32" w:rsidRPr="00024429" w:rsidRDefault="00842A32" w:rsidP="006213E0">
            <w:pPr>
              <w:rPr>
                <w:rFonts w:ascii="Arial" w:eastAsia="Arial" w:hAnsi="Arial" w:cs="Arial"/>
              </w:rPr>
            </w:pPr>
          </w:p>
        </w:tc>
      </w:tr>
    </w:tbl>
    <w:p w14:paraId="1035004C" w14:textId="77777777" w:rsidR="00842A32" w:rsidRDefault="00842A32">
      <w:pPr>
        <w:rPr>
          <w:rFonts w:ascii="Arial" w:eastAsia="Arial" w:hAnsi="Arial" w:cs="Arial"/>
        </w:rPr>
      </w:pPr>
    </w:p>
    <w:sectPr w:rsidR="00842A32" w:rsidSect="00D80E0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AA55C" w14:textId="77777777" w:rsidR="001152D4" w:rsidRDefault="001152D4" w:rsidP="00CA42AB">
      <w:pPr>
        <w:spacing w:after="0" w:line="240" w:lineRule="auto"/>
      </w:pPr>
      <w:r>
        <w:separator/>
      </w:r>
    </w:p>
  </w:endnote>
  <w:endnote w:type="continuationSeparator" w:id="0">
    <w:p w14:paraId="014B5655" w14:textId="77777777" w:rsidR="001152D4" w:rsidRDefault="001152D4" w:rsidP="00CA42AB">
      <w:pPr>
        <w:spacing w:after="0" w:line="240" w:lineRule="auto"/>
      </w:pPr>
      <w:r>
        <w:continuationSeparator/>
      </w:r>
    </w:p>
  </w:endnote>
  <w:endnote w:type="continuationNotice" w:id="1">
    <w:p w14:paraId="0737E3C0" w14:textId="77777777" w:rsidR="001152D4" w:rsidRDefault="001152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2978F" w14:textId="77777777" w:rsidR="001152D4" w:rsidRDefault="001152D4" w:rsidP="00CA42AB">
      <w:pPr>
        <w:spacing w:after="0" w:line="240" w:lineRule="auto"/>
      </w:pPr>
      <w:r>
        <w:separator/>
      </w:r>
    </w:p>
  </w:footnote>
  <w:footnote w:type="continuationSeparator" w:id="0">
    <w:p w14:paraId="2F350644" w14:textId="77777777" w:rsidR="001152D4" w:rsidRDefault="001152D4" w:rsidP="00CA42AB">
      <w:pPr>
        <w:spacing w:after="0" w:line="240" w:lineRule="auto"/>
      </w:pPr>
      <w:r>
        <w:continuationSeparator/>
      </w:r>
    </w:p>
  </w:footnote>
  <w:footnote w:type="continuationNotice" w:id="1">
    <w:p w14:paraId="0BC7584C" w14:textId="77777777" w:rsidR="001152D4" w:rsidRDefault="001152D4">
      <w:pPr>
        <w:spacing w:after="0" w:line="240" w:lineRule="auto"/>
      </w:pPr>
    </w:p>
  </w:footnote>
  <w:footnote w:id="2">
    <w:p w14:paraId="5369AC4A" w14:textId="5ECF556D" w:rsidR="008F1C17" w:rsidRDefault="008F1C17">
      <w:pPr>
        <w:pStyle w:val="FootnoteText"/>
      </w:pPr>
      <w:r>
        <w:rPr>
          <w:rStyle w:val="FootnoteReference"/>
        </w:rPr>
        <w:footnoteRef/>
      </w:r>
      <w:r>
        <w:t xml:space="preserve"> </w:t>
      </w:r>
      <w:r w:rsidRPr="008F1C17">
        <w:t>Formative evaluation is typically conducted during the development or improvement of a program. Summative evaluation involves making judg</w:t>
      </w:r>
      <w:r w:rsidR="008210BA">
        <w:t>e</w:t>
      </w:r>
      <w:r w:rsidRPr="008F1C17">
        <w:t>ments about the efficacy of a program at its concl</w:t>
      </w:r>
      <w:r w:rsidR="00C77787">
        <w:t>usion</w:t>
      </w:r>
      <w:r w:rsidRPr="008F1C1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373BB"/>
    <w:multiLevelType w:val="hybridMultilevel"/>
    <w:tmpl w:val="8BC6C5A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9DC486D"/>
    <w:multiLevelType w:val="hybridMultilevel"/>
    <w:tmpl w:val="A3AA1E2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B02405D"/>
    <w:multiLevelType w:val="hybridMultilevel"/>
    <w:tmpl w:val="F070B9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D22B10"/>
    <w:multiLevelType w:val="hybridMultilevel"/>
    <w:tmpl w:val="08C0E74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2106804403">
    <w:abstractNumId w:val="0"/>
  </w:num>
  <w:num w:numId="2" w16cid:durableId="1149203962">
    <w:abstractNumId w:val="2"/>
  </w:num>
  <w:num w:numId="3" w16cid:durableId="746733118">
    <w:abstractNumId w:val="3"/>
  </w:num>
  <w:num w:numId="4" w16cid:durableId="613365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ADC"/>
    <w:rsid w:val="0000513A"/>
    <w:rsid w:val="000227D7"/>
    <w:rsid w:val="00024429"/>
    <w:rsid w:val="00046AC5"/>
    <w:rsid w:val="0004D95E"/>
    <w:rsid w:val="00052522"/>
    <w:rsid w:val="00064319"/>
    <w:rsid w:val="000653B5"/>
    <w:rsid w:val="00071718"/>
    <w:rsid w:val="000718B8"/>
    <w:rsid w:val="000874BD"/>
    <w:rsid w:val="000A5B14"/>
    <w:rsid w:val="000B17AA"/>
    <w:rsid w:val="000C0010"/>
    <w:rsid w:val="000C21C9"/>
    <w:rsid w:val="000C6EC1"/>
    <w:rsid w:val="000D049A"/>
    <w:rsid w:val="000D35AC"/>
    <w:rsid w:val="000E3F9D"/>
    <w:rsid w:val="000F0E6C"/>
    <w:rsid w:val="000F16F7"/>
    <w:rsid w:val="001152D4"/>
    <w:rsid w:val="001244D7"/>
    <w:rsid w:val="00145CB2"/>
    <w:rsid w:val="00175E54"/>
    <w:rsid w:val="001920E9"/>
    <w:rsid w:val="001B0254"/>
    <w:rsid w:val="001B43CB"/>
    <w:rsid w:val="001C7C7B"/>
    <w:rsid w:val="001D592E"/>
    <w:rsid w:val="001E7D33"/>
    <w:rsid w:val="00207373"/>
    <w:rsid w:val="00237272"/>
    <w:rsid w:val="00261C20"/>
    <w:rsid w:val="002807FC"/>
    <w:rsid w:val="00284E54"/>
    <w:rsid w:val="0029037F"/>
    <w:rsid w:val="0029493B"/>
    <w:rsid w:val="00296A49"/>
    <w:rsid w:val="002A0FDB"/>
    <w:rsid w:val="002A2C49"/>
    <w:rsid w:val="002A30FD"/>
    <w:rsid w:val="002A6FC9"/>
    <w:rsid w:val="002C058F"/>
    <w:rsid w:val="002F6A0A"/>
    <w:rsid w:val="00317586"/>
    <w:rsid w:val="00323020"/>
    <w:rsid w:val="00326FCD"/>
    <w:rsid w:val="0033208D"/>
    <w:rsid w:val="00345923"/>
    <w:rsid w:val="00357171"/>
    <w:rsid w:val="00363B3D"/>
    <w:rsid w:val="00367CA8"/>
    <w:rsid w:val="00371C36"/>
    <w:rsid w:val="003D6E23"/>
    <w:rsid w:val="003E06B0"/>
    <w:rsid w:val="003F2BE3"/>
    <w:rsid w:val="00404BF4"/>
    <w:rsid w:val="00410ECA"/>
    <w:rsid w:val="004145EB"/>
    <w:rsid w:val="00417B60"/>
    <w:rsid w:val="00431B6E"/>
    <w:rsid w:val="00433DB2"/>
    <w:rsid w:val="00473D50"/>
    <w:rsid w:val="00483711"/>
    <w:rsid w:val="004B66F0"/>
    <w:rsid w:val="004D556E"/>
    <w:rsid w:val="004D5BC9"/>
    <w:rsid w:val="004E1DC6"/>
    <w:rsid w:val="004F040E"/>
    <w:rsid w:val="0050742D"/>
    <w:rsid w:val="00525922"/>
    <w:rsid w:val="00526476"/>
    <w:rsid w:val="00555179"/>
    <w:rsid w:val="0055534E"/>
    <w:rsid w:val="00556334"/>
    <w:rsid w:val="0056017D"/>
    <w:rsid w:val="00570889"/>
    <w:rsid w:val="00581258"/>
    <w:rsid w:val="00593051"/>
    <w:rsid w:val="005976D7"/>
    <w:rsid w:val="005B6C01"/>
    <w:rsid w:val="005C0A86"/>
    <w:rsid w:val="005C743E"/>
    <w:rsid w:val="005D217B"/>
    <w:rsid w:val="005E75BC"/>
    <w:rsid w:val="005F11A0"/>
    <w:rsid w:val="005F1D13"/>
    <w:rsid w:val="005F35ED"/>
    <w:rsid w:val="005F41E4"/>
    <w:rsid w:val="006161BE"/>
    <w:rsid w:val="006267BB"/>
    <w:rsid w:val="00641176"/>
    <w:rsid w:val="00650E7F"/>
    <w:rsid w:val="0065467E"/>
    <w:rsid w:val="0067253F"/>
    <w:rsid w:val="00686597"/>
    <w:rsid w:val="006B4D13"/>
    <w:rsid w:val="006C24D6"/>
    <w:rsid w:val="006D5E2C"/>
    <w:rsid w:val="006D6917"/>
    <w:rsid w:val="006E6E20"/>
    <w:rsid w:val="007067BC"/>
    <w:rsid w:val="00715A8E"/>
    <w:rsid w:val="00721FB2"/>
    <w:rsid w:val="00723F34"/>
    <w:rsid w:val="00751C7C"/>
    <w:rsid w:val="0075281E"/>
    <w:rsid w:val="0075642B"/>
    <w:rsid w:val="007838E7"/>
    <w:rsid w:val="00787B2E"/>
    <w:rsid w:val="007A1D7C"/>
    <w:rsid w:val="007A6579"/>
    <w:rsid w:val="007B1F89"/>
    <w:rsid w:val="007B46C4"/>
    <w:rsid w:val="007D334D"/>
    <w:rsid w:val="007D45DC"/>
    <w:rsid w:val="007E500B"/>
    <w:rsid w:val="007F42AF"/>
    <w:rsid w:val="007F7758"/>
    <w:rsid w:val="00804CC0"/>
    <w:rsid w:val="0080719B"/>
    <w:rsid w:val="008210BA"/>
    <w:rsid w:val="00824249"/>
    <w:rsid w:val="0083146D"/>
    <w:rsid w:val="00842A32"/>
    <w:rsid w:val="00856019"/>
    <w:rsid w:val="008560AA"/>
    <w:rsid w:val="0087465D"/>
    <w:rsid w:val="008C5311"/>
    <w:rsid w:val="008C7B49"/>
    <w:rsid w:val="008D2E75"/>
    <w:rsid w:val="008D5371"/>
    <w:rsid w:val="008E6250"/>
    <w:rsid w:val="008F1C17"/>
    <w:rsid w:val="00930713"/>
    <w:rsid w:val="00977C15"/>
    <w:rsid w:val="009824FF"/>
    <w:rsid w:val="009859F4"/>
    <w:rsid w:val="009875E4"/>
    <w:rsid w:val="00993B0C"/>
    <w:rsid w:val="009A4ACD"/>
    <w:rsid w:val="009B5639"/>
    <w:rsid w:val="009C2497"/>
    <w:rsid w:val="009F3459"/>
    <w:rsid w:val="00A0101E"/>
    <w:rsid w:val="00A14F9B"/>
    <w:rsid w:val="00A271AE"/>
    <w:rsid w:val="00A27495"/>
    <w:rsid w:val="00A35DBE"/>
    <w:rsid w:val="00A41A8D"/>
    <w:rsid w:val="00A50085"/>
    <w:rsid w:val="00A56CE0"/>
    <w:rsid w:val="00A57204"/>
    <w:rsid w:val="00A648C0"/>
    <w:rsid w:val="00A81455"/>
    <w:rsid w:val="00A86EF9"/>
    <w:rsid w:val="00A94268"/>
    <w:rsid w:val="00AB1869"/>
    <w:rsid w:val="00AC80D3"/>
    <w:rsid w:val="00AD2868"/>
    <w:rsid w:val="00AD39EB"/>
    <w:rsid w:val="00AF1195"/>
    <w:rsid w:val="00B11120"/>
    <w:rsid w:val="00B22604"/>
    <w:rsid w:val="00B23970"/>
    <w:rsid w:val="00B24A9F"/>
    <w:rsid w:val="00B35607"/>
    <w:rsid w:val="00B3794B"/>
    <w:rsid w:val="00B4393D"/>
    <w:rsid w:val="00B44715"/>
    <w:rsid w:val="00B51A7F"/>
    <w:rsid w:val="00B61EE1"/>
    <w:rsid w:val="00B81B98"/>
    <w:rsid w:val="00B90DD6"/>
    <w:rsid w:val="00B96B01"/>
    <w:rsid w:val="00BA5BD7"/>
    <w:rsid w:val="00BC6C86"/>
    <w:rsid w:val="00BD2695"/>
    <w:rsid w:val="00BE3C84"/>
    <w:rsid w:val="00BE71BD"/>
    <w:rsid w:val="00C04416"/>
    <w:rsid w:val="00C13808"/>
    <w:rsid w:val="00C37FA1"/>
    <w:rsid w:val="00C55702"/>
    <w:rsid w:val="00C61225"/>
    <w:rsid w:val="00C63FF3"/>
    <w:rsid w:val="00C73848"/>
    <w:rsid w:val="00C746C3"/>
    <w:rsid w:val="00C753A9"/>
    <w:rsid w:val="00C7672E"/>
    <w:rsid w:val="00C77787"/>
    <w:rsid w:val="00C80643"/>
    <w:rsid w:val="00C821D6"/>
    <w:rsid w:val="00C94819"/>
    <w:rsid w:val="00CA42AB"/>
    <w:rsid w:val="00CADCF8"/>
    <w:rsid w:val="00CC2848"/>
    <w:rsid w:val="00CD516A"/>
    <w:rsid w:val="00CE6BB4"/>
    <w:rsid w:val="00CE6FF8"/>
    <w:rsid w:val="00D20F60"/>
    <w:rsid w:val="00D34E3E"/>
    <w:rsid w:val="00D377A3"/>
    <w:rsid w:val="00D71CC7"/>
    <w:rsid w:val="00D80E07"/>
    <w:rsid w:val="00D91B0D"/>
    <w:rsid w:val="00D9377C"/>
    <w:rsid w:val="00DA1183"/>
    <w:rsid w:val="00DA1DB5"/>
    <w:rsid w:val="00DA2A36"/>
    <w:rsid w:val="00DA73D3"/>
    <w:rsid w:val="00DB3276"/>
    <w:rsid w:val="00DD2111"/>
    <w:rsid w:val="00E012FF"/>
    <w:rsid w:val="00E02A50"/>
    <w:rsid w:val="00E0322C"/>
    <w:rsid w:val="00E114E9"/>
    <w:rsid w:val="00E11F66"/>
    <w:rsid w:val="00E30BDA"/>
    <w:rsid w:val="00E31FCE"/>
    <w:rsid w:val="00E61391"/>
    <w:rsid w:val="00E722FD"/>
    <w:rsid w:val="00E83720"/>
    <w:rsid w:val="00E877A1"/>
    <w:rsid w:val="00EA3D53"/>
    <w:rsid w:val="00EB3363"/>
    <w:rsid w:val="00EB33AA"/>
    <w:rsid w:val="00EC0ADC"/>
    <w:rsid w:val="00EC37DD"/>
    <w:rsid w:val="00EE5E89"/>
    <w:rsid w:val="00EF1517"/>
    <w:rsid w:val="00EF584F"/>
    <w:rsid w:val="00F02A41"/>
    <w:rsid w:val="00F11DF6"/>
    <w:rsid w:val="00F23F08"/>
    <w:rsid w:val="00F2557D"/>
    <w:rsid w:val="00F26151"/>
    <w:rsid w:val="00F41532"/>
    <w:rsid w:val="00F47067"/>
    <w:rsid w:val="00F63859"/>
    <w:rsid w:val="00F6515C"/>
    <w:rsid w:val="00F671A2"/>
    <w:rsid w:val="00F7376C"/>
    <w:rsid w:val="00F857B7"/>
    <w:rsid w:val="00F93247"/>
    <w:rsid w:val="00F952D9"/>
    <w:rsid w:val="00FA0C3D"/>
    <w:rsid w:val="00FA0D67"/>
    <w:rsid w:val="00FA7B54"/>
    <w:rsid w:val="00FC0372"/>
    <w:rsid w:val="00FC2936"/>
    <w:rsid w:val="00FF6DFC"/>
    <w:rsid w:val="0109498C"/>
    <w:rsid w:val="014328CF"/>
    <w:rsid w:val="0187A0B6"/>
    <w:rsid w:val="018F42FB"/>
    <w:rsid w:val="026043F0"/>
    <w:rsid w:val="02D374B7"/>
    <w:rsid w:val="02DA2A84"/>
    <w:rsid w:val="032EFAD5"/>
    <w:rsid w:val="03370B5C"/>
    <w:rsid w:val="03856880"/>
    <w:rsid w:val="039659D3"/>
    <w:rsid w:val="03B6E9E5"/>
    <w:rsid w:val="05C0DB4F"/>
    <w:rsid w:val="06065929"/>
    <w:rsid w:val="06E0E18D"/>
    <w:rsid w:val="071770F9"/>
    <w:rsid w:val="0808AAA4"/>
    <w:rsid w:val="0830EB55"/>
    <w:rsid w:val="09422DD4"/>
    <w:rsid w:val="096D5A56"/>
    <w:rsid w:val="0B092AB7"/>
    <w:rsid w:val="0B7D0FF1"/>
    <w:rsid w:val="0BAE0412"/>
    <w:rsid w:val="0C006A71"/>
    <w:rsid w:val="0C4D4CC7"/>
    <w:rsid w:val="0CE8A70D"/>
    <w:rsid w:val="0E77EC28"/>
    <w:rsid w:val="0E881F77"/>
    <w:rsid w:val="0F1B97E5"/>
    <w:rsid w:val="0FAD906C"/>
    <w:rsid w:val="0FFDAD8E"/>
    <w:rsid w:val="12418B13"/>
    <w:rsid w:val="138DE166"/>
    <w:rsid w:val="13E49DC1"/>
    <w:rsid w:val="1405F211"/>
    <w:rsid w:val="1411F6FD"/>
    <w:rsid w:val="141BD1BC"/>
    <w:rsid w:val="142159D4"/>
    <w:rsid w:val="14A0988E"/>
    <w:rsid w:val="15565085"/>
    <w:rsid w:val="156EFBD7"/>
    <w:rsid w:val="15B7A21D"/>
    <w:rsid w:val="15FC0587"/>
    <w:rsid w:val="1606AA8C"/>
    <w:rsid w:val="16F220E6"/>
    <w:rsid w:val="16FBD3D9"/>
    <w:rsid w:val="1753727E"/>
    <w:rsid w:val="18D3920E"/>
    <w:rsid w:val="19A55D51"/>
    <w:rsid w:val="19FB84CA"/>
    <w:rsid w:val="1A33749B"/>
    <w:rsid w:val="1CA38820"/>
    <w:rsid w:val="1CAAFA0A"/>
    <w:rsid w:val="1D318E06"/>
    <w:rsid w:val="1D694FF0"/>
    <w:rsid w:val="1E1FBFBF"/>
    <w:rsid w:val="1F21D8BF"/>
    <w:rsid w:val="1F945B87"/>
    <w:rsid w:val="223CC113"/>
    <w:rsid w:val="2296F084"/>
    <w:rsid w:val="23138196"/>
    <w:rsid w:val="2350FBC6"/>
    <w:rsid w:val="23645A76"/>
    <w:rsid w:val="243C1BAB"/>
    <w:rsid w:val="247823DC"/>
    <w:rsid w:val="250EC8C3"/>
    <w:rsid w:val="25407920"/>
    <w:rsid w:val="25886F23"/>
    <w:rsid w:val="25B88503"/>
    <w:rsid w:val="25F900F4"/>
    <w:rsid w:val="2794D155"/>
    <w:rsid w:val="27C16A30"/>
    <w:rsid w:val="28B5B58A"/>
    <w:rsid w:val="28F025C5"/>
    <w:rsid w:val="2930A1B6"/>
    <w:rsid w:val="293B6206"/>
    <w:rsid w:val="2A5185EB"/>
    <w:rsid w:val="2B799851"/>
    <w:rsid w:val="2BA2B863"/>
    <w:rsid w:val="2C009872"/>
    <w:rsid w:val="2C64FE8F"/>
    <w:rsid w:val="2CBF3CCA"/>
    <w:rsid w:val="2D7BD9EA"/>
    <w:rsid w:val="2ED1D439"/>
    <w:rsid w:val="2F1B441B"/>
    <w:rsid w:val="303473F9"/>
    <w:rsid w:val="31055D35"/>
    <w:rsid w:val="310F8CCB"/>
    <w:rsid w:val="313BB39B"/>
    <w:rsid w:val="31657B9A"/>
    <w:rsid w:val="31684C76"/>
    <w:rsid w:val="31EB1324"/>
    <w:rsid w:val="336A89D7"/>
    <w:rsid w:val="336D4FDC"/>
    <w:rsid w:val="341EB651"/>
    <w:rsid w:val="3473545D"/>
    <w:rsid w:val="3546818E"/>
    <w:rsid w:val="354CB56B"/>
    <w:rsid w:val="35943892"/>
    <w:rsid w:val="3605F4B1"/>
    <w:rsid w:val="3722650F"/>
    <w:rsid w:val="37ACC54F"/>
    <w:rsid w:val="3843282B"/>
    <w:rsid w:val="399CC0F7"/>
    <w:rsid w:val="3A924DD0"/>
    <w:rsid w:val="3AC96E7F"/>
    <w:rsid w:val="3B187951"/>
    <w:rsid w:val="3B3E9C78"/>
    <w:rsid w:val="3BBBF6EF"/>
    <w:rsid w:val="3BCC3229"/>
    <w:rsid w:val="3CD94E54"/>
    <w:rsid w:val="3D193089"/>
    <w:rsid w:val="3E383868"/>
    <w:rsid w:val="3FEA732E"/>
    <w:rsid w:val="400C027B"/>
    <w:rsid w:val="408F6812"/>
    <w:rsid w:val="40D94D19"/>
    <w:rsid w:val="40E866F7"/>
    <w:rsid w:val="42F5954C"/>
    <w:rsid w:val="434DBDEF"/>
    <w:rsid w:val="437FC6ED"/>
    <w:rsid w:val="43C3E855"/>
    <w:rsid w:val="4673291C"/>
    <w:rsid w:val="467B43FF"/>
    <w:rsid w:val="471CD4B9"/>
    <w:rsid w:val="47C9066F"/>
    <w:rsid w:val="481DA346"/>
    <w:rsid w:val="484CECA7"/>
    <w:rsid w:val="48A2677D"/>
    <w:rsid w:val="48BAC8F3"/>
    <w:rsid w:val="4999BC64"/>
    <w:rsid w:val="49FB0DFC"/>
    <w:rsid w:val="4A72F015"/>
    <w:rsid w:val="4B0E0B66"/>
    <w:rsid w:val="4B1647CC"/>
    <w:rsid w:val="4B580B05"/>
    <w:rsid w:val="4C5045CA"/>
    <w:rsid w:val="4CC94243"/>
    <w:rsid w:val="4CD82ABF"/>
    <w:rsid w:val="4E6512A4"/>
    <w:rsid w:val="4F0DA4F2"/>
    <w:rsid w:val="51F2DE0B"/>
    <w:rsid w:val="528982F2"/>
    <w:rsid w:val="52E0B4D7"/>
    <w:rsid w:val="532C320D"/>
    <w:rsid w:val="533883C7"/>
    <w:rsid w:val="54FE1FE4"/>
    <w:rsid w:val="553DDFDA"/>
    <w:rsid w:val="565420CC"/>
    <w:rsid w:val="56B64A68"/>
    <w:rsid w:val="56E3B729"/>
    <w:rsid w:val="570B5526"/>
    <w:rsid w:val="581DC2C0"/>
    <w:rsid w:val="587948DE"/>
    <w:rsid w:val="587F878A"/>
    <w:rsid w:val="58B9C4CF"/>
    <w:rsid w:val="59164234"/>
    <w:rsid w:val="598B24FC"/>
    <w:rsid w:val="5A559530"/>
    <w:rsid w:val="5BB7284C"/>
    <w:rsid w:val="5C2B1D51"/>
    <w:rsid w:val="5D8D35F2"/>
    <w:rsid w:val="5E8E6983"/>
    <w:rsid w:val="5ED0A4E3"/>
    <w:rsid w:val="5F07005F"/>
    <w:rsid w:val="5F80C737"/>
    <w:rsid w:val="6122F505"/>
    <w:rsid w:val="61771EB7"/>
    <w:rsid w:val="61FACA21"/>
    <w:rsid w:val="620B0CA2"/>
    <w:rsid w:val="62C3EC72"/>
    <w:rsid w:val="640FE7F4"/>
    <w:rsid w:val="64271718"/>
    <w:rsid w:val="646754FD"/>
    <w:rsid w:val="64A34D5C"/>
    <w:rsid w:val="64D5D884"/>
    <w:rsid w:val="650A90BB"/>
    <w:rsid w:val="6558CBC1"/>
    <w:rsid w:val="6671A8E5"/>
    <w:rsid w:val="66AB8828"/>
    <w:rsid w:val="674788B6"/>
    <w:rsid w:val="675982F9"/>
    <w:rsid w:val="678DE06B"/>
    <w:rsid w:val="69AA832F"/>
    <w:rsid w:val="69DE01DE"/>
    <w:rsid w:val="6A0FB896"/>
    <w:rsid w:val="6A479D94"/>
    <w:rsid w:val="6B05D79F"/>
    <w:rsid w:val="6B451A08"/>
    <w:rsid w:val="6B9FBF5F"/>
    <w:rsid w:val="6C05986C"/>
    <w:rsid w:val="6C62716D"/>
    <w:rsid w:val="6CE0EA69"/>
    <w:rsid w:val="6D7B3E23"/>
    <w:rsid w:val="6D85B826"/>
    <w:rsid w:val="6E01D21F"/>
    <w:rsid w:val="6E4933E1"/>
    <w:rsid w:val="707D00A6"/>
    <w:rsid w:val="7117CD98"/>
    <w:rsid w:val="71BF30EC"/>
    <w:rsid w:val="71CFEB66"/>
    <w:rsid w:val="71FDF79B"/>
    <w:rsid w:val="724DBFEB"/>
    <w:rsid w:val="7285D8E6"/>
    <w:rsid w:val="745D449A"/>
    <w:rsid w:val="75B6B68A"/>
    <w:rsid w:val="75EB3EBB"/>
    <w:rsid w:val="763C6B44"/>
    <w:rsid w:val="764C9053"/>
    <w:rsid w:val="7697C1C5"/>
    <w:rsid w:val="76A19C5C"/>
    <w:rsid w:val="7717EC43"/>
    <w:rsid w:val="78D13DFD"/>
    <w:rsid w:val="78DDFB4D"/>
    <w:rsid w:val="7928C932"/>
    <w:rsid w:val="794DF762"/>
    <w:rsid w:val="79843115"/>
    <w:rsid w:val="7A9D3AC8"/>
    <w:rsid w:val="7ABEAFDE"/>
    <w:rsid w:val="7B0EBA86"/>
    <w:rsid w:val="7BD40D99"/>
    <w:rsid w:val="7BFD0374"/>
    <w:rsid w:val="7C1C6F9D"/>
    <w:rsid w:val="7C73941F"/>
    <w:rsid w:val="7C777558"/>
    <w:rsid w:val="7CFE5829"/>
    <w:rsid w:val="7D44FE71"/>
    <w:rsid w:val="7DC17D6F"/>
    <w:rsid w:val="7DD4DB8A"/>
    <w:rsid w:val="7DEE35BD"/>
    <w:rsid w:val="7E4F5069"/>
    <w:rsid w:val="7E5B89B1"/>
    <w:rsid w:val="7EAC3055"/>
    <w:rsid w:val="7EF87FDC"/>
    <w:rsid w:val="7F3172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4D40E"/>
  <w15:chartTrackingRefBased/>
  <w15:docId w15:val="{9FB95C6B-49E8-4DF7-97DB-B931495A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A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FellowshipsReview">
    <w:name w:val="Fellowships Review"/>
    <w:basedOn w:val="TableNormal"/>
    <w:uiPriority w:val="99"/>
    <w:rsid w:val="000B17AA"/>
    <w:pPr>
      <w:spacing w:after="0" w:line="240" w:lineRule="auto"/>
    </w:pPr>
    <w:tblPr>
      <w:tblBorders>
        <w:insideH w:val="single" w:sz="4" w:space="0" w:color="auto"/>
        <w:insideV w:val="single" w:sz="4" w:space="0" w:color="auto"/>
      </w:tblBorders>
    </w:tblPr>
    <w:tcPr>
      <w:shd w:val="clear" w:color="auto" w:fill="auto"/>
    </w:tcPr>
    <w:tblStylePr w:type="firstCol">
      <w:rPr>
        <w:b/>
        <w:color w:val="FFFFFF" w:themeColor="background1"/>
      </w:rPr>
      <w:tblPr/>
      <w:tcPr>
        <w:shd w:val="clear" w:color="auto" w:fill="4472C4" w:themeFill="accent1"/>
      </w:tcPr>
    </w:tblStylePr>
  </w:style>
  <w:style w:type="table" w:styleId="TableGrid">
    <w:name w:val="Table Grid"/>
    <w:basedOn w:val="TableNormal"/>
    <w:uiPriority w:val="39"/>
    <w:rsid w:val="00EC0A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271AE"/>
    <w:rPr>
      <w:sz w:val="16"/>
      <w:szCs w:val="16"/>
    </w:rPr>
  </w:style>
  <w:style w:type="paragraph" w:styleId="CommentText">
    <w:name w:val="annotation text"/>
    <w:basedOn w:val="Normal"/>
    <w:link w:val="CommentTextChar"/>
    <w:uiPriority w:val="99"/>
    <w:unhideWhenUsed/>
    <w:rsid w:val="00A271AE"/>
    <w:pPr>
      <w:spacing w:line="240" w:lineRule="auto"/>
    </w:pPr>
    <w:rPr>
      <w:sz w:val="20"/>
      <w:szCs w:val="20"/>
    </w:rPr>
  </w:style>
  <w:style w:type="character" w:customStyle="1" w:styleId="CommentTextChar">
    <w:name w:val="Comment Text Char"/>
    <w:basedOn w:val="DefaultParagraphFont"/>
    <w:link w:val="CommentText"/>
    <w:uiPriority w:val="99"/>
    <w:rsid w:val="00A271AE"/>
    <w:rPr>
      <w:noProof/>
      <w:sz w:val="20"/>
      <w:szCs w:val="20"/>
    </w:rPr>
  </w:style>
  <w:style w:type="paragraph" w:styleId="CommentSubject">
    <w:name w:val="annotation subject"/>
    <w:basedOn w:val="CommentText"/>
    <w:next w:val="CommentText"/>
    <w:link w:val="CommentSubjectChar"/>
    <w:uiPriority w:val="99"/>
    <w:semiHidden/>
    <w:unhideWhenUsed/>
    <w:rsid w:val="00A271AE"/>
    <w:rPr>
      <w:b/>
      <w:bCs/>
    </w:rPr>
  </w:style>
  <w:style w:type="character" w:customStyle="1" w:styleId="CommentSubjectChar">
    <w:name w:val="Comment Subject Char"/>
    <w:basedOn w:val="CommentTextChar"/>
    <w:link w:val="CommentSubject"/>
    <w:uiPriority w:val="99"/>
    <w:semiHidden/>
    <w:rsid w:val="00A271AE"/>
    <w:rPr>
      <w:b/>
      <w:bCs/>
      <w:noProof/>
      <w:sz w:val="20"/>
      <w:szCs w:val="20"/>
    </w:rPr>
  </w:style>
  <w:style w:type="paragraph" w:styleId="ListParagraph">
    <w:name w:val="List Paragraph"/>
    <w:basedOn w:val="Normal"/>
    <w:uiPriority w:val="34"/>
    <w:qFormat/>
    <w:rsid w:val="00B35607"/>
    <w:pPr>
      <w:ind w:left="720"/>
      <w:contextualSpacing/>
    </w:pPr>
  </w:style>
  <w:style w:type="paragraph" w:styleId="Header">
    <w:name w:val="header"/>
    <w:basedOn w:val="Normal"/>
    <w:link w:val="HeaderChar"/>
    <w:uiPriority w:val="99"/>
    <w:semiHidden/>
    <w:unhideWhenUsed/>
    <w:rsid w:val="007067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067BC"/>
    <w:rPr>
      <w:noProof/>
    </w:rPr>
  </w:style>
  <w:style w:type="paragraph" w:styleId="Footer">
    <w:name w:val="footer"/>
    <w:basedOn w:val="Normal"/>
    <w:link w:val="FooterChar"/>
    <w:uiPriority w:val="99"/>
    <w:semiHidden/>
    <w:unhideWhenUsed/>
    <w:rsid w:val="007067B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067BC"/>
    <w:rPr>
      <w:noProof/>
    </w:rPr>
  </w:style>
  <w:style w:type="character" w:styleId="Mention">
    <w:name w:val="Mention"/>
    <w:basedOn w:val="DefaultParagraphFont"/>
    <w:uiPriority w:val="99"/>
    <w:unhideWhenUsed/>
    <w:rsid w:val="008E6250"/>
    <w:rPr>
      <w:color w:val="2B579A"/>
      <w:shd w:val="clear" w:color="auto" w:fill="E1DFDD"/>
    </w:rPr>
  </w:style>
  <w:style w:type="paragraph" w:styleId="Revision">
    <w:name w:val="Revision"/>
    <w:hidden/>
    <w:uiPriority w:val="99"/>
    <w:semiHidden/>
    <w:rsid w:val="00367CA8"/>
    <w:pPr>
      <w:spacing w:after="0" w:line="240" w:lineRule="auto"/>
    </w:pPr>
  </w:style>
  <w:style w:type="paragraph" w:styleId="FootnoteText">
    <w:name w:val="footnote text"/>
    <w:basedOn w:val="Normal"/>
    <w:link w:val="FootnoteTextChar"/>
    <w:uiPriority w:val="99"/>
    <w:semiHidden/>
    <w:unhideWhenUsed/>
    <w:rsid w:val="008F1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1C17"/>
    <w:rPr>
      <w:sz w:val="20"/>
      <w:szCs w:val="20"/>
    </w:rPr>
  </w:style>
  <w:style w:type="character" w:styleId="FootnoteReference">
    <w:name w:val="footnote reference"/>
    <w:basedOn w:val="DefaultParagraphFont"/>
    <w:uiPriority w:val="99"/>
    <w:semiHidden/>
    <w:unhideWhenUsed/>
    <w:rsid w:val="008F1C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5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dd75724-7c91-4237-853c-255501370aa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E5D992F4F1BC4469E6B89EB86B8986A" ma:contentTypeVersion="8" ma:contentTypeDescription="Create a new document." ma:contentTypeScope="" ma:versionID="47d3eee47d6067f7f1c3c43eb0007236">
  <xsd:schema xmlns:xsd="http://www.w3.org/2001/XMLSchema" xmlns:xs="http://www.w3.org/2001/XMLSchema" xmlns:p="http://schemas.microsoft.com/office/2006/metadata/properties" xmlns:ns2="bdd75724-7c91-4237-853c-255501370aa0" xmlns:ns3="7aa07ef2-f4ec-4a8c-98d7-e2e24130d9f5" targetNamespace="http://schemas.microsoft.com/office/2006/metadata/properties" ma:root="true" ma:fieldsID="4afdbb87b07a28ba0bfb356767e59669" ns2:_="" ns3:_="">
    <xsd:import namespace="bdd75724-7c91-4237-853c-255501370aa0"/>
    <xsd:import namespace="7aa07ef2-f4ec-4a8c-98d7-e2e24130d9f5"/>
    <xsd:element name="properties">
      <xsd:complexType>
        <xsd:sequence>
          <xsd:element name="documentManagement">
            <xsd:complexType>
              <xsd:all>
                <xsd:element ref="ns2:lcf76f155ced4ddcb4097134ff3c332f" minOccurs="0"/>
                <xsd:element ref="ns3:SharedWithUsers" minOccurs="0"/>
                <xsd:element ref="ns3:SharedWithDetails"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d75724-7c91-4237-853c-255501370aa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1caf2c84-180d-4652-98d8-3773f236d385" ma:termSetId="09814cd3-568e-fe90-9814-8d621ff8fb84" ma:anchorId="fba54fb3-c3e1-fe81-a776-ca4b69148c4d" ma:open="true" ma:isKeyword="false">
      <xsd:complexType>
        <xsd:sequence>
          <xsd:element ref="pc:Terms" minOccurs="0" maxOccurs="1"/>
        </xsd:sequence>
      </xsd:complex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a07ef2-f4ec-4a8c-98d7-e2e24130d9f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86296F-3884-4956-9D56-E1337BB19AB4}">
  <ds:schemaRefs>
    <ds:schemaRef ds:uri="http://schemas.microsoft.com/sharepoint/v3/contenttype/forms"/>
  </ds:schemaRefs>
</ds:datastoreItem>
</file>

<file path=customXml/itemProps2.xml><?xml version="1.0" encoding="utf-8"?>
<ds:datastoreItem xmlns:ds="http://schemas.openxmlformats.org/officeDocument/2006/customXml" ds:itemID="{05FBE79B-5800-41C6-8B2D-F304F476DB81}">
  <ds:schemaRefs>
    <ds:schemaRef ds:uri="http://schemas.microsoft.com/office/2006/documentManagement/types"/>
    <ds:schemaRef ds:uri="bdd75724-7c91-4237-853c-255501370aa0"/>
    <ds:schemaRef ds:uri="http://schemas.microsoft.com/office/infopath/2007/PartnerControls"/>
    <ds:schemaRef ds:uri="http://purl.org/dc/dcmitype/"/>
    <ds:schemaRef ds:uri="http://purl.org/dc/terms/"/>
    <ds:schemaRef ds:uri="7aa07ef2-f4ec-4a8c-98d7-e2e24130d9f5"/>
    <ds:schemaRef ds:uri="http://www.w3.org/XML/1998/namespace"/>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4A3B1DF-FEC4-4380-84FF-CFA3C298042C}">
  <ds:schemaRefs>
    <ds:schemaRef ds:uri="http://schemas.openxmlformats.org/officeDocument/2006/bibliography"/>
  </ds:schemaRefs>
</ds:datastoreItem>
</file>

<file path=customXml/itemProps4.xml><?xml version="1.0" encoding="utf-8"?>
<ds:datastoreItem xmlns:ds="http://schemas.openxmlformats.org/officeDocument/2006/customXml" ds:itemID="{B0083AFD-C669-4641-A64C-29CA2F7139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d75724-7c91-4237-853c-255501370aa0"/>
    <ds:schemaRef ds:uri="7aa07ef2-f4ec-4a8c-98d7-e2e24130d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1579</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Clarke, Jemima</dc:creator>
  <cp:keywords/>
  <dc:description/>
  <cp:lastModifiedBy>Kayuma, Mwaanga</cp:lastModifiedBy>
  <cp:revision>2</cp:revision>
  <dcterms:created xsi:type="dcterms:W3CDTF">2024-04-24T11:40:00Z</dcterms:created>
  <dcterms:modified xsi:type="dcterms:W3CDTF">2024-04-24T11:40:00Z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0x010100BE5D992F4F1BC4469E6B89EB86B8986A</vt:lpwstr>
  </property>
  <property fmtid="{D5CDD505-2E9C-101B-9397-08002B2CF9AE}" pid="3" name="MediaServiceImageTags">
    <vt:lpwstr/>
  </property>
  <property fmtid="{D5CDD505-2E9C-101B-9397-08002B2CF9AE}" pid="4" name="TaxCatchAll">
    <vt:lpwstr/>
  </property>
</Properties>
</file>